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91933" w14:textId="77777777" w:rsidR="00C60062" w:rsidRPr="00774BD7" w:rsidRDefault="00C60062" w:rsidP="00C60062">
      <w:pPr>
        <w:pStyle w:val="Heading1"/>
        <w:rPr>
          <w:rFonts w:ascii="Times New Roman" w:hAnsi="Times New Roman" w:cs="Times New Roman"/>
        </w:rPr>
      </w:pPr>
      <w:r w:rsidRPr="00774BD7">
        <w:rPr>
          <w:rFonts w:ascii="Times New Roman" w:hAnsi="Times New Roman" w:cs="Times New Roman"/>
        </w:rPr>
        <w:t>Supplementary Material</w:t>
      </w:r>
    </w:p>
    <w:p w14:paraId="27486E21" w14:textId="77777777" w:rsidR="00C60062" w:rsidRPr="00774BD7" w:rsidRDefault="00C60062" w:rsidP="00C60062">
      <w:pPr>
        <w:spacing w:line="360" w:lineRule="auto"/>
        <w:jc w:val="both"/>
        <w:rPr>
          <w:b/>
          <w:bCs/>
        </w:rPr>
      </w:pPr>
      <w:r w:rsidRPr="00774BD7">
        <w:rPr>
          <w:b/>
          <w:bCs/>
        </w:rPr>
        <w:t>Supplementary material 1</w:t>
      </w:r>
    </w:p>
    <w:p w14:paraId="20B5AF19" w14:textId="77777777" w:rsidR="00C60062" w:rsidRPr="00774BD7" w:rsidRDefault="00C60062" w:rsidP="00C60062">
      <w:pPr>
        <w:spacing w:line="360" w:lineRule="auto"/>
        <w:jc w:val="both"/>
        <w:rPr>
          <w:b/>
        </w:rPr>
      </w:pPr>
      <w:r w:rsidRPr="00774BD7">
        <w:t>The ADNI was launched in 2003 as a public-private partnership, led by Principal Investigator Michael W. Weiner, MD. The primary goal of ADNI has been to test whether serial magnetic resonance imaging (MRI), positron emission tomography (PET), other biological markers, and clinical and neuropsychological assessment can be combined to measure the progression of MCI and early AD.</w:t>
      </w:r>
    </w:p>
    <w:p w14:paraId="750B1404" w14:textId="77777777" w:rsidR="00C60062" w:rsidRPr="00774BD7" w:rsidRDefault="00C60062" w:rsidP="00C60062">
      <w:pPr>
        <w:pStyle w:val="Heading2"/>
        <w:rPr>
          <w:rFonts w:ascii="Times New Roman" w:hAnsi="Times New Roman" w:cs="Times New Roman"/>
        </w:rPr>
      </w:pPr>
      <w:bookmarkStart w:id="0" w:name="_Supplementary_material_1"/>
      <w:bookmarkEnd w:id="0"/>
      <w:r w:rsidRPr="00774BD7">
        <w:rPr>
          <w:rFonts w:ascii="Times New Roman" w:hAnsi="Times New Roman" w:cs="Times New Roman"/>
        </w:rPr>
        <w:t xml:space="preserve">Inclusion and exclusion criteria of cognitively normal and mild cognitive impairment participants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544"/>
        <w:gridCol w:w="3492"/>
      </w:tblGrid>
      <w:tr w:rsidR="00C60062" w:rsidRPr="00774BD7" w14:paraId="6C7929B3" w14:textId="77777777" w:rsidTr="00F745D3">
        <w:tc>
          <w:tcPr>
            <w:tcW w:w="1980" w:type="dxa"/>
            <w:tcBorders>
              <w:top w:val="single" w:sz="18" w:space="0" w:color="auto"/>
              <w:bottom w:val="single" w:sz="18" w:space="0" w:color="auto"/>
            </w:tcBorders>
          </w:tcPr>
          <w:p w14:paraId="450BD7A9" w14:textId="77777777" w:rsidR="00C60062" w:rsidRPr="00774BD7" w:rsidRDefault="00C60062" w:rsidP="00F745D3">
            <w:pPr>
              <w:jc w:val="both"/>
            </w:pPr>
          </w:p>
        </w:tc>
        <w:tc>
          <w:tcPr>
            <w:tcW w:w="3544" w:type="dxa"/>
            <w:tcBorders>
              <w:top w:val="single" w:sz="18" w:space="0" w:color="auto"/>
              <w:bottom w:val="single" w:sz="18" w:space="0" w:color="auto"/>
            </w:tcBorders>
          </w:tcPr>
          <w:p w14:paraId="725D521F" w14:textId="77777777" w:rsidR="00C60062" w:rsidRPr="00774BD7" w:rsidRDefault="00C60062" w:rsidP="00F745D3">
            <w:pPr>
              <w:jc w:val="both"/>
            </w:pPr>
            <w:r w:rsidRPr="00774BD7">
              <w:t>Cognitively normal (CN) participants</w:t>
            </w:r>
          </w:p>
        </w:tc>
        <w:tc>
          <w:tcPr>
            <w:tcW w:w="3492" w:type="dxa"/>
            <w:tcBorders>
              <w:top w:val="single" w:sz="18" w:space="0" w:color="auto"/>
              <w:bottom w:val="single" w:sz="18" w:space="0" w:color="auto"/>
            </w:tcBorders>
          </w:tcPr>
          <w:p w14:paraId="01246667" w14:textId="77777777" w:rsidR="00C60062" w:rsidRPr="00774BD7" w:rsidRDefault="00C60062" w:rsidP="00F745D3">
            <w:pPr>
              <w:jc w:val="both"/>
            </w:pPr>
            <w:r w:rsidRPr="00774BD7">
              <w:t>Mild cognitive impairment (MCI) participants</w:t>
            </w:r>
          </w:p>
        </w:tc>
      </w:tr>
      <w:tr w:rsidR="00C60062" w:rsidRPr="00774BD7" w14:paraId="296874FB" w14:textId="77777777" w:rsidTr="00F745D3">
        <w:tc>
          <w:tcPr>
            <w:tcW w:w="1980" w:type="dxa"/>
            <w:tcBorders>
              <w:top w:val="single" w:sz="18" w:space="0" w:color="auto"/>
            </w:tcBorders>
          </w:tcPr>
          <w:p w14:paraId="7F419F47" w14:textId="77777777" w:rsidR="00C60062" w:rsidRPr="00774BD7" w:rsidRDefault="00C60062" w:rsidP="00F745D3">
            <w:pPr>
              <w:jc w:val="both"/>
            </w:pPr>
            <w:r w:rsidRPr="00774BD7">
              <w:t xml:space="preserve">Inclusion criteria </w:t>
            </w:r>
          </w:p>
        </w:tc>
        <w:tc>
          <w:tcPr>
            <w:tcW w:w="3544" w:type="dxa"/>
            <w:tcBorders>
              <w:top w:val="single" w:sz="18" w:space="0" w:color="auto"/>
            </w:tcBorders>
          </w:tcPr>
          <w:p w14:paraId="138857B7" w14:textId="77777777" w:rsidR="00C60062" w:rsidRPr="00774BD7" w:rsidRDefault="00C60062" w:rsidP="00C60062">
            <w:pPr>
              <w:pStyle w:val="ListParagraph"/>
              <w:numPr>
                <w:ilvl w:val="0"/>
                <w:numId w:val="1"/>
              </w:numPr>
              <w:rPr>
                <w:rFonts w:ascii="Times New Roman" w:hAnsi="Times New Roman" w:cs="Times New Roman"/>
              </w:rPr>
            </w:pPr>
            <w:r w:rsidRPr="00774BD7">
              <w:rPr>
                <w:rFonts w:ascii="Times New Roman" w:hAnsi="Times New Roman" w:cs="Times New Roman"/>
              </w:rPr>
              <w:t>Participant with or without subjective memory complaints, verified by a study partner, beyond what one would expect for age</w:t>
            </w:r>
          </w:p>
          <w:p w14:paraId="7099B0C3" w14:textId="77777777" w:rsidR="00C60062" w:rsidRPr="00774BD7" w:rsidRDefault="00C60062" w:rsidP="00C60062">
            <w:pPr>
              <w:pStyle w:val="ListParagraph"/>
              <w:numPr>
                <w:ilvl w:val="0"/>
                <w:numId w:val="1"/>
              </w:numPr>
              <w:rPr>
                <w:rFonts w:ascii="Times New Roman" w:hAnsi="Times New Roman" w:cs="Times New Roman"/>
              </w:rPr>
            </w:pPr>
            <w:r w:rsidRPr="00774BD7">
              <w:rPr>
                <w:rFonts w:ascii="Times New Roman" w:hAnsi="Times New Roman" w:cs="Times New Roman"/>
              </w:rPr>
              <w:t xml:space="preserve">Normal memory function documented by scoring above education adjusted </w:t>
            </w:r>
            <w:proofErr w:type="spellStart"/>
            <w:r w:rsidRPr="00774BD7">
              <w:rPr>
                <w:rFonts w:ascii="Times New Roman" w:hAnsi="Times New Roman" w:cs="Times New Roman"/>
              </w:rPr>
              <w:t>cutoffs</w:t>
            </w:r>
            <w:proofErr w:type="spellEnd"/>
            <w:r w:rsidRPr="00774BD7">
              <w:rPr>
                <w:rFonts w:ascii="Times New Roman" w:hAnsi="Times New Roman" w:cs="Times New Roman"/>
              </w:rPr>
              <w:t xml:space="preserve"> on the Logical Memory II subscale (Delayed Paragraph Recall, Paragraph A only) from the Wechsler Memory Scale-Revised (the maximum score is 25): </w:t>
            </w:r>
          </w:p>
          <w:p w14:paraId="531F2C43"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a: ≥ 9 for 16 or more years of education</w:t>
            </w:r>
          </w:p>
          <w:p w14:paraId="6DF1F741"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b: ≥ 5 for 8-15 years of education</w:t>
            </w:r>
          </w:p>
          <w:p w14:paraId="76A76E8C"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c: ≥ 3 for 0-7 years of education</w:t>
            </w:r>
          </w:p>
          <w:p w14:paraId="1048ED78" w14:textId="77777777" w:rsidR="00C60062" w:rsidRPr="00774BD7" w:rsidRDefault="00C60062" w:rsidP="00C60062">
            <w:pPr>
              <w:pStyle w:val="ListParagraph"/>
              <w:numPr>
                <w:ilvl w:val="0"/>
                <w:numId w:val="1"/>
              </w:numPr>
              <w:rPr>
                <w:rFonts w:ascii="Times New Roman" w:hAnsi="Times New Roman" w:cs="Times New Roman"/>
              </w:rPr>
            </w:pPr>
            <w:r w:rsidRPr="00774BD7">
              <w:rPr>
                <w:rFonts w:ascii="Times New Roman" w:hAnsi="Times New Roman" w:cs="Times New Roman"/>
              </w:rPr>
              <w:t>Mini-Mental State Exam score between 24 and 30 inclusive (Exceptions may be made for participants with less than 8 years of education at the discretion of the Project Director)</w:t>
            </w:r>
          </w:p>
          <w:p w14:paraId="58CACAC4" w14:textId="77777777" w:rsidR="00C60062" w:rsidRPr="00774BD7" w:rsidRDefault="00C60062" w:rsidP="00C60062">
            <w:pPr>
              <w:pStyle w:val="ListParagraph"/>
              <w:numPr>
                <w:ilvl w:val="0"/>
                <w:numId w:val="1"/>
              </w:numPr>
              <w:rPr>
                <w:rFonts w:ascii="Times New Roman" w:hAnsi="Times New Roman" w:cs="Times New Roman"/>
              </w:rPr>
            </w:pPr>
            <w:r w:rsidRPr="00774BD7">
              <w:rPr>
                <w:rFonts w:ascii="Times New Roman" w:hAnsi="Times New Roman" w:cs="Times New Roman"/>
              </w:rPr>
              <w:t>Clinical Dementia Rating=0. Memory Box score must be 0</w:t>
            </w:r>
          </w:p>
          <w:p w14:paraId="76D1A78D" w14:textId="77777777" w:rsidR="00C60062" w:rsidRPr="00774BD7" w:rsidRDefault="00C60062" w:rsidP="00C60062">
            <w:pPr>
              <w:pStyle w:val="ListParagraph"/>
              <w:numPr>
                <w:ilvl w:val="0"/>
                <w:numId w:val="1"/>
              </w:numPr>
              <w:rPr>
                <w:rFonts w:ascii="Times New Roman" w:hAnsi="Times New Roman" w:cs="Times New Roman"/>
              </w:rPr>
            </w:pPr>
            <w:r w:rsidRPr="00774BD7">
              <w:rPr>
                <w:rFonts w:ascii="Times New Roman" w:hAnsi="Times New Roman" w:cs="Times New Roman"/>
              </w:rPr>
              <w:t>Cognitively normal, based on an absence of significant impairment in cognitive functions or activities of daily living</w:t>
            </w:r>
          </w:p>
          <w:p w14:paraId="6415D112" w14:textId="77777777" w:rsidR="00C60062" w:rsidRPr="00774BD7" w:rsidRDefault="00C60062" w:rsidP="00C60062">
            <w:pPr>
              <w:pStyle w:val="ListParagraph"/>
              <w:numPr>
                <w:ilvl w:val="0"/>
                <w:numId w:val="1"/>
              </w:numPr>
              <w:rPr>
                <w:rFonts w:ascii="Times New Roman" w:hAnsi="Times New Roman" w:cs="Times New Roman"/>
              </w:rPr>
            </w:pPr>
            <w:r w:rsidRPr="00774BD7">
              <w:rPr>
                <w:rFonts w:ascii="Times New Roman" w:hAnsi="Times New Roman" w:cs="Times New Roman"/>
              </w:rPr>
              <w:t>Stability of Permitted Medications for at least 4 weeks:</w:t>
            </w:r>
          </w:p>
          <w:p w14:paraId="34027B54"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lastRenderedPageBreak/>
              <w:t>a: Stable doses of antidepressants lacking significant anticholinergic side effects (if they are currently adequately treated for depressive symptoms and do not have a history of major depression within the past 1 years)</w:t>
            </w:r>
          </w:p>
          <w:p w14:paraId="5E420C8C"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 xml:space="preserve">b: </w:t>
            </w:r>
            <w:proofErr w:type="spellStart"/>
            <w:r w:rsidRPr="00774BD7">
              <w:rPr>
                <w:rFonts w:ascii="Times New Roman" w:hAnsi="Times New Roman" w:cs="Times New Roman"/>
              </w:rPr>
              <w:t>Estrogen</w:t>
            </w:r>
            <w:proofErr w:type="spellEnd"/>
            <w:r w:rsidRPr="00774BD7">
              <w:rPr>
                <w:rFonts w:ascii="Times New Roman" w:hAnsi="Times New Roman" w:cs="Times New Roman"/>
              </w:rPr>
              <w:t xml:space="preserve"> replacement therapy is permissible</w:t>
            </w:r>
          </w:p>
          <w:p w14:paraId="26E83831"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 xml:space="preserve">c: Gingko biloba is permissible, but discouraged </w:t>
            </w:r>
          </w:p>
          <w:p w14:paraId="35C087C4"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 xml:space="preserve">d: Washout from psychoactive medication (e.g., excluded antidepressants, </w:t>
            </w:r>
            <w:proofErr w:type="spellStart"/>
            <w:r w:rsidRPr="00774BD7">
              <w:rPr>
                <w:rFonts w:ascii="Times New Roman" w:hAnsi="Times New Roman" w:cs="Times New Roman"/>
              </w:rPr>
              <w:t>neruoleptics</w:t>
            </w:r>
            <w:proofErr w:type="spellEnd"/>
            <w:r w:rsidRPr="00774BD7">
              <w:rPr>
                <w:rFonts w:ascii="Times New Roman" w:hAnsi="Times New Roman" w:cs="Times New Roman"/>
              </w:rPr>
              <w:t>, chronic anxiolytics or sedative hypnotics, etc.) for at least 4 weeks prior to screening</w:t>
            </w:r>
          </w:p>
        </w:tc>
        <w:tc>
          <w:tcPr>
            <w:tcW w:w="3492" w:type="dxa"/>
            <w:tcBorders>
              <w:top w:val="single" w:sz="18" w:space="0" w:color="auto"/>
            </w:tcBorders>
          </w:tcPr>
          <w:p w14:paraId="36254D7C" w14:textId="77777777" w:rsidR="00C60062" w:rsidRPr="00774BD7" w:rsidRDefault="00C60062" w:rsidP="00C60062">
            <w:pPr>
              <w:pStyle w:val="ListParagraph"/>
              <w:numPr>
                <w:ilvl w:val="0"/>
                <w:numId w:val="1"/>
              </w:numPr>
              <w:jc w:val="both"/>
              <w:rPr>
                <w:rFonts w:ascii="Times New Roman" w:hAnsi="Times New Roman" w:cs="Times New Roman"/>
              </w:rPr>
            </w:pPr>
            <w:r w:rsidRPr="00774BD7">
              <w:rPr>
                <w:rFonts w:ascii="Times New Roman" w:hAnsi="Times New Roman" w:cs="Times New Roman"/>
              </w:rPr>
              <w:lastRenderedPageBreak/>
              <w:t>Participant must express a subjective memory concern as reported by participant, or recalled by study partner or clinician</w:t>
            </w:r>
          </w:p>
          <w:p w14:paraId="501A5B5F" w14:textId="77777777" w:rsidR="00C60062" w:rsidRPr="00774BD7" w:rsidRDefault="00C60062" w:rsidP="00C60062">
            <w:pPr>
              <w:pStyle w:val="ListParagraph"/>
              <w:numPr>
                <w:ilvl w:val="0"/>
                <w:numId w:val="1"/>
              </w:numPr>
              <w:rPr>
                <w:rFonts w:ascii="Times New Roman" w:hAnsi="Times New Roman" w:cs="Times New Roman"/>
              </w:rPr>
            </w:pPr>
            <w:r w:rsidRPr="00774BD7">
              <w:rPr>
                <w:rFonts w:ascii="Times New Roman" w:hAnsi="Times New Roman" w:cs="Times New Roman"/>
              </w:rPr>
              <w:t xml:space="preserve">Abnormal memory function documented by scoring above education adjusted </w:t>
            </w:r>
            <w:proofErr w:type="spellStart"/>
            <w:r w:rsidRPr="00774BD7">
              <w:rPr>
                <w:rFonts w:ascii="Times New Roman" w:hAnsi="Times New Roman" w:cs="Times New Roman"/>
              </w:rPr>
              <w:t>cutoffs</w:t>
            </w:r>
            <w:proofErr w:type="spellEnd"/>
            <w:r w:rsidRPr="00774BD7">
              <w:rPr>
                <w:rFonts w:ascii="Times New Roman" w:hAnsi="Times New Roman" w:cs="Times New Roman"/>
              </w:rPr>
              <w:t xml:space="preserve"> on the Logical Memory II subscale (Delayed Paragraph Recall, Paragraph A only) from the Wechsler Memory Scale-Revised (the maximum score is 25): </w:t>
            </w:r>
          </w:p>
          <w:p w14:paraId="1E3036BD"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a: &lt; 11 for 16 or more years of education</w:t>
            </w:r>
          </w:p>
          <w:p w14:paraId="3AB0A15D"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b: ≤ 9 for 8-15 years of education</w:t>
            </w:r>
          </w:p>
          <w:p w14:paraId="252B492C"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c: ≤ 6 for 0-7 years of education</w:t>
            </w:r>
          </w:p>
          <w:p w14:paraId="08A2F567" w14:textId="77777777" w:rsidR="00C60062" w:rsidRPr="00774BD7" w:rsidRDefault="00C60062" w:rsidP="00C60062">
            <w:pPr>
              <w:pStyle w:val="ListParagraph"/>
              <w:numPr>
                <w:ilvl w:val="0"/>
                <w:numId w:val="1"/>
              </w:numPr>
              <w:rPr>
                <w:rFonts w:ascii="Times New Roman" w:hAnsi="Times New Roman" w:cs="Times New Roman"/>
              </w:rPr>
            </w:pPr>
            <w:r w:rsidRPr="00774BD7">
              <w:rPr>
                <w:rFonts w:ascii="Times New Roman" w:hAnsi="Times New Roman" w:cs="Times New Roman"/>
              </w:rPr>
              <w:t>Mini-Mental State Exam score between 24 and 30 inclusive (Exceptions may be made for participants with less than 8 years of education at the discretion of the Project Director)</w:t>
            </w:r>
          </w:p>
          <w:p w14:paraId="6EAD30C7" w14:textId="77777777" w:rsidR="00C60062" w:rsidRPr="00774BD7" w:rsidRDefault="00C60062" w:rsidP="00C60062">
            <w:pPr>
              <w:pStyle w:val="ListParagraph"/>
              <w:numPr>
                <w:ilvl w:val="0"/>
                <w:numId w:val="1"/>
              </w:numPr>
              <w:rPr>
                <w:rFonts w:ascii="Times New Roman" w:hAnsi="Times New Roman" w:cs="Times New Roman"/>
              </w:rPr>
            </w:pPr>
            <w:r w:rsidRPr="00774BD7">
              <w:rPr>
                <w:rFonts w:ascii="Times New Roman" w:hAnsi="Times New Roman" w:cs="Times New Roman"/>
              </w:rPr>
              <w:t>Clinical Dementia Rating=0.5. Memory Box score must be 0.5</w:t>
            </w:r>
          </w:p>
          <w:p w14:paraId="053543A0" w14:textId="77777777" w:rsidR="00C60062" w:rsidRPr="00774BD7" w:rsidRDefault="00C60062" w:rsidP="00C60062">
            <w:pPr>
              <w:pStyle w:val="ListParagraph"/>
              <w:numPr>
                <w:ilvl w:val="0"/>
                <w:numId w:val="1"/>
              </w:numPr>
              <w:jc w:val="both"/>
              <w:rPr>
                <w:rFonts w:ascii="Times New Roman" w:hAnsi="Times New Roman" w:cs="Times New Roman"/>
              </w:rPr>
            </w:pPr>
            <w:r w:rsidRPr="00774BD7">
              <w:rPr>
                <w:rFonts w:ascii="Times New Roman" w:hAnsi="Times New Roman" w:cs="Times New Roman"/>
              </w:rPr>
              <w:t>General cognition and functional performance sufficiently preserved such that a diagnosis of Alzheimer’s disease cannot be made by the site physician at the time of the Screening Visit</w:t>
            </w:r>
          </w:p>
          <w:p w14:paraId="676FF204" w14:textId="77777777" w:rsidR="00C60062" w:rsidRPr="00774BD7" w:rsidRDefault="00C60062" w:rsidP="00C60062">
            <w:pPr>
              <w:pStyle w:val="ListParagraph"/>
              <w:numPr>
                <w:ilvl w:val="0"/>
                <w:numId w:val="1"/>
              </w:numPr>
              <w:rPr>
                <w:rFonts w:ascii="Times New Roman" w:hAnsi="Times New Roman" w:cs="Times New Roman"/>
              </w:rPr>
            </w:pPr>
            <w:r w:rsidRPr="00774BD7">
              <w:rPr>
                <w:rFonts w:ascii="Times New Roman" w:hAnsi="Times New Roman" w:cs="Times New Roman"/>
              </w:rPr>
              <w:lastRenderedPageBreak/>
              <w:t>Stability of Permitted Medications for at least 4 weeks:</w:t>
            </w:r>
          </w:p>
          <w:p w14:paraId="4CA479B1"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a: Stable doses of antidepressants lacking significant anticholinergic side effects (if they are currently adequately treated for depressive symptoms and do not have a history of major depression within the past 1 years)</w:t>
            </w:r>
          </w:p>
          <w:p w14:paraId="5CDD46E7"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 xml:space="preserve">b: </w:t>
            </w:r>
            <w:proofErr w:type="spellStart"/>
            <w:r w:rsidRPr="00774BD7">
              <w:rPr>
                <w:rFonts w:ascii="Times New Roman" w:hAnsi="Times New Roman" w:cs="Times New Roman"/>
              </w:rPr>
              <w:t>Estrogen</w:t>
            </w:r>
            <w:proofErr w:type="spellEnd"/>
            <w:r w:rsidRPr="00774BD7">
              <w:rPr>
                <w:rFonts w:ascii="Times New Roman" w:hAnsi="Times New Roman" w:cs="Times New Roman"/>
              </w:rPr>
              <w:t xml:space="preserve"> replacement therapy is permissible</w:t>
            </w:r>
          </w:p>
          <w:p w14:paraId="2FF5F053" w14:textId="77777777" w:rsidR="00C60062" w:rsidRPr="00774BD7" w:rsidRDefault="00C60062" w:rsidP="00F745D3">
            <w:pPr>
              <w:pStyle w:val="ListParagraph"/>
              <w:rPr>
                <w:rFonts w:ascii="Times New Roman" w:hAnsi="Times New Roman" w:cs="Times New Roman"/>
              </w:rPr>
            </w:pPr>
            <w:r w:rsidRPr="00774BD7">
              <w:rPr>
                <w:rFonts w:ascii="Times New Roman" w:hAnsi="Times New Roman" w:cs="Times New Roman"/>
              </w:rPr>
              <w:t xml:space="preserve">c: Gingko biloba is permissible, but discouraged </w:t>
            </w:r>
          </w:p>
          <w:p w14:paraId="091162EB" w14:textId="77777777" w:rsidR="00C60062" w:rsidRPr="00774BD7" w:rsidRDefault="00C60062" w:rsidP="00F745D3">
            <w:pPr>
              <w:pStyle w:val="ListParagraph"/>
              <w:jc w:val="both"/>
              <w:rPr>
                <w:rFonts w:ascii="Times New Roman" w:hAnsi="Times New Roman" w:cs="Times New Roman"/>
              </w:rPr>
            </w:pPr>
            <w:r w:rsidRPr="00774BD7">
              <w:rPr>
                <w:rFonts w:ascii="Times New Roman" w:hAnsi="Times New Roman" w:cs="Times New Roman"/>
              </w:rPr>
              <w:t xml:space="preserve">d: Washout from psychoactive medication (e.g., excluded antidepressants, </w:t>
            </w:r>
            <w:proofErr w:type="spellStart"/>
            <w:r w:rsidRPr="00774BD7">
              <w:rPr>
                <w:rFonts w:ascii="Times New Roman" w:hAnsi="Times New Roman" w:cs="Times New Roman"/>
              </w:rPr>
              <w:t>neruoleptics</w:t>
            </w:r>
            <w:proofErr w:type="spellEnd"/>
            <w:r w:rsidRPr="00774BD7">
              <w:rPr>
                <w:rFonts w:ascii="Times New Roman" w:hAnsi="Times New Roman" w:cs="Times New Roman"/>
              </w:rPr>
              <w:t>, chronic anxiolytics or sedative hypnotics, etc.) for at least 4 weeks prior to screening</w:t>
            </w:r>
          </w:p>
          <w:p w14:paraId="7B0C7EC6" w14:textId="77777777" w:rsidR="00C60062" w:rsidRPr="00774BD7" w:rsidRDefault="00C60062" w:rsidP="00F745D3">
            <w:pPr>
              <w:pStyle w:val="ListParagraph"/>
              <w:jc w:val="both"/>
              <w:rPr>
                <w:rFonts w:ascii="Times New Roman" w:hAnsi="Times New Roman" w:cs="Times New Roman"/>
              </w:rPr>
            </w:pPr>
            <w:r w:rsidRPr="00774BD7">
              <w:rPr>
                <w:rFonts w:ascii="Times New Roman" w:hAnsi="Times New Roman" w:cs="Times New Roman"/>
              </w:rPr>
              <w:t xml:space="preserve">e: cholinesterase inhibitors and memantine are allowable if stable for 12 weeks prior to Screening Visit </w:t>
            </w:r>
          </w:p>
        </w:tc>
      </w:tr>
      <w:tr w:rsidR="00C60062" w:rsidRPr="00774BD7" w14:paraId="757D7B0D" w14:textId="77777777" w:rsidTr="00F745D3">
        <w:tc>
          <w:tcPr>
            <w:tcW w:w="9016" w:type="dxa"/>
            <w:gridSpan w:val="3"/>
            <w:tcBorders>
              <w:bottom w:val="single" w:sz="18" w:space="0" w:color="auto"/>
            </w:tcBorders>
            <w:shd w:val="clear" w:color="auto" w:fill="D9D9D9" w:themeFill="background1" w:themeFillShade="D9"/>
          </w:tcPr>
          <w:p w14:paraId="275C8F30" w14:textId="77777777" w:rsidR="00C60062" w:rsidRPr="00774BD7" w:rsidRDefault="00C60062" w:rsidP="00F745D3">
            <w:pPr>
              <w:jc w:val="both"/>
            </w:pPr>
            <w:r w:rsidRPr="00774BD7">
              <w:lastRenderedPageBreak/>
              <w:t>Inclusion criteria specific to newly enrolled participants</w:t>
            </w:r>
          </w:p>
          <w:p w14:paraId="24EDDB49"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Geriatric Depression Scale score less than 6</w:t>
            </w:r>
          </w:p>
          <w:p w14:paraId="540257DC"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Age between 55-90 years (inclusive)</w:t>
            </w:r>
          </w:p>
          <w:p w14:paraId="78F172AD"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Study partner who has frequent contact with the participant (i.e. minimum average of 10 hours per week) and is available to accompany the participant to all clinic visits for the duration of the protocol</w:t>
            </w:r>
          </w:p>
          <w:p w14:paraId="61C95C4B"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Visual and auditory acuity adequate for neuropsychological testing</w:t>
            </w:r>
          </w:p>
          <w:p w14:paraId="04E6966C"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Good general health with no diseases expected to interfere with the study</w:t>
            </w:r>
          </w:p>
          <w:p w14:paraId="1D25534D"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Participant is not pregnant, lactating, or of childbearing potential (i.e. women must be two years post-menopausal or surgically sterile)</w:t>
            </w:r>
          </w:p>
          <w:p w14:paraId="3BF96EF0"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Willing and able to participate in a longitudinal imaging study</w:t>
            </w:r>
          </w:p>
          <w:p w14:paraId="6B21CF57"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 xml:space="preserve">Modified </w:t>
            </w:r>
            <w:proofErr w:type="spellStart"/>
            <w:r w:rsidRPr="00774BD7">
              <w:rPr>
                <w:rFonts w:ascii="Times New Roman" w:hAnsi="Times New Roman" w:cs="Times New Roman"/>
                <w:szCs w:val="20"/>
              </w:rPr>
              <w:t>Hachinski</w:t>
            </w:r>
            <w:proofErr w:type="spellEnd"/>
            <w:r w:rsidRPr="00774BD7">
              <w:rPr>
                <w:rFonts w:ascii="Times New Roman" w:hAnsi="Times New Roman" w:cs="Times New Roman"/>
                <w:szCs w:val="20"/>
              </w:rPr>
              <w:t xml:space="preserve"> Ischaemic Score less than or equal to 4</w:t>
            </w:r>
          </w:p>
          <w:p w14:paraId="0B1C3ADD"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Completed six grades of education or has a good work history (sufficient to exclude mental retardation)</w:t>
            </w:r>
          </w:p>
          <w:p w14:paraId="550AE64F"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Must speak English or Spanish fluently</w:t>
            </w:r>
          </w:p>
          <w:p w14:paraId="1E323D1E"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Willing to undergo repeated MRIs (3T) and at least two PET scans</w:t>
            </w:r>
          </w:p>
          <w:p w14:paraId="085F6844"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Agrees to collection of blood for genomic analysis (including GWAS sequencing and other analysis), APOE testing and biospecimen banking</w:t>
            </w:r>
          </w:p>
          <w:p w14:paraId="4F2FAD4D"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Agrees to collection of blood for biomarker testing</w:t>
            </w:r>
          </w:p>
          <w:p w14:paraId="73185071" w14:textId="77777777" w:rsidR="00C60062" w:rsidRPr="00774BD7" w:rsidRDefault="00C60062" w:rsidP="00C60062">
            <w:pPr>
              <w:pStyle w:val="ListParagraph"/>
              <w:numPr>
                <w:ilvl w:val="0"/>
                <w:numId w:val="3"/>
              </w:numPr>
              <w:jc w:val="both"/>
              <w:rPr>
                <w:rFonts w:ascii="Times New Roman" w:hAnsi="Times New Roman" w:cs="Times New Roman"/>
                <w:szCs w:val="20"/>
              </w:rPr>
            </w:pPr>
            <w:r w:rsidRPr="00774BD7">
              <w:rPr>
                <w:rFonts w:ascii="Times New Roman" w:hAnsi="Times New Roman" w:cs="Times New Roman"/>
                <w:szCs w:val="20"/>
              </w:rPr>
              <w:t xml:space="preserve">Agrees to at least one lumbar puncture for the collection of </w:t>
            </w:r>
            <w:proofErr w:type="gramStart"/>
            <w:r w:rsidRPr="00774BD7">
              <w:rPr>
                <w:rFonts w:ascii="Times New Roman" w:hAnsi="Times New Roman" w:cs="Times New Roman"/>
                <w:szCs w:val="20"/>
              </w:rPr>
              <w:t>CSF</w:t>
            </w:r>
            <w:proofErr w:type="gramEnd"/>
          </w:p>
          <w:p w14:paraId="06D2E75B" w14:textId="77777777" w:rsidR="00C60062" w:rsidRPr="00774BD7" w:rsidRDefault="00C60062" w:rsidP="00C60062">
            <w:pPr>
              <w:pStyle w:val="ListParagraph"/>
              <w:numPr>
                <w:ilvl w:val="0"/>
                <w:numId w:val="3"/>
              </w:numPr>
              <w:jc w:val="both"/>
              <w:rPr>
                <w:rFonts w:ascii="Times New Roman" w:hAnsi="Times New Roman" w:cs="Times New Roman"/>
              </w:rPr>
            </w:pPr>
            <w:r w:rsidRPr="00774BD7">
              <w:rPr>
                <w:rFonts w:ascii="Times New Roman" w:hAnsi="Times New Roman" w:cs="Times New Roman"/>
                <w:szCs w:val="20"/>
              </w:rPr>
              <w:t>Agrees to share genomic data and biomarker samples</w:t>
            </w:r>
          </w:p>
          <w:p w14:paraId="64023B8A" w14:textId="77777777" w:rsidR="00C60062" w:rsidRPr="00774BD7" w:rsidRDefault="00C60062" w:rsidP="00F745D3">
            <w:pPr>
              <w:jc w:val="both"/>
            </w:pPr>
            <w:r w:rsidRPr="00774BD7">
              <w:t>Inclusion criteria specific to rollover participants</w:t>
            </w:r>
          </w:p>
          <w:p w14:paraId="44B300CA" w14:textId="77777777" w:rsidR="00C60062" w:rsidRPr="00774BD7" w:rsidRDefault="00C60062" w:rsidP="00C60062">
            <w:pPr>
              <w:pStyle w:val="ListParagraph"/>
              <w:numPr>
                <w:ilvl w:val="0"/>
                <w:numId w:val="4"/>
              </w:numPr>
              <w:jc w:val="both"/>
              <w:rPr>
                <w:rFonts w:ascii="Times New Roman" w:hAnsi="Times New Roman" w:cs="Times New Roman"/>
              </w:rPr>
            </w:pPr>
            <w:r w:rsidRPr="00774BD7">
              <w:rPr>
                <w:rFonts w:ascii="Times New Roman" w:hAnsi="Times New Roman" w:cs="Times New Roman"/>
              </w:rPr>
              <w:t>Must have been enrolled and followed in ADNI1, ADNIGO, or ADNI2 for at least one year</w:t>
            </w:r>
          </w:p>
          <w:p w14:paraId="22320F30" w14:textId="77777777" w:rsidR="00C60062" w:rsidRPr="00774BD7" w:rsidRDefault="00C60062" w:rsidP="00C60062">
            <w:pPr>
              <w:pStyle w:val="ListParagraph"/>
              <w:numPr>
                <w:ilvl w:val="0"/>
                <w:numId w:val="4"/>
              </w:numPr>
              <w:jc w:val="both"/>
              <w:rPr>
                <w:rFonts w:ascii="Times New Roman" w:hAnsi="Times New Roman" w:cs="Times New Roman"/>
              </w:rPr>
            </w:pPr>
            <w:r w:rsidRPr="00774BD7">
              <w:rPr>
                <w:rFonts w:ascii="Times New Roman" w:hAnsi="Times New Roman" w:cs="Times New Roman"/>
              </w:rPr>
              <w:t>Willing and able to continue to participate in an ongoing longitudinal study. A reduced battery of tests is allowable if the participant is not able/willing to complete the full battery</w:t>
            </w:r>
          </w:p>
        </w:tc>
      </w:tr>
      <w:tr w:rsidR="00C60062" w:rsidRPr="00774BD7" w14:paraId="6F3934AF" w14:textId="77777777" w:rsidTr="00F745D3">
        <w:tc>
          <w:tcPr>
            <w:tcW w:w="1980" w:type="dxa"/>
            <w:tcBorders>
              <w:top w:val="single" w:sz="18" w:space="0" w:color="auto"/>
            </w:tcBorders>
          </w:tcPr>
          <w:p w14:paraId="69E6A106" w14:textId="77777777" w:rsidR="00C60062" w:rsidRPr="00774BD7" w:rsidRDefault="00C60062" w:rsidP="00F745D3">
            <w:pPr>
              <w:jc w:val="both"/>
            </w:pPr>
            <w:r w:rsidRPr="00774BD7">
              <w:t>Exclusion criteria</w:t>
            </w:r>
          </w:p>
        </w:tc>
        <w:tc>
          <w:tcPr>
            <w:tcW w:w="3544" w:type="dxa"/>
            <w:tcBorders>
              <w:top w:val="single" w:sz="18" w:space="0" w:color="auto"/>
            </w:tcBorders>
          </w:tcPr>
          <w:p w14:paraId="4FBC5465" w14:textId="77777777" w:rsidR="00C60062" w:rsidRPr="00774BD7" w:rsidRDefault="00C60062" w:rsidP="00C60062">
            <w:pPr>
              <w:pStyle w:val="ListParagraph"/>
              <w:numPr>
                <w:ilvl w:val="0"/>
                <w:numId w:val="2"/>
              </w:numPr>
              <w:jc w:val="both"/>
              <w:rPr>
                <w:rFonts w:ascii="Times New Roman" w:hAnsi="Times New Roman" w:cs="Times New Roman"/>
              </w:rPr>
            </w:pPr>
            <w:r w:rsidRPr="00774BD7">
              <w:rPr>
                <w:rFonts w:ascii="Times New Roman" w:hAnsi="Times New Roman" w:cs="Times New Roman"/>
              </w:rPr>
              <w:t xml:space="preserve">Any significant neurologic disease, such as Parkinson’s </w:t>
            </w:r>
            <w:r w:rsidRPr="00774BD7">
              <w:rPr>
                <w:rFonts w:ascii="Times New Roman" w:hAnsi="Times New Roman" w:cs="Times New Roman"/>
              </w:rPr>
              <w:lastRenderedPageBreak/>
              <w:t xml:space="preserve">disease, multi-infarct dementia, Huntington’s disease, normal pressure hydrocephalus, brain </w:t>
            </w:r>
            <w:proofErr w:type="spellStart"/>
            <w:r w:rsidRPr="00774BD7">
              <w:rPr>
                <w:rFonts w:ascii="Times New Roman" w:hAnsi="Times New Roman" w:cs="Times New Roman"/>
              </w:rPr>
              <w:t>tumor</w:t>
            </w:r>
            <w:proofErr w:type="spellEnd"/>
            <w:r w:rsidRPr="00774BD7">
              <w:rPr>
                <w:rFonts w:ascii="Times New Roman" w:hAnsi="Times New Roman" w:cs="Times New Roman"/>
              </w:rPr>
              <w:t>, progressive supranuclear palsy, seizure disorder, subdural hematoma, multiple sclerosis, or history of significant head trauma followed by persistent neurologic deficits or known structural brain abnormalities</w:t>
            </w:r>
          </w:p>
        </w:tc>
        <w:tc>
          <w:tcPr>
            <w:tcW w:w="3492" w:type="dxa"/>
            <w:tcBorders>
              <w:top w:val="single" w:sz="18" w:space="0" w:color="auto"/>
            </w:tcBorders>
          </w:tcPr>
          <w:p w14:paraId="06FE9224" w14:textId="77777777" w:rsidR="00C60062" w:rsidRPr="00774BD7" w:rsidRDefault="00C60062" w:rsidP="00C60062">
            <w:pPr>
              <w:pStyle w:val="ListParagraph"/>
              <w:numPr>
                <w:ilvl w:val="0"/>
                <w:numId w:val="2"/>
              </w:numPr>
              <w:jc w:val="both"/>
              <w:rPr>
                <w:rFonts w:ascii="Times New Roman" w:hAnsi="Times New Roman" w:cs="Times New Roman"/>
              </w:rPr>
            </w:pPr>
            <w:r w:rsidRPr="00774BD7">
              <w:rPr>
                <w:rFonts w:ascii="Times New Roman" w:hAnsi="Times New Roman" w:cs="Times New Roman"/>
              </w:rPr>
              <w:lastRenderedPageBreak/>
              <w:t xml:space="preserve">Any significant neurologic disease other than suspected </w:t>
            </w:r>
            <w:r w:rsidRPr="00774BD7">
              <w:rPr>
                <w:rFonts w:ascii="Times New Roman" w:hAnsi="Times New Roman" w:cs="Times New Roman"/>
              </w:rPr>
              <w:lastRenderedPageBreak/>
              <w:t xml:space="preserve">incipient AD, such as Parkinson’s disease, multi-infarct dementia, Huntington’s disease, normal pressure hydrocephalus, brain </w:t>
            </w:r>
            <w:proofErr w:type="spellStart"/>
            <w:r w:rsidRPr="00774BD7">
              <w:rPr>
                <w:rFonts w:ascii="Times New Roman" w:hAnsi="Times New Roman" w:cs="Times New Roman"/>
              </w:rPr>
              <w:t>tumor</w:t>
            </w:r>
            <w:proofErr w:type="spellEnd"/>
            <w:r w:rsidRPr="00774BD7">
              <w:rPr>
                <w:rFonts w:ascii="Times New Roman" w:hAnsi="Times New Roman" w:cs="Times New Roman"/>
              </w:rPr>
              <w:t>, progressive supranuclear palsy, seizure disorder, subdural hematoma, multiple sclerosis, or history of significant head trauma followed by persistent neurologic deficits or known structural brain abnormalities</w:t>
            </w:r>
          </w:p>
        </w:tc>
      </w:tr>
      <w:tr w:rsidR="00C60062" w:rsidRPr="00774BD7" w14:paraId="541AE9E7" w14:textId="77777777" w:rsidTr="00F745D3">
        <w:tc>
          <w:tcPr>
            <w:tcW w:w="9016" w:type="dxa"/>
            <w:gridSpan w:val="3"/>
            <w:tcBorders>
              <w:bottom w:val="single" w:sz="18" w:space="0" w:color="auto"/>
            </w:tcBorders>
            <w:shd w:val="clear" w:color="auto" w:fill="D9D9D9" w:themeFill="background1" w:themeFillShade="D9"/>
          </w:tcPr>
          <w:p w14:paraId="00A713F7" w14:textId="77777777" w:rsidR="00C60062" w:rsidRPr="00774BD7" w:rsidRDefault="00C60062" w:rsidP="00F745D3">
            <w:pPr>
              <w:jc w:val="both"/>
            </w:pPr>
            <w:r w:rsidRPr="00774BD7">
              <w:lastRenderedPageBreak/>
              <w:t>The following additional exclusion criteria apply to all diagnostic categories:</w:t>
            </w:r>
          </w:p>
          <w:p w14:paraId="24B59DE9"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Screening/Baseline MRI brain scan with evidence of infection, infarction, or other focal lesions or multiple lacunes or lacunes in a critical memory structure</w:t>
            </w:r>
          </w:p>
          <w:p w14:paraId="6677A971"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 xml:space="preserve">Subjects that have any contraindications for MRI studies, including the presence of cardiac pacemakers, or metal fragments or foreign objects in the eyes, </w:t>
            </w:r>
            <w:proofErr w:type="gramStart"/>
            <w:r w:rsidRPr="00774BD7">
              <w:rPr>
                <w:rFonts w:ascii="Times New Roman" w:hAnsi="Times New Roman" w:cs="Times New Roman"/>
              </w:rPr>
              <w:t>skin</w:t>
            </w:r>
            <w:proofErr w:type="gramEnd"/>
            <w:r w:rsidRPr="00774BD7">
              <w:rPr>
                <w:rFonts w:ascii="Times New Roman" w:hAnsi="Times New Roman" w:cs="Times New Roman"/>
              </w:rPr>
              <w:t xml:space="preserve"> or body</w:t>
            </w:r>
          </w:p>
          <w:p w14:paraId="17AC496E"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Major depression, bipolar disorder as described in DSM-IV within the past 1 year. Psychotic features, agitation or behavioural problems within the last 3 months that could lead to difficulty complying with the protocol</w:t>
            </w:r>
          </w:p>
          <w:p w14:paraId="4789B603"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Currently treated with medication for obsessive-compulsive disorder or attention deficit disorder</w:t>
            </w:r>
          </w:p>
          <w:p w14:paraId="09185BA6"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History of schizophrenia (DSM IV criteria)</w:t>
            </w:r>
          </w:p>
          <w:p w14:paraId="06809885"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History of alcohol or substance abuse or dependence within the past 2 years (DSM IV criteria)</w:t>
            </w:r>
          </w:p>
          <w:p w14:paraId="0E67D60D"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Any significant systemic illness or unstable medical condition, which could lead to difficulty complying with the protocol</w:t>
            </w:r>
          </w:p>
          <w:p w14:paraId="408B58E2"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 xml:space="preserve">Clinically significant abnormalities in B12 or TFT2 that might interfere with the study. A low B12 is exclusionary, unless follow-up labs (homocysteine [HC] and methylmalonic acid [MMA]) indicate that it is not physiologically significant. </w:t>
            </w:r>
          </w:p>
          <w:p w14:paraId="3CDDBDBA"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Residence in a skilled nursing facility</w:t>
            </w:r>
          </w:p>
          <w:p w14:paraId="21C46A6E"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 xml:space="preserve">Current use of specific psychoactive medications (e.g., certain antidepressants, neuroleptics, chronic </w:t>
            </w:r>
            <w:proofErr w:type="gramStart"/>
            <w:r w:rsidRPr="00774BD7">
              <w:rPr>
                <w:rFonts w:ascii="Times New Roman" w:hAnsi="Times New Roman" w:cs="Times New Roman"/>
              </w:rPr>
              <w:t>anxiolytics</w:t>
            </w:r>
            <w:proofErr w:type="gramEnd"/>
            <w:r w:rsidRPr="00774BD7">
              <w:rPr>
                <w:rFonts w:ascii="Times New Roman" w:hAnsi="Times New Roman" w:cs="Times New Roman"/>
              </w:rPr>
              <w:t xml:space="preserve"> or sedative hypnotics). Current use of warfarin or other anticoagulants such as dabigatran, rivaroxaban and apixaban (exclusionary for lumbar puncture)</w:t>
            </w:r>
          </w:p>
          <w:p w14:paraId="0733B9FB"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Current use of any other exclusionary medications</w:t>
            </w:r>
          </w:p>
          <w:p w14:paraId="6672989D"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Investigational agents are prohibited one month prior to entry and for the duration of the trial</w:t>
            </w:r>
          </w:p>
          <w:p w14:paraId="5555B559" w14:textId="77777777" w:rsidR="00C60062" w:rsidRPr="00774BD7" w:rsidRDefault="00C60062" w:rsidP="00C60062">
            <w:pPr>
              <w:pStyle w:val="ListParagraph"/>
              <w:numPr>
                <w:ilvl w:val="0"/>
                <w:numId w:val="5"/>
              </w:numPr>
              <w:jc w:val="both"/>
              <w:rPr>
                <w:rFonts w:ascii="Times New Roman" w:hAnsi="Times New Roman" w:cs="Times New Roman"/>
              </w:rPr>
            </w:pPr>
            <w:r w:rsidRPr="00774BD7">
              <w:rPr>
                <w:rFonts w:ascii="Times New Roman" w:hAnsi="Times New Roman" w:cs="Times New Roman"/>
              </w:rPr>
              <w:t>Participation in clinical studies involving neuropsychological measures being collected more than one time per year</w:t>
            </w:r>
          </w:p>
        </w:tc>
      </w:tr>
    </w:tbl>
    <w:p w14:paraId="278C2334" w14:textId="77777777" w:rsidR="00C60062" w:rsidRPr="00774BD7" w:rsidRDefault="00C60062" w:rsidP="00C60062">
      <w:pPr>
        <w:jc w:val="both"/>
      </w:pPr>
    </w:p>
    <w:p w14:paraId="462F4507" w14:textId="77777777" w:rsidR="00C60062" w:rsidRPr="00774BD7" w:rsidRDefault="00C60062" w:rsidP="00C60062">
      <w:pPr>
        <w:pStyle w:val="Heading2"/>
        <w:rPr>
          <w:rFonts w:ascii="Times New Roman" w:hAnsi="Times New Roman" w:cs="Times New Roman"/>
        </w:rPr>
      </w:pPr>
      <w:r w:rsidRPr="00774BD7">
        <w:rPr>
          <w:rFonts w:ascii="Times New Roman" w:hAnsi="Times New Roman" w:cs="Times New Roman"/>
        </w:rPr>
        <w:t>Supplementary material 2</w:t>
      </w:r>
    </w:p>
    <w:p w14:paraId="1E77EDCB" w14:textId="77777777" w:rsidR="00C60062" w:rsidRPr="00774BD7" w:rsidRDefault="00C60062" w:rsidP="00C60062">
      <w:pPr>
        <w:spacing w:line="360" w:lineRule="auto"/>
        <w:jc w:val="both"/>
      </w:pPr>
      <w:r w:rsidRPr="00774BD7">
        <w:t>3T Sagittal 3D MPRAGE images (TE=min full echo, TR=2300ms, TI=900ms, FOV=208x240x256mm, resolution=1x1x1mm) and axial resting-state functional MRI (</w:t>
      </w:r>
      <w:proofErr w:type="spellStart"/>
      <w:r w:rsidRPr="00774BD7">
        <w:t>rsfMRI</w:t>
      </w:r>
      <w:proofErr w:type="spellEnd"/>
      <w:r w:rsidRPr="00774BD7">
        <w:t>) data (eyes-open, ADNI3 Basic Protocol: TE=30ms, TR=3000ms, FA=90</w:t>
      </w:r>
      <w:r w:rsidRPr="00774BD7">
        <w:rPr>
          <w:vertAlign w:val="superscript"/>
        </w:rPr>
        <w:t>o</w:t>
      </w:r>
      <w:r w:rsidRPr="00774BD7">
        <w:t xml:space="preserve">, FOV=220x220x163mm, resolution=3.4x3.4x3.4mm, 10 minutes) were downloaded. To avoid protocol bias effects, resting-state ADNI3 Advanced Protocol data were excluded. </w:t>
      </w:r>
    </w:p>
    <w:p w14:paraId="79EA4CD3" w14:textId="455F8349" w:rsidR="00C60062" w:rsidRPr="00774BD7" w:rsidRDefault="00C60062" w:rsidP="00C60062">
      <w:pPr>
        <w:spacing w:line="360" w:lineRule="auto"/>
        <w:jc w:val="both"/>
      </w:pPr>
      <w:r w:rsidRPr="00774BD7">
        <w:t>A comprehensive structural and fMRI pipeline (</w:t>
      </w:r>
      <w:hyperlink r:id="rId6" w:history="1">
        <w:r w:rsidRPr="00774BD7">
          <w:rPr>
            <w:rStyle w:val="Hyperlink"/>
          </w:rPr>
          <w:t>https://github.com/SPMIC-UoN/BRC_Pipeline</w:t>
        </w:r>
      </w:hyperlink>
      <w:r w:rsidRPr="00774BD7">
        <w:t>)</w:t>
      </w:r>
      <w:r w:rsidRPr="00774BD7">
        <w:fldChar w:fldCharType="begin"/>
      </w:r>
      <w:r>
        <w:instrText xml:space="preserve"> ADDIN EN.CITE &lt;EndNote&gt;&lt;Cite&gt;&lt;Author&gt;Ali-Reza Mohammadi-Nejad&lt;/Author&gt;&lt;Year&gt;2020&lt;/Year&gt;&lt;RecNum&gt;223&lt;/RecNum&gt;&lt;DisplayText&gt;&lt;style face="superscript"&gt;1&lt;/style&gt;&lt;/DisplayText&gt;&lt;record&gt;&lt;rec-number&gt;223&lt;/rec-number&gt;&lt;foreign-keys&gt;&lt;key app="EN" db-id="2tex5d20t02s26ex222p5rezp52atvwf9aff" timestamp="1599337636"&gt;223&lt;/key&gt;&lt;/foreign-keys&gt;&lt;ref-type name="Journal Article"&gt;17&lt;/ref-type&gt;&lt;contributors&gt;&lt;authors&gt;&lt;author&gt;Ali-Reza Mohammadi-Nejad, Stefan Pszczolkowski, Dorothee Auer, Stamatios Sotiropoulos.&lt;/author&gt;&lt;/authors&gt;&lt;/contributors&gt;&lt;titles&gt;&lt;title&gt;Multi-modal neuroimaging pipelines for data preprocessing&lt;/title&gt;&lt;secondary-title&gt;Zenodo&lt;/secondary-title&gt;&lt;/titles&gt;&lt;periodical&gt;&lt;full-title&gt;Zenodo&lt;/full-title&gt;&lt;/periodical&gt;&lt;dates&gt;&lt;year&gt;2020&lt;/year&gt;&lt;/dates&gt;&lt;urls&gt;&lt;/urls&gt;&lt;electronic-resource-num&gt;10.5281/zenodo.3971663&lt;/electronic-resource-num&gt;&lt;/record&gt;&lt;/Cite&gt;&lt;/EndNote&gt;</w:instrText>
      </w:r>
      <w:r w:rsidRPr="00774BD7">
        <w:fldChar w:fldCharType="separate"/>
      </w:r>
      <w:r w:rsidRPr="00C60062">
        <w:rPr>
          <w:noProof/>
          <w:vertAlign w:val="superscript"/>
        </w:rPr>
        <w:t>1</w:t>
      </w:r>
      <w:r w:rsidRPr="00774BD7">
        <w:fldChar w:fldCharType="end"/>
      </w:r>
      <w:r w:rsidRPr="00774BD7">
        <w:t xml:space="preserve"> that uses FSL tools (</w:t>
      </w:r>
      <w:hyperlink r:id="rId7" w:history="1">
        <w:r w:rsidRPr="00774BD7">
          <w:rPr>
            <w:rStyle w:val="Hyperlink"/>
          </w:rPr>
          <w:t>www.fmrib.ox.ac.uk/fsl</w:t>
        </w:r>
      </w:hyperlink>
      <w:r w:rsidRPr="00774BD7">
        <w:t xml:space="preserve">) was used to quality control </w:t>
      </w:r>
      <w:r w:rsidRPr="00774BD7">
        <w:lastRenderedPageBreak/>
        <w:t xml:space="preserve">and pre-process the MRI data. This resulted in a final dataset of 568 participants for structural MRI including 363 for </w:t>
      </w:r>
      <w:proofErr w:type="spellStart"/>
      <w:r w:rsidRPr="00774BD7">
        <w:t>rsfMRI</w:t>
      </w:r>
      <w:proofErr w:type="spellEnd"/>
      <w:r w:rsidRPr="00774BD7">
        <w:t>.</w:t>
      </w:r>
    </w:p>
    <w:p w14:paraId="2C9230D1" w14:textId="77777777" w:rsidR="00C60062" w:rsidRPr="00774BD7" w:rsidRDefault="00C60062" w:rsidP="00C60062">
      <w:pPr>
        <w:jc w:val="both"/>
        <w:rPr>
          <w:b/>
        </w:rPr>
      </w:pPr>
    </w:p>
    <w:p w14:paraId="7F6786A2" w14:textId="77777777" w:rsidR="00C60062" w:rsidRPr="00774BD7" w:rsidRDefault="00C60062" w:rsidP="00C60062">
      <w:pPr>
        <w:jc w:val="both"/>
        <w:rPr>
          <w:b/>
        </w:rPr>
      </w:pPr>
    </w:p>
    <w:p w14:paraId="41A4E458" w14:textId="77777777" w:rsidR="00C60062" w:rsidRPr="00774BD7" w:rsidRDefault="00C60062" w:rsidP="00C60062">
      <w:pPr>
        <w:jc w:val="both"/>
        <w:rPr>
          <w:b/>
        </w:rPr>
      </w:pPr>
      <w:r w:rsidRPr="00774BD7">
        <w:rPr>
          <w:b/>
          <w:noProof/>
        </w:rPr>
        <w:drawing>
          <wp:inline distT="0" distB="0" distL="0" distR="0" wp14:anchorId="2243C665" wp14:editId="1D1EC96A">
            <wp:extent cx="5730875" cy="2148205"/>
            <wp:effectExtent l="0" t="0" r="317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2148205"/>
                    </a:xfrm>
                    <a:prstGeom prst="rect">
                      <a:avLst/>
                    </a:prstGeom>
                    <a:noFill/>
                    <a:ln>
                      <a:noFill/>
                    </a:ln>
                  </pic:spPr>
                </pic:pic>
              </a:graphicData>
            </a:graphic>
          </wp:inline>
        </w:drawing>
      </w:r>
    </w:p>
    <w:p w14:paraId="6DD8E898" w14:textId="77777777" w:rsidR="00C60062" w:rsidRPr="00774BD7" w:rsidRDefault="00C60062" w:rsidP="00C60062">
      <w:pPr>
        <w:pStyle w:val="Heading2"/>
        <w:rPr>
          <w:rFonts w:ascii="Times New Roman" w:hAnsi="Times New Roman" w:cs="Times New Roman"/>
        </w:rPr>
      </w:pPr>
      <w:bookmarkStart w:id="1" w:name="_Supplementary_material_2"/>
      <w:bookmarkStart w:id="2" w:name="_Supplementary_Figure_1"/>
      <w:bookmarkEnd w:id="1"/>
      <w:bookmarkEnd w:id="2"/>
      <w:r w:rsidRPr="00774BD7">
        <w:rPr>
          <w:rFonts w:ascii="Times New Roman" w:hAnsi="Times New Roman" w:cs="Times New Roman"/>
        </w:rPr>
        <w:t xml:space="preserve">Supplementary Figure 1 NBM (Ch4, red-yellow) probability map on three consecutive slices of T1-weighted images downloaded from the SPM 12 Anatomy Toolbox </w:t>
      </w:r>
    </w:p>
    <w:p w14:paraId="35600D40" w14:textId="77777777" w:rsidR="00C60062" w:rsidRPr="00774BD7" w:rsidRDefault="00C60062" w:rsidP="00C60062">
      <w:pPr>
        <w:jc w:val="both"/>
        <w:rPr>
          <w:b/>
        </w:rPr>
      </w:pPr>
    </w:p>
    <w:p w14:paraId="40E917CF" w14:textId="77777777" w:rsidR="00C60062" w:rsidRPr="00774BD7" w:rsidRDefault="00C60062" w:rsidP="00C60062">
      <w:pPr>
        <w:jc w:val="both"/>
        <w:rPr>
          <w:b/>
        </w:rPr>
      </w:pPr>
    </w:p>
    <w:p w14:paraId="49432595" w14:textId="77777777" w:rsidR="00C60062" w:rsidRPr="00774BD7" w:rsidRDefault="00C60062" w:rsidP="00C60062">
      <w:pPr>
        <w:jc w:val="both"/>
        <w:rPr>
          <w:b/>
        </w:rPr>
      </w:pPr>
    </w:p>
    <w:p w14:paraId="3005A69D" w14:textId="77777777" w:rsidR="00C60062" w:rsidRPr="00774BD7" w:rsidRDefault="00C60062" w:rsidP="00C60062">
      <w:pPr>
        <w:jc w:val="both"/>
        <w:rPr>
          <w:b/>
        </w:rPr>
      </w:pPr>
      <w:r w:rsidRPr="00774BD7">
        <w:rPr>
          <w:b/>
        </w:rPr>
        <w:t xml:space="preserve">Supplementary material </w:t>
      </w:r>
      <w:r>
        <w:rPr>
          <w:b/>
        </w:rPr>
        <w:t>3</w:t>
      </w:r>
    </w:p>
    <w:p w14:paraId="63D59493" w14:textId="77777777" w:rsidR="00C60062" w:rsidRPr="00774BD7" w:rsidRDefault="00C60062" w:rsidP="00C60062">
      <w:pPr>
        <w:jc w:val="both"/>
        <w:rPr>
          <w:b/>
        </w:rPr>
      </w:pPr>
    </w:p>
    <w:p w14:paraId="13B1A671" w14:textId="77777777" w:rsidR="00C60062" w:rsidRPr="00774BD7" w:rsidRDefault="00C60062" w:rsidP="00C60062">
      <w:pPr>
        <w:jc w:val="both"/>
        <w:rPr>
          <w:b/>
        </w:rPr>
      </w:pPr>
    </w:p>
    <w:p w14:paraId="214B0B21" w14:textId="7575A964" w:rsidR="00C60062" w:rsidRPr="00774BD7" w:rsidRDefault="00C60062" w:rsidP="00C60062">
      <w:pPr>
        <w:spacing w:line="360" w:lineRule="auto"/>
        <w:jc w:val="both"/>
        <w:rPr>
          <w:strike/>
        </w:rPr>
      </w:pPr>
      <w:r w:rsidRPr="00774BD7">
        <w:t xml:space="preserve">The probabilistic anatomical maps of NBM were </w:t>
      </w:r>
      <w:proofErr w:type="spellStart"/>
      <w:r w:rsidRPr="00774BD7">
        <w:t>thresholded</w:t>
      </w:r>
      <w:proofErr w:type="spellEnd"/>
      <w:r w:rsidRPr="00774BD7">
        <w:t xml:space="preserve"> at 28%</w:t>
      </w:r>
      <w:r w:rsidRPr="00774BD7">
        <w:fldChar w:fldCharType="begin"/>
      </w:r>
      <w:r>
        <w:instrText xml:space="preserve"> ADDIN EN.CITE &lt;EndNote&gt;&lt;Cite&gt;&lt;Author&gt;Zaborszky&lt;/Author&gt;&lt;Year&gt;2008&lt;/Year&gt;&lt;RecNum&gt;11047&lt;/RecNum&gt;&lt;DisplayText&gt;&lt;style face="superscript"&gt;2&lt;/style&gt;&lt;/DisplayText&gt;&lt;record&gt;&lt;rec-number&gt;11047&lt;/rec-number&gt;&lt;foreign-keys&gt;&lt;key app="EN" db-id="20v5wpwvdfss08ewtv35sz5iaaa2zxft2xaa" timestamp="1575890230"&gt;11047&lt;/key&gt;&lt;/foreign-keys&gt;&lt;ref-type name="Journal Article"&gt;17&lt;/ref-type&gt;&lt;contributors&gt;&lt;authors&gt;&lt;author&gt;Zaborszky, L.&lt;/author&gt;&lt;author&gt;Hoemke, L.&lt;/author&gt;&lt;author&gt;Mohlberg, H.&lt;/author&gt;&lt;author&gt;Schleicher, A.&lt;/author&gt;&lt;author&gt;Amunts, K.&lt;/author&gt;&lt;author&gt;Zilles, K.&lt;/author&gt;&lt;/authors&gt;&lt;/contributors&gt;&lt;auth-address&gt;Center for Molecular and Behavioral Neuroscience, Rutgers, The State University of New Jersey, Newark, NJ 07102, USA. laszloz@andromeda.rutgers.edu&lt;/auth-address&gt;&lt;titles&gt;&lt;title&gt;Stereotaxic probabilistic maps of the magnocellular cell groups in human basal forebrain&lt;/title&gt;&lt;secondary-title&gt;Neuroimage&lt;/secondary-title&gt;&lt;/titles&gt;&lt;periodical&gt;&lt;full-title&gt;Neuroimage&lt;/full-title&gt;&lt;abbr-1&gt;Neuroimage&lt;/abbr-1&gt;&lt;/periodical&gt;&lt;pages&gt;1127-41&lt;/pages&gt;&lt;volume&gt;42&lt;/volume&gt;&lt;number&gt;3&lt;/number&gt;&lt;keywords&gt;&lt;keyword&gt;Adult&lt;/keyword&gt;&lt;keyword&gt;Aged&lt;/keyword&gt;&lt;keyword&gt;Female&lt;/keyword&gt;&lt;keyword&gt;Humans&lt;/keyword&gt;&lt;keyword&gt;*Imaging, Three-Dimensional&lt;/keyword&gt;&lt;keyword&gt;Male&lt;/keyword&gt;&lt;keyword&gt;Middle Aged&lt;/keyword&gt;&lt;keyword&gt;Neurons/*cytology&lt;/keyword&gt;&lt;keyword&gt;Prosencephalon/*cytology&lt;/keyword&gt;&lt;/keywords&gt;&lt;dates&gt;&lt;year&gt;2008&lt;/year&gt;&lt;pub-dates&gt;&lt;date&gt;Sep 1&lt;/date&gt;&lt;/pub-dates&gt;&lt;/dates&gt;&lt;isbn&gt;1095-9572 (Electronic)&amp;#xD;1053-8119 (Linking)&lt;/isbn&gt;&lt;accession-num&gt;18585468&lt;/accession-num&gt;&lt;urls&gt;&lt;related-urls&gt;&lt;url&gt;https://www.ncbi.nlm.nih.gov/pubmed/18585468&lt;/url&gt;&lt;/related-urls&gt;&lt;/urls&gt;&lt;custom2&gt;PMC2577158&lt;/custom2&gt;&lt;electronic-resource-num&gt;10.1016/j.neuroimage.2008.05.055&lt;/electronic-resource-num&gt;&lt;/record&gt;&lt;/Cite&gt;&lt;/EndNote&gt;</w:instrText>
      </w:r>
      <w:r w:rsidRPr="00774BD7">
        <w:fldChar w:fldCharType="separate"/>
      </w:r>
      <w:r w:rsidRPr="00C60062">
        <w:rPr>
          <w:noProof/>
          <w:vertAlign w:val="superscript"/>
        </w:rPr>
        <w:t>2</w:t>
      </w:r>
      <w:r w:rsidRPr="00774BD7">
        <w:fldChar w:fldCharType="end"/>
      </w:r>
      <w:r w:rsidRPr="00774BD7">
        <w:t xml:space="preserve"> and registered to each participant’s T1-weighted images using a non-linear transformation. Participants’ GM tissue probability maps were extracted using FAST</w:t>
      </w:r>
      <w:r w:rsidRPr="00774BD7">
        <w:fldChar w:fldCharType="begin"/>
      </w:r>
      <w:r>
        <w:instrText xml:space="preserve"> ADDIN EN.CITE &lt;EndNote&gt;&lt;Cite&gt;&lt;Author&gt;Zhang&lt;/Author&gt;&lt;Year&gt;2001&lt;/Year&gt;&lt;RecNum&gt;11298&lt;/RecNum&gt;&lt;DisplayText&gt;&lt;style face="superscript"&gt;3&lt;/style&gt;&lt;/DisplayText&gt;&lt;record&gt;&lt;rec-number&gt;11298&lt;/rec-number&gt;&lt;foreign-keys&gt;&lt;key app="EN" db-id="20v5wpwvdfss08ewtv35sz5iaaa2zxft2xaa" timestamp="1578648462"&gt;11298&lt;/key&gt;&lt;/foreign-keys&gt;&lt;ref-type name="Journal Article"&gt;17&lt;/ref-type&gt;&lt;contributors&gt;&lt;authors&gt;&lt;author&gt;Zhang, Y. Y.&lt;/author&gt;&lt;author&gt;Brady, M.&lt;/author&gt;&lt;author&gt;Smith, S.&lt;/author&gt;&lt;/authors&gt;&lt;/contributors&gt;&lt;auth-address&gt;Univ Oxford, John Radcliffe Hosp, FMRIB Ctr, Oxford OX3 9DU, England&amp;#xD;Univ Oxford, Dept Engn Sci, Robot Res Grp, Oxford OX1 3PJ, England&lt;/auth-address&gt;&lt;titles&gt;&lt;title&gt;Segmentation of brain MR images through a hidden Markov random field model and the expectation-maximization algorithm&lt;/title&gt;&lt;secondary-title&gt;Ieee Transactions on Medical Imaging&lt;/secondary-title&gt;&lt;alt-title&gt;Ieee T Med Imaging&lt;/alt-title&gt;&lt;/titles&gt;&lt;periodical&gt;&lt;full-title&gt;Ieee Transactions on Medical Imaging&lt;/full-title&gt;&lt;abbr-1&gt;Ieee T Med Imaging&lt;/abbr-1&gt;&lt;/periodical&gt;&lt;alt-periodical&gt;&lt;full-title&gt;Ieee Transactions on Medical Imaging&lt;/full-title&gt;&lt;abbr-1&gt;Ieee T Med Imaging&lt;/abbr-1&gt;&lt;/alt-periodical&gt;&lt;pages&gt;45-57&lt;/pages&gt;&lt;volume&gt;20&lt;/volume&gt;&lt;number&gt;1&lt;/number&gt;&lt;keywords&gt;&lt;keyword&gt;bias field correction expectation-maximization&lt;/keyword&gt;&lt;keyword&gt;hidden markov random field&lt;/keyword&gt;&lt;keyword&gt;mri&lt;/keyword&gt;&lt;keyword&gt;segmentation&lt;/keyword&gt;&lt;keyword&gt;statistical-analysis&lt;/keyword&gt;&lt;keyword&gt;em algorithm&lt;/keyword&gt;&lt;keyword&gt;recognition&lt;/keyword&gt;&lt;keyword&gt;restoration&lt;/keyword&gt;&lt;/keywords&gt;&lt;dates&gt;&lt;year&gt;2001&lt;/year&gt;&lt;pub-dates&gt;&lt;date&gt;Jan&lt;/date&gt;&lt;/pub-dates&gt;&lt;/dates&gt;&lt;isbn&gt;0278-0062&lt;/isbn&gt;&lt;accession-num&gt;WOS:000167324900005&lt;/accession-num&gt;&lt;urls&gt;&lt;related-urls&gt;&lt;url&gt;&amp;lt;Go to ISI&amp;gt;://WOS:000167324900005&lt;/url&gt;&lt;/related-urls&gt;&lt;/urls&gt;&lt;electronic-resource-num&gt;Doi 10.1109/42.906424&lt;/electronic-resource-num&gt;&lt;language&gt;English&lt;/language&gt;&lt;/record&gt;&lt;/Cite&gt;&lt;/EndNote&gt;</w:instrText>
      </w:r>
      <w:r w:rsidRPr="00774BD7">
        <w:fldChar w:fldCharType="separate"/>
      </w:r>
      <w:r w:rsidRPr="00C60062">
        <w:rPr>
          <w:noProof/>
          <w:vertAlign w:val="superscript"/>
        </w:rPr>
        <w:t>3</w:t>
      </w:r>
      <w:r w:rsidRPr="00774BD7">
        <w:fldChar w:fldCharType="end"/>
      </w:r>
      <w:r w:rsidRPr="00774BD7">
        <w:t xml:space="preserve"> in FMRIB Software Library (FSL) v6.0. To reduce partial volume effects and anatomically match Ch4, a threshold of 60% GM probability was applied. </w:t>
      </w:r>
      <w:r w:rsidRPr="00774BD7">
        <w:rPr>
          <w:bCs/>
        </w:rPr>
        <w:t xml:space="preserve">To choose the optimal GM threshold, we used the published Ch4 volume as a reference </w:t>
      </w:r>
      <w:r w:rsidRPr="00774BD7">
        <w:rPr>
          <w:bCs/>
        </w:rPr>
        <w:fldChar w:fldCharType="begin"/>
      </w:r>
      <w:r>
        <w:rPr>
          <w:bCs/>
        </w:rPr>
        <w:instrText xml:space="preserve"> ADDIN EN.CITE &lt;EndNote&gt;&lt;Cite&gt;&lt;Author&gt;Zaborszky&lt;/Author&gt;&lt;Year&gt;2008&lt;/Year&gt;&lt;RecNum&gt;61&lt;/RecNum&gt;&lt;DisplayText&gt;&lt;style face="superscript"&gt;2&lt;/style&gt;&lt;/DisplayText&gt;&lt;record&gt;&lt;rec-number&gt;61&lt;/rec-number&gt;&lt;foreign-keys&gt;&lt;key app="EN" db-id="t0ev5v5depxdacew0f85ddx9rrafwp59fz2z" timestamp="1591972672"&gt;61&lt;/key&gt;&lt;/foreign-keys&gt;&lt;ref-type name="Journal Article"&gt;17&lt;/ref-type&gt;&lt;contributors&gt;&lt;authors&gt;&lt;author&gt;Zaborszky, L.&lt;/author&gt;&lt;author&gt;Hoemke, L.&lt;/author&gt;&lt;author&gt;Mohlberg, H.&lt;/author&gt;&lt;author&gt;Schleicher, A.&lt;/author&gt;&lt;author&gt;Amunts, K.&lt;/author&gt;&lt;author&gt;Zilles, K.&lt;/author&gt;&lt;/authors&gt;&lt;/contributors&gt;&lt;auth-address&gt;Center for Molecular and Behavioral Neuroscience, Rutgers, The State University of New Jersey, Newark, NJ 07102, USA. laszloz@andromeda.rutgers.edu&lt;/auth-address&gt;&lt;titles&gt;&lt;title&gt;Stereotaxic probabilistic maps of the magnocellular cell groups in human basal forebrain&lt;/title&gt;&lt;secondary-title&gt;Neuroimage&lt;/secondary-title&gt;&lt;/titles&gt;&lt;pages&gt;1127-41&lt;/pages&gt;&lt;volume&gt;42&lt;/volume&gt;&lt;number&gt;3&lt;/number&gt;&lt;keywords&gt;&lt;keyword&gt;Adult&lt;/keyword&gt;&lt;keyword&gt;Aged&lt;/keyword&gt;&lt;keyword&gt;Female&lt;/keyword&gt;&lt;keyword&gt;Humans&lt;/keyword&gt;&lt;keyword&gt;*Imaging, Three-Dimensional&lt;/keyword&gt;&lt;keyword&gt;Male&lt;/keyword&gt;&lt;keyword&gt;Middle Aged&lt;/keyword&gt;&lt;keyword&gt;Neurons/*cytology&lt;/keyword&gt;&lt;keyword&gt;Prosencephalon/*cytology&lt;/keyword&gt;&lt;/keywords&gt;&lt;dates&gt;&lt;year&gt;2008&lt;/year&gt;&lt;pub-dates&gt;&lt;date&gt;Sep 1&lt;/date&gt;&lt;/pub-dates&gt;&lt;/dates&gt;&lt;isbn&gt;1095-9572 (Electronic)&amp;#xD;1053-8119 (Linking)&lt;/isbn&gt;&lt;accession-num&gt;18585468&lt;/accession-num&gt;&lt;urls&gt;&lt;related-urls&gt;&lt;url&gt;https://www.ncbi.nlm.nih.gov/pubmed/18585468&lt;/url&gt;&lt;/related-urls&gt;&lt;/urls&gt;&lt;custom2&gt;PMC2577158&lt;/custom2&gt;&lt;electronic-resource-num&gt;10.1016/j.neuroimage.2008.05.055&lt;/electronic-resource-num&gt;&lt;/record&gt;&lt;/Cite&gt;&lt;/EndNote&gt;</w:instrText>
      </w:r>
      <w:r w:rsidRPr="00774BD7">
        <w:rPr>
          <w:bCs/>
        </w:rPr>
        <w:fldChar w:fldCharType="separate"/>
      </w:r>
      <w:r w:rsidRPr="00C60062">
        <w:rPr>
          <w:bCs/>
          <w:noProof/>
          <w:vertAlign w:val="superscript"/>
        </w:rPr>
        <w:t>2</w:t>
      </w:r>
      <w:r w:rsidRPr="00774BD7">
        <w:rPr>
          <w:bCs/>
        </w:rPr>
        <w:fldChar w:fldCharType="end"/>
      </w:r>
      <w:r w:rsidRPr="00774BD7">
        <w:rPr>
          <w:bCs/>
        </w:rPr>
        <w:t xml:space="preserve"> and then used various GM thresholds (40%, 50% and 60%) to calculate the NBM GM volumes accordingly. We found that the results of NBM GM volume using the 60% GM threshold was the closest to the published Ch4 volume. </w:t>
      </w:r>
      <w:r w:rsidRPr="00774BD7">
        <w:t>To correct for brain size, we also extracted individual total intracranial volumes (TIV), which was automatically calculated using the CAT12 toolbox (http://www.neuro.uni-jena.de/cat/, version r914) within SPM12 (http://www.fil.ion.ucl.ac.uk/spm/software/spm12/) using MATLAB (R2017a) and was treated as a covariate of no interest in the analyses for investigating the association among NBM structural imaging metrics, AC medication use and cognition.</w:t>
      </w:r>
      <w:r w:rsidRPr="00774BD7">
        <w:rPr>
          <w:strike/>
        </w:rPr>
        <w:t xml:space="preserve"> </w:t>
      </w:r>
      <w:r w:rsidRPr="00774BD7">
        <w:t>Then each participant’s NBM mask was multiplied with their corresponding GM mask, resulting in a NBM mask of GM density in each participant’s T1 native space for subsequent intensity analysis. The mean NBM GM density of each participant was extracted using FSL tool.</w:t>
      </w:r>
    </w:p>
    <w:p w14:paraId="56F6AECE" w14:textId="77777777" w:rsidR="00C60062" w:rsidRPr="00774BD7" w:rsidRDefault="00C60062" w:rsidP="00C60062">
      <w:pPr>
        <w:spacing w:line="360" w:lineRule="auto"/>
        <w:jc w:val="both"/>
      </w:pPr>
    </w:p>
    <w:p w14:paraId="509CE90E" w14:textId="69913CE0" w:rsidR="00C60062" w:rsidRDefault="00C60062" w:rsidP="00C60062">
      <w:pPr>
        <w:spacing w:line="360" w:lineRule="auto"/>
        <w:jc w:val="both"/>
      </w:pPr>
      <w:r w:rsidRPr="00774BD7">
        <w:t xml:space="preserve">NBM seed-based functional connectivity analysis was then undertaken in the matched test data using the same approach. All analyses were carried out using FMRI Expert Analysis Tool (FEAT) Version 6.00, part of FMRIB’s Software Library (FSL) Version 6.0.1 (FMRIB's Software Library, </w:t>
      </w:r>
      <w:hyperlink r:id="rId9" w:history="1">
        <w:r w:rsidRPr="00774BD7">
          <w:rPr>
            <w:rStyle w:val="Hyperlink"/>
          </w:rPr>
          <w:t>www.fmrib.ox.ac.uk/fsl</w:t>
        </w:r>
      </w:hyperlink>
      <w:r w:rsidRPr="00774BD7">
        <w:t>)</w:t>
      </w:r>
      <w:r w:rsidRPr="00774BD7">
        <w:fldChar w:fldCharType="begin">
          <w:fldData xml:space="preserve">PEVuZE5vdGU+PENpdGU+PEF1dGhvcj5Xb29scmljaDwvQXV0aG9yPjxZZWFyPjIwMDE8L1llYXI+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</w:fldData>
        </w:fldChar>
      </w:r>
      <w:r>
        <w:instrText xml:space="preserve"> ADDIN EN.CITE </w:instrText>
      </w:r>
      <w:r>
        <w:fldChar w:fldCharType="begin">
          <w:fldData xml:space="preserve">PEVuZE5vdGU+PENpdGU+PEF1dGhvcj5Xb29scmljaDwvQXV0aG9yPjxZZWFyPjIwMDE8L1llYXI+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</w:fldData>
        </w:fldChar>
      </w:r>
      <w:r>
        <w:instrText xml:space="preserve"> ADDIN EN.CITE.DATA </w:instrText>
      </w:r>
      <w:r>
        <w:fldChar w:fldCharType="end"/>
      </w:r>
      <w:r w:rsidRPr="00774BD7">
        <w:fldChar w:fldCharType="separate"/>
      </w:r>
      <w:r w:rsidRPr="00C60062">
        <w:rPr>
          <w:noProof/>
          <w:vertAlign w:val="superscript"/>
        </w:rPr>
        <w:t>4, 5</w:t>
      </w:r>
      <w:r w:rsidRPr="00774BD7">
        <w:fldChar w:fldCharType="end"/>
      </w:r>
      <w:r w:rsidRPr="00774BD7">
        <w:t>. Each participant’s NBM GM mask in T1 native space was co-registered to fMRI space and then used as the NBM mask for FC analysis. Nuisance regressors were defined as signal averaged from masks of the central deep white matter (WM) (198cm</w:t>
      </w:r>
      <w:r w:rsidRPr="00774BD7">
        <w:rPr>
          <w:vertAlign w:val="superscript"/>
        </w:rPr>
        <w:t>3</w:t>
      </w:r>
      <w:r w:rsidRPr="00774BD7">
        <w:t>), signal averaged over the masks of ventricles (20cm</w:t>
      </w:r>
      <w:r w:rsidRPr="00774BD7">
        <w:rPr>
          <w:vertAlign w:val="superscript"/>
        </w:rPr>
        <w:t>3</w:t>
      </w:r>
      <w:r w:rsidRPr="00774BD7">
        <w:t>) and six parameters obtained by rigid body head motion correction, and then were used in the general linear model. The WM and ventricular masks were generated from each participant’s T1-weighted image using FMRIB's Automated Segmentation Tool (FAST)</w:t>
      </w:r>
      <w:r w:rsidRPr="00774BD7">
        <w:fldChar w:fldCharType="begin"/>
      </w:r>
      <w:r>
        <w:instrText xml:space="preserve"> ADDIN EN.CITE &lt;EndNote&gt;&lt;Cite&gt;&lt;Author&gt;Zhang&lt;/Author&gt;&lt;Year&gt;2001&lt;/Year&gt;&lt;RecNum&gt;11312&lt;/RecNum&gt;&lt;DisplayText&gt;&lt;style face="superscript"&gt;3&lt;/style&gt;&lt;/DisplayText&gt;&lt;record&gt;&lt;rec-number&gt;11312&lt;/rec-number&gt;&lt;foreign-keys&gt;&lt;key app="EN" db-id="20v5wpwvdfss08ewtv35sz5iaaa2zxft2xaa" timestamp="1579712396"&gt;11312&lt;/key&gt;&lt;/foreign-keys&gt;&lt;ref-type name="Journal Article"&gt;17&lt;/ref-type&gt;&lt;contributors&gt;&lt;authors&gt;&lt;author&gt;Zhang, Y. Y.&lt;/author&gt;&lt;author&gt;Brady, M.&lt;/author&gt;&lt;author&gt;Smith, S.&lt;/author&gt;&lt;/authors&gt;&lt;/contributors&gt;&lt;auth-address&gt;Univ Oxford, John Radcliffe Hosp, FMRIB Ctr, Oxford OX3 9DU, England&amp;#xD;Univ Oxford, Dept Engn Sci, Robot Res Grp, Oxford OX1 3PJ, England&lt;/auth-address&gt;&lt;titles&gt;&lt;title&gt;Segmentation of brain MR images through a hidden Markov random field model and the expectation-maximization algorithm&lt;/title&gt;&lt;secondary-title&gt;Ieee Transactions on Medical Imaging&lt;/secondary-title&gt;&lt;alt-title&gt;Ieee T Med Imaging&lt;/alt-title&gt;&lt;/titles&gt;&lt;periodical&gt;&lt;full-title&gt;Ieee Transactions on Medical Imaging&lt;/full-title&gt;&lt;abbr-1&gt;Ieee T Med Imaging&lt;/abbr-1&gt;&lt;/periodical&gt;&lt;alt-periodical&gt;&lt;full-title&gt;Ieee Transactions on Medical Imaging&lt;/full-title&gt;&lt;abbr-1&gt;Ieee T Med Imaging&lt;/abbr-1&gt;&lt;/alt-periodical&gt;&lt;pages&gt;45-57&lt;/pages&gt;&lt;volume&gt;20&lt;/volume&gt;&lt;number&gt;1&lt;/number&gt;&lt;keywords&gt;&lt;keyword&gt;bias field correction expectation-maximization&lt;/keyword&gt;&lt;keyword&gt;hidden markov random field&lt;/keyword&gt;&lt;keyword&gt;mri&lt;/keyword&gt;&lt;keyword&gt;segmentation&lt;/keyword&gt;&lt;keyword&gt;statistical-analysis&lt;/keyword&gt;&lt;keyword&gt;em algorithm&lt;/keyword&gt;&lt;keyword&gt;recognition&lt;/keyword&gt;&lt;keyword&gt;restoration&lt;/keyword&gt;&lt;/keywords&gt;&lt;dates&gt;&lt;year&gt;2001&lt;/year&gt;&lt;pub-dates&gt;&lt;date&gt;Jan&lt;/date&gt;&lt;/pub-dates&gt;&lt;/dates&gt;&lt;isbn&gt;0278-0062&lt;/isbn&gt;&lt;accession-num&gt;WOS:000167324900005&lt;/accession-num&gt;&lt;urls&gt;&lt;related-urls&gt;&lt;url&gt;&amp;lt;Go to ISI&amp;gt;://WOS:000167324900005&lt;/url&gt;&lt;/related-urls&gt;&lt;/urls&gt;&lt;electronic-resource-num&gt;Doi 10.1109/42.906424&lt;/electronic-resource-num&gt;&lt;language&gt;English&lt;/language&gt;&lt;/record&gt;&lt;/Cite&gt;&lt;/EndNote&gt;</w:instrText>
      </w:r>
      <w:r w:rsidRPr="00774BD7">
        <w:fldChar w:fldCharType="separate"/>
      </w:r>
      <w:r w:rsidRPr="00C60062">
        <w:rPr>
          <w:noProof/>
          <w:vertAlign w:val="superscript"/>
        </w:rPr>
        <w:t>3</w:t>
      </w:r>
      <w:r w:rsidRPr="00774BD7">
        <w:fldChar w:fldCharType="end"/>
      </w:r>
      <w:r w:rsidRPr="00774BD7">
        <w:t xml:space="preserve">, part of FSL software and then co-registered into fMRI space. An in-house </w:t>
      </w:r>
      <w:proofErr w:type="spellStart"/>
      <w:r w:rsidRPr="00774BD7">
        <w:t>Matlab</w:t>
      </w:r>
      <w:proofErr w:type="spellEnd"/>
      <w:r w:rsidRPr="00774BD7">
        <w:t xml:space="preserve"> code was applied to generate the </w:t>
      </w:r>
      <w:proofErr w:type="spellStart"/>
      <w:r w:rsidRPr="00774BD7">
        <w:t>thresholded</w:t>
      </w:r>
      <w:proofErr w:type="spellEnd"/>
      <w:r w:rsidRPr="00774BD7">
        <w:t xml:space="preserve"> WM and ventricular masks. We did not use the mean global signal as a regressor to avoid introducing spurious anticorrelations</w:t>
      </w:r>
      <w:r w:rsidRPr="00774BD7">
        <w:fldChar w:fldCharType="begin"/>
      </w:r>
      <w:r>
        <w:instrText xml:space="preserve"> ADDIN EN.CITE &lt;EndNote&gt;&lt;Cite&gt;&lt;Author&gt;Cottam&lt;/Author&gt;&lt;Year&gt;2017&lt;/Year&gt;&lt;RecNum&gt;9504&lt;/RecNum&gt;&lt;DisplayText&gt;&lt;style face="superscript"&gt;6&lt;/style&gt;&lt;/DisplayText&gt;&lt;record&gt;&lt;rec-number&gt;9504&lt;/rec-number&gt;&lt;foreign-keys&gt;&lt;key app="EN" db-id="20v5wpwvdfss08ewtv35sz5iaaa2zxft2xaa" timestamp="0"&gt;9504&lt;/key&gt;&lt;/foreign-keys&gt;&lt;ref-type name="Conference Proceedings"&gt;10&lt;/ref-type&gt;&lt;contributors&gt;&lt;authors&gt;&lt;author&gt;Cottam, W. J.  &lt;/author&gt;&lt;author&gt;Auer, D. P.&lt;/author&gt;&lt;/authors&gt;&lt;/contributors&gt;&lt;titles&gt;&lt;title&gt;Group differences in default mode network connectivity not just anti-correlation depend on choice of nuisance regressor model&lt;/title&gt;&lt;secondary-title&gt;The International Society for Magnetic Resonance in Medicine (ISMRM)&lt;/secondary-title&gt;&lt;/titles&gt;&lt;dates&gt;&lt;year&gt;2017&lt;/year&gt;&lt;/dates&gt;&lt;urls&gt;&lt;/urls&gt;&lt;/record&gt;&lt;/Cite&gt;&lt;/EndNote&gt;</w:instrText>
      </w:r>
      <w:r w:rsidRPr="00774BD7">
        <w:fldChar w:fldCharType="separate"/>
      </w:r>
      <w:r w:rsidRPr="00C60062">
        <w:rPr>
          <w:noProof/>
          <w:vertAlign w:val="superscript"/>
        </w:rPr>
        <w:t>6</w:t>
      </w:r>
      <w:r w:rsidRPr="00774BD7">
        <w:fldChar w:fldCharType="end"/>
      </w:r>
      <w:r w:rsidRPr="00774BD7">
        <w:t xml:space="preserve">. Z statistical images of each individual were based on Z&gt;2.3 and a corrected cluster significance threshold of P&lt;0.05. Higher-level analysis was carried out using FLAME (FMRIB’s Local Analysis of Mixed Effects) </w:t>
      </w:r>
      <w:r w:rsidRPr="00774BD7">
        <w:fldChar w:fldCharType="begin"/>
      </w:r>
      <w:r>
        <w:instrText xml:space="preserve"> ADDIN EN.CITE &lt;EndNote&gt;&lt;Cite&gt;&lt;Author&gt;Jezzard&lt;/Author&gt;&lt;Year&gt;2001&lt;/Year&gt;&lt;RecNum&gt;1450&lt;/RecNum&gt;&lt;DisplayText&gt;&lt;style face="superscript"&gt;7&lt;/style&gt;&lt;/DisplayText&gt;&lt;record&gt;&lt;rec-number&gt;1450&lt;/rec-number&gt;&lt;foreign-keys&gt;&lt;key app="EN" db-id="9wrvw29x6rv902e2re659dta0watstfsp0av"&gt;1450&lt;/key&gt;&lt;/foreign-keys&gt;&lt;ref-type name="Book"&gt;6&lt;/ref-type&gt;&lt;contributors&gt;&lt;authors&gt;&lt;author&gt;Jezzard, Peter&lt;/author&gt;&lt;author&gt;Matthews, Paul M.&lt;/author&gt;&lt;author&gt;Smith, Stephen M.&lt;/author&gt;&lt;/authors&gt;&lt;/contributors&gt;&lt;titles&gt;&lt;title&gt;Functional MRI : an introduction to methods&lt;/title&gt;&lt;/titles&gt;&lt;pages&gt;xiii, 390 p., 22 p. of col. plates&lt;/pages&gt;&lt;keywords&gt;&lt;keyword&gt;Brain Magnetic resonance imaging.&lt;/keyword&gt;&lt;keyword&gt;Brain physiology.&lt;/keyword&gt;&lt;keyword&gt;Magnetic Resonance Imaging methods.&lt;/keyword&gt;&lt;/keywords&gt;&lt;dates&gt;&lt;year&gt;2001&lt;/year&gt;&lt;/dates&gt;&lt;pub-location&gt;Oxford&lt;/pub-location&gt;&lt;publisher&gt;Oxford University Press&lt;/publisher&gt;&lt;isbn&gt;0192630717 (hbk.)&amp;#xD;019852773X (pbk.)&lt;/isbn&gt;&lt;accession-num&gt;015239200&lt;/accession-num&gt;&lt;call-num&gt;COMDL 92C 55 JEZ&amp;#xD;EXECL HGG 45f&amp;#xD;HCLBL WL 300 Fun&amp;#xD;LINCL 612.8 Jez&amp;#xD;MAGCL 616.8 JEZ&amp;#xD;RSLBL WL 300 FUN&amp;#xD;RSLBL WL300 FUN 2001&amp;#xD;STADL&amp;#xD;WOLCL 616.075 JEZ&amp;#xD;Computer Science Library 92C 55 JEZ&amp;#xD;Exeter College Library HGG 45f&amp;#xD;Health Care - Cairns WL 300 Fun&amp;#xD;Lincoln College Library 612.8 Jez&amp;#xD;Magdalen College Library 616.8 JEZ&amp;#xD;Radcliffe Science Library WL 300 FUN&amp;#xD;Radcliffe Science Library WL300 FUN 2001&amp;#xD;Statistics Library&amp;#xD;Wolfson College Library 616.075 JEZ&lt;/call-num&gt;&lt;urls&gt;&lt;/urls&gt;&lt;/record&gt;&lt;/Cite&gt;&lt;/EndNote&gt;</w:instrText>
      </w:r>
      <w:r w:rsidRPr="00774BD7">
        <w:fldChar w:fldCharType="separate"/>
      </w:r>
      <w:r w:rsidRPr="00C60062">
        <w:rPr>
          <w:noProof/>
          <w:vertAlign w:val="superscript"/>
        </w:rPr>
        <w:t>7</w:t>
      </w:r>
      <w:r w:rsidRPr="00774BD7">
        <w:fldChar w:fldCharType="end"/>
      </w:r>
      <w:r w:rsidRPr="00774BD7">
        <w:t xml:space="preserve"> in FSL to generate a template of NBM functional network map. All results were masked by grey matter masks obtained from the MNI152 template.  To generate the template of NBM functional network map by using FLAME, Z statistical images of voxel-based high-level analyses were estimated based on Z greater than 2.3 and a familywise error-corrected cluster significance </w:t>
      </w:r>
      <w:proofErr w:type="spellStart"/>
      <w:r w:rsidRPr="00774BD7">
        <w:t>thresholded</w:t>
      </w:r>
      <w:proofErr w:type="spellEnd"/>
      <w:r w:rsidRPr="00774BD7">
        <w:t xml:space="preserve"> of P&lt;0.05. </w:t>
      </w:r>
      <w:r w:rsidRPr="001A4580">
        <w:t xml:space="preserve">The group-level GM masked NBM FC map was then </w:t>
      </w:r>
      <w:proofErr w:type="spellStart"/>
      <w:r w:rsidRPr="001A4580">
        <w:t>binarised</w:t>
      </w:r>
      <w:proofErr w:type="spellEnd"/>
      <w:r w:rsidRPr="001A4580">
        <w:t xml:space="preserve"> to yield the NBM cholinergic network template.</w:t>
      </w:r>
    </w:p>
    <w:p w14:paraId="2EA59E38" w14:textId="77777777" w:rsidR="00C60062" w:rsidRPr="00640A20" w:rsidRDefault="00C60062" w:rsidP="00C60062">
      <w:pPr>
        <w:spacing w:line="360" w:lineRule="auto"/>
        <w:jc w:val="both"/>
        <w:rPr>
          <w:b/>
          <w:bCs/>
        </w:rPr>
      </w:pPr>
      <w:r w:rsidRPr="00640A20">
        <w:rPr>
          <w:b/>
          <w:bCs/>
        </w:rPr>
        <w:t>Supplementary material 4</w:t>
      </w:r>
    </w:p>
    <w:p w14:paraId="22B3A5E9" w14:textId="77777777" w:rsidR="00C60062" w:rsidRPr="001A4580" w:rsidRDefault="00C60062" w:rsidP="00C60062">
      <w:pPr>
        <w:spacing w:line="360" w:lineRule="auto"/>
        <w:jc w:val="both"/>
      </w:pPr>
      <w:r w:rsidRPr="001A4580">
        <w:t xml:space="preserve">NBM GM density was significantly reduced in MCI compared with CN (0.58±0.03 vs. 0.60±0.03; Cohen’s </w:t>
      </w:r>
      <w:r w:rsidRPr="001A4580">
        <w:rPr>
          <w:i/>
          <w:iCs/>
        </w:rPr>
        <w:t>f</w:t>
      </w:r>
      <w:r w:rsidRPr="001A4580">
        <w:t>=0.33 [95%CI:0.23-0.44], controlled for age, P&lt;0.001). Lower NBM GM density in MCI compared to CN was also seen when testing AC medication groups separately with small effect size for AC</w:t>
      </w:r>
      <w:r w:rsidRPr="001A4580">
        <w:rPr>
          <w:vertAlign w:val="superscript"/>
        </w:rPr>
        <w:t>-</w:t>
      </w:r>
      <w:r w:rsidRPr="001A4580">
        <w:t xml:space="preserve"> (Cohen’s </w:t>
      </w:r>
      <w:r w:rsidRPr="001A4580">
        <w:rPr>
          <w:i/>
          <w:iCs/>
        </w:rPr>
        <w:t>f</w:t>
      </w:r>
      <w:r w:rsidRPr="001A4580">
        <w:t>=0.24 [95%CI:0.10-0.40], P=0.001) but large effect in AC</w:t>
      </w:r>
      <w:r w:rsidRPr="001A4580">
        <w:rPr>
          <w:vertAlign w:val="superscript"/>
        </w:rPr>
        <w:t>+</w:t>
      </w:r>
      <w:r w:rsidRPr="001A4580">
        <w:t xml:space="preserve"> (Cohen’s </w:t>
      </w:r>
      <w:r w:rsidRPr="001A4580">
        <w:rPr>
          <w:i/>
          <w:iCs/>
        </w:rPr>
        <w:t>f</w:t>
      </w:r>
      <w:r w:rsidRPr="001A4580">
        <w:t>=0.49 [95%CI:0.34-0.65], P&lt;0.001</w:t>
      </w:r>
      <w:r>
        <w:t xml:space="preserve">; </w:t>
      </w:r>
      <w:r w:rsidRPr="001A4580">
        <w:t>Table 2).</w:t>
      </w:r>
      <w:r>
        <w:t xml:space="preserve"> </w:t>
      </w:r>
      <w:r w:rsidRPr="001A4580">
        <w:t xml:space="preserve">MCI participants displayed lower NBM FC compared to CN participants (3.48±0.40 vs. 3.72±0.54), controlled for age, sex and education: Cohen’s </w:t>
      </w:r>
      <w:r w:rsidRPr="001A4580">
        <w:rPr>
          <w:i/>
          <w:iCs/>
        </w:rPr>
        <w:t>f</w:t>
      </w:r>
      <w:r w:rsidRPr="001A4580">
        <w:t>=0.23 [95%CI:0.12-0.35], P&lt;0.001, Table 2). NBM FC was lower in MCI vs CN in both AC</w:t>
      </w:r>
      <w:r w:rsidRPr="001A4580">
        <w:rPr>
          <w:vertAlign w:val="superscript"/>
        </w:rPr>
        <w:t>-</w:t>
      </w:r>
      <w:r w:rsidRPr="001A4580">
        <w:t xml:space="preserve"> and AC</w:t>
      </w:r>
      <w:r w:rsidRPr="001A4580">
        <w:rPr>
          <w:vertAlign w:val="superscript"/>
        </w:rPr>
        <w:t>+</w:t>
      </w:r>
      <w:r w:rsidRPr="001A4580">
        <w:t xml:space="preserve"> strata with small effect in AC</w:t>
      </w:r>
      <w:r w:rsidRPr="001A4580">
        <w:rPr>
          <w:vertAlign w:val="superscript"/>
        </w:rPr>
        <w:t>-</w:t>
      </w:r>
      <w:r w:rsidRPr="001A4580">
        <w:t xml:space="preserve"> subgroups (Cohen’s f=0.17 [95%CI:0.03-0.35], P=0.036), and medium in AC</w:t>
      </w:r>
      <w:r w:rsidRPr="001A4580">
        <w:rPr>
          <w:vertAlign w:val="superscript"/>
        </w:rPr>
        <w:t>+</w:t>
      </w:r>
      <w:r w:rsidRPr="001A4580">
        <w:t xml:space="preserve"> subgroups (Cohen’s f=0.36 [95%CI:0.20-0.53], P&lt;0.001</w:t>
      </w:r>
      <w:r>
        <w:t>;</w:t>
      </w:r>
      <w:r w:rsidRPr="001A4580">
        <w:t xml:space="preserve">Table 2). </w:t>
      </w:r>
    </w:p>
    <w:p w14:paraId="60F08DC5" w14:textId="77777777" w:rsidR="00C60062" w:rsidRPr="00774BD7" w:rsidRDefault="00C60062" w:rsidP="00C60062">
      <w:pPr>
        <w:rPr>
          <w:b/>
        </w:rPr>
      </w:pPr>
    </w:p>
    <w:p w14:paraId="077BAC44" w14:textId="77777777" w:rsidR="00C60062" w:rsidRPr="00774BD7" w:rsidRDefault="00C60062" w:rsidP="00C60062">
      <w:pPr>
        <w:rPr>
          <w:b/>
        </w:rPr>
      </w:pPr>
      <w:r w:rsidRPr="00774BD7">
        <w:rPr>
          <w:b/>
        </w:rPr>
        <w:lastRenderedPageBreak/>
        <w:t xml:space="preserve">Supplementary material </w:t>
      </w:r>
      <w:r>
        <w:rPr>
          <w:b/>
        </w:rPr>
        <w:t>5</w:t>
      </w:r>
    </w:p>
    <w:p w14:paraId="2E8C5D2F" w14:textId="77777777" w:rsidR="00C60062" w:rsidRPr="00774BD7" w:rsidRDefault="00C60062" w:rsidP="00C60062">
      <w:pPr>
        <w:rPr>
          <w:b/>
        </w:rPr>
      </w:pPr>
    </w:p>
    <w:p w14:paraId="59DF9B8E" w14:textId="77777777" w:rsidR="00C60062" w:rsidRPr="00774BD7" w:rsidRDefault="00C60062" w:rsidP="00C60062">
      <w:pPr>
        <w:spacing w:line="360" w:lineRule="auto"/>
        <w:jc w:val="both"/>
      </w:pPr>
      <w:r w:rsidRPr="00774BD7">
        <w:t xml:space="preserve">There was no significant difference in hippocampal or </w:t>
      </w:r>
      <w:proofErr w:type="spellStart"/>
      <w:r w:rsidRPr="00774BD7">
        <w:t>precuneus</w:t>
      </w:r>
      <w:proofErr w:type="spellEnd"/>
      <w:r w:rsidRPr="00774BD7">
        <w:t xml:space="preserve"> volumes between AC medication strata for CN or MCI, but a trend level hippocampal volume reduction in CNAC</w:t>
      </w:r>
      <w:r w:rsidRPr="00774BD7">
        <w:rPr>
          <w:vertAlign w:val="superscript"/>
        </w:rPr>
        <w:t>+</w:t>
      </w:r>
      <w:r w:rsidRPr="00774BD7">
        <w:t xml:space="preserve"> (Table 2) supporting the preferential susceptibility of NBM GM. The expected main disease effect (MCI vs CN) was shown for hippocampal GM volume but not PCC. </w:t>
      </w:r>
    </w:p>
    <w:p w14:paraId="725F7B5D" w14:textId="77777777" w:rsidR="00C60062" w:rsidRPr="00774BD7" w:rsidRDefault="00C60062" w:rsidP="00C60062">
      <w:pPr>
        <w:spacing w:line="360" w:lineRule="auto"/>
        <w:jc w:val="both"/>
      </w:pPr>
      <w:r w:rsidRPr="00774BD7">
        <w:t>No significant difference of primary visual cortex FC was found between CNAC</w:t>
      </w:r>
      <w:r w:rsidRPr="00774BD7">
        <w:rPr>
          <w:vertAlign w:val="superscript"/>
        </w:rPr>
        <w:t>-</w:t>
      </w:r>
      <w:r w:rsidRPr="00774BD7">
        <w:t xml:space="preserve"> and CNAC</w:t>
      </w:r>
      <w:r w:rsidRPr="00774BD7">
        <w:rPr>
          <w:vertAlign w:val="superscript"/>
        </w:rPr>
        <w:t>+</w:t>
      </w:r>
      <w:r w:rsidRPr="00774BD7">
        <w:t xml:space="preserve"> (P=0.193) or between MCIAC</w:t>
      </w:r>
      <w:r w:rsidRPr="00774BD7">
        <w:rPr>
          <w:vertAlign w:val="superscript"/>
        </w:rPr>
        <w:t>-</w:t>
      </w:r>
      <w:r w:rsidRPr="00774BD7">
        <w:t xml:space="preserve"> and MCIAC</w:t>
      </w:r>
      <w:r w:rsidRPr="00774BD7">
        <w:rPr>
          <w:vertAlign w:val="superscript"/>
        </w:rPr>
        <w:t>+</w:t>
      </w:r>
      <w:r w:rsidRPr="00774BD7">
        <w:t xml:space="preserve"> (P=0.388) making</w:t>
      </w:r>
      <w:r w:rsidRPr="00774BD7" w:rsidDel="009D02FF">
        <w:t xml:space="preserve"> </w:t>
      </w:r>
      <w:r w:rsidRPr="00774BD7">
        <w:t>nonspecific and especially vascular confounds less likely.</w:t>
      </w:r>
    </w:p>
    <w:p w14:paraId="540C8463" w14:textId="77777777" w:rsidR="00C60062" w:rsidRPr="00774BD7" w:rsidRDefault="00C60062" w:rsidP="00C60062">
      <w:pPr>
        <w:rPr>
          <w:b/>
        </w:rPr>
        <w:sectPr w:rsidR="00C60062" w:rsidRPr="00774BD7">
          <w:pgSz w:w="11906" w:h="16838"/>
          <w:pgMar w:top="1440" w:right="1440" w:bottom="1440" w:left="1440" w:header="708" w:footer="708" w:gutter="0"/>
          <w:cols w:space="708"/>
          <w:docGrid w:linePitch="360"/>
        </w:sectPr>
      </w:pPr>
    </w:p>
    <w:p w14:paraId="7F3FAF7D" w14:textId="77777777" w:rsidR="00C60062" w:rsidRPr="00774BD7" w:rsidRDefault="00C60062" w:rsidP="00C60062">
      <w:pPr>
        <w:pStyle w:val="Heading2"/>
        <w:rPr>
          <w:rFonts w:ascii="Times New Roman" w:hAnsi="Times New Roman" w:cs="Times New Roman"/>
        </w:rPr>
      </w:pPr>
      <w:bookmarkStart w:id="3" w:name="_Supplementary_Table_1"/>
      <w:bookmarkEnd w:id="3"/>
      <w:r w:rsidRPr="00774BD7">
        <w:rPr>
          <w:rFonts w:ascii="Times New Roman" w:hAnsi="Times New Roman" w:cs="Times New Roman"/>
        </w:rPr>
        <w:lastRenderedPageBreak/>
        <w:t>Supplementary Table 1 Demographic, clinical and cognitive information in the whole cohort</w:t>
      </w:r>
    </w:p>
    <w:tbl>
      <w:tblPr>
        <w:tblStyle w:val="TableGrid"/>
        <w:tblW w:w="0" w:type="auto"/>
        <w:tblLook w:val="04A0" w:firstRow="1" w:lastRow="0" w:firstColumn="1" w:lastColumn="0" w:noHBand="0" w:noVBand="1"/>
      </w:tblPr>
      <w:tblGrid>
        <w:gridCol w:w="2730"/>
        <w:gridCol w:w="1281"/>
        <w:gridCol w:w="1457"/>
        <w:gridCol w:w="1457"/>
        <w:gridCol w:w="1012"/>
        <w:gridCol w:w="1207"/>
        <w:gridCol w:w="1457"/>
        <w:gridCol w:w="1457"/>
        <w:gridCol w:w="882"/>
        <w:gridCol w:w="1012"/>
      </w:tblGrid>
      <w:tr w:rsidR="00C60062" w:rsidRPr="00774BD7" w14:paraId="4BDD9446" w14:textId="77777777" w:rsidTr="00F745D3">
        <w:tc>
          <w:tcPr>
            <w:tcW w:w="2848" w:type="dxa"/>
            <w:vMerge w:val="restart"/>
            <w:tcBorders>
              <w:top w:val="single" w:sz="18" w:space="0" w:color="auto"/>
              <w:left w:val="single" w:sz="2" w:space="0" w:color="FFFFFF" w:themeColor="background1"/>
              <w:right w:val="single" w:sz="18" w:space="0" w:color="auto"/>
            </w:tcBorders>
            <w:vAlign w:val="center"/>
          </w:tcPr>
          <w:p w14:paraId="493C5355" w14:textId="77777777" w:rsidR="00C60062" w:rsidRPr="00774BD7" w:rsidRDefault="00C60062" w:rsidP="00F745D3">
            <w:pPr>
              <w:jc w:val="center"/>
              <w:rPr>
                <w:b/>
              </w:rPr>
            </w:pPr>
            <w:r w:rsidRPr="00774BD7">
              <w:rPr>
                <w:b/>
              </w:rPr>
              <w:t>Characteristic</w:t>
            </w:r>
          </w:p>
        </w:tc>
        <w:tc>
          <w:tcPr>
            <w:tcW w:w="5133" w:type="dxa"/>
            <w:gridSpan w:val="4"/>
            <w:tcBorders>
              <w:top w:val="single" w:sz="18" w:space="0" w:color="auto"/>
              <w:left w:val="single" w:sz="18" w:space="0" w:color="auto"/>
              <w:right w:val="double" w:sz="18" w:space="0" w:color="auto"/>
            </w:tcBorders>
          </w:tcPr>
          <w:p w14:paraId="2A55C6B6" w14:textId="77777777" w:rsidR="00C60062" w:rsidRPr="00774BD7" w:rsidRDefault="00C60062" w:rsidP="00F745D3">
            <w:pPr>
              <w:jc w:val="center"/>
              <w:rPr>
                <w:b/>
              </w:rPr>
            </w:pPr>
          </w:p>
          <w:p w14:paraId="37B4FDFF" w14:textId="77777777" w:rsidR="00C60062" w:rsidRPr="00774BD7" w:rsidRDefault="00C60062" w:rsidP="00F745D3">
            <w:pPr>
              <w:jc w:val="center"/>
              <w:rPr>
                <w:b/>
              </w:rPr>
            </w:pPr>
            <w:r w:rsidRPr="00774BD7">
              <w:rPr>
                <w:b/>
              </w:rPr>
              <w:t>Cognitively normal (n=344)</w:t>
            </w:r>
          </w:p>
          <w:p w14:paraId="3580FD39" w14:textId="77777777" w:rsidR="00C60062" w:rsidRPr="00774BD7" w:rsidRDefault="00C60062" w:rsidP="00F745D3">
            <w:pPr>
              <w:jc w:val="center"/>
              <w:rPr>
                <w:b/>
              </w:rPr>
            </w:pPr>
          </w:p>
        </w:tc>
        <w:tc>
          <w:tcPr>
            <w:tcW w:w="4968" w:type="dxa"/>
            <w:gridSpan w:val="4"/>
            <w:tcBorders>
              <w:top w:val="single" w:sz="18" w:space="0" w:color="auto"/>
              <w:left w:val="double" w:sz="18" w:space="0" w:color="auto"/>
              <w:right w:val="single" w:sz="18" w:space="0" w:color="auto"/>
            </w:tcBorders>
          </w:tcPr>
          <w:p w14:paraId="307F4887" w14:textId="77777777" w:rsidR="00C60062" w:rsidRPr="00774BD7" w:rsidRDefault="00C60062" w:rsidP="00F745D3">
            <w:pPr>
              <w:jc w:val="center"/>
              <w:rPr>
                <w:b/>
              </w:rPr>
            </w:pPr>
          </w:p>
          <w:p w14:paraId="1E0E2E33" w14:textId="77777777" w:rsidR="00C60062" w:rsidRPr="00774BD7" w:rsidRDefault="00C60062" w:rsidP="00F745D3">
            <w:pPr>
              <w:jc w:val="center"/>
              <w:rPr>
                <w:b/>
              </w:rPr>
            </w:pPr>
            <w:r w:rsidRPr="00774BD7">
              <w:rPr>
                <w:b/>
              </w:rPr>
              <w:t>MCI (n=224)</w:t>
            </w:r>
          </w:p>
        </w:tc>
        <w:tc>
          <w:tcPr>
            <w:tcW w:w="1003" w:type="dxa"/>
            <w:vMerge w:val="restart"/>
            <w:tcBorders>
              <w:top w:val="single" w:sz="18" w:space="0" w:color="auto"/>
              <w:left w:val="single" w:sz="18" w:space="0" w:color="auto"/>
              <w:right w:val="single" w:sz="2" w:space="0" w:color="FFFFFF" w:themeColor="background1"/>
            </w:tcBorders>
            <w:vAlign w:val="center"/>
          </w:tcPr>
          <w:p w14:paraId="210F1520" w14:textId="77777777" w:rsidR="00C60062" w:rsidRPr="00774BD7" w:rsidRDefault="00C60062" w:rsidP="00F745D3">
            <w:pPr>
              <w:jc w:val="center"/>
              <w:rPr>
                <w:b/>
              </w:rPr>
            </w:pPr>
            <w:r w:rsidRPr="00774BD7">
              <w:rPr>
                <w:b/>
              </w:rPr>
              <w:t>P</w:t>
            </w:r>
            <w:r w:rsidRPr="00774BD7">
              <w:rPr>
                <w:b/>
                <w:vertAlign w:val="superscript"/>
              </w:rPr>
              <w:t>c</w:t>
            </w:r>
          </w:p>
          <w:p w14:paraId="5AAA21BF" w14:textId="77777777" w:rsidR="00C60062" w:rsidRPr="00774BD7" w:rsidRDefault="00C60062" w:rsidP="00F745D3">
            <w:pPr>
              <w:jc w:val="center"/>
              <w:rPr>
                <w:b/>
              </w:rPr>
            </w:pPr>
          </w:p>
        </w:tc>
      </w:tr>
      <w:tr w:rsidR="00C60062" w:rsidRPr="00774BD7" w14:paraId="2153E4E2" w14:textId="77777777" w:rsidTr="00F745D3">
        <w:tc>
          <w:tcPr>
            <w:tcW w:w="2848" w:type="dxa"/>
            <w:vMerge/>
            <w:tcBorders>
              <w:left w:val="single" w:sz="2" w:space="0" w:color="FFFFFF" w:themeColor="background1"/>
              <w:bottom w:val="single" w:sz="18" w:space="0" w:color="auto"/>
              <w:right w:val="single" w:sz="18" w:space="0" w:color="auto"/>
            </w:tcBorders>
          </w:tcPr>
          <w:p w14:paraId="0E8E0CE3" w14:textId="77777777" w:rsidR="00C60062" w:rsidRPr="00774BD7" w:rsidRDefault="00C60062" w:rsidP="00F745D3">
            <w:pPr>
              <w:jc w:val="center"/>
              <w:rPr>
                <w:b/>
              </w:rPr>
            </w:pPr>
          </w:p>
        </w:tc>
        <w:tc>
          <w:tcPr>
            <w:tcW w:w="1318" w:type="dxa"/>
            <w:tcBorders>
              <w:left w:val="single" w:sz="18" w:space="0" w:color="auto"/>
              <w:bottom w:val="single" w:sz="18" w:space="0" w:color="auto"/>
            </w:tcBorders>
          </w:tcPr>
          <w:p w14:paraId="7A911091" w14:textId="77777777" w:rsidR="00C60062" w:rsidRPr="00774BD7" w:rsidRDefault="00C60062" w:rsidP="00F745D3">
            <w:pPr>
              <w:jc w:val="center"/>
              <w:rPr>
                <w:b/>
              </w:rPr>
            </w:pPr>
            <w:r w:rsidRPr="00774BD7">
              <w:rPr>
                <w:b/>
              </w:rPr>
              <w:t>Total (n=344)</w:t>
            </w:r>
          </w:p>
        </w:tc>
        <w:tc>
          <w:tcPr>
            <w:tcW w:w="1406" w:type="dxa"/>
            <w:tcBorders>
              <w:bottom w:val="single" w:sz="18" w:space="0" w:color="auto"/>
            </w:tcBorders>
          </w:tcPr>
          <w:p w14:paraId="2A357C0B" w14:textId="77777777" w:rsidR="00C60062" w:rsidRPr="00774BD7" w:rsidRDefault="00C60062" w:rsidP="00F745D3">
            <w:pPr>
              <w:jc w:val="center"/>
              <w:rPr>
                <w:b/>
              </w:rPr>
            </w:pPr>
            <w:r w:rsidRPr="00774BD7">
              <w:rPr>
                <w:b/>
              </w:rPr>
              <w:t>AC- participants (n=246)</w:t>
            </w:r>
          </w:p>
        </w:tc>
        <w:tc>
          <w:tcPr>
            <w:tcW w:w="1406" w:type="dxa"/>
            <w:tcBorders>
              <w:bottom w:val="single" w:sz="18" w:space="0" w:color="auto"/>
            </w:tcBorders>
          </w:tcPr>
          <w:p w14:paraId="60E48517" w14:textId="77777777" w:rsidR="00C60062" w:rsidRPr="00774BD7" w:rsidRDefault="00C60062" w:rsidP="00F745D3">
            <w:pPr>
              <w:jc w:val="center"/>
              <w:rPr>
                <w:b/>
              </w:rPr>
            </w:pPr>
            <w:r w:rsidRPr="00774BD7">
              <w:rPr>
                <w:b/>
              </w:rPr>
              <w:t>AC+ participants (n=98)</w:t>
            </w:r>
          </w:p>
        </w:tc>
        <w:tc>
          <w:tcPr>
            <w:tcW w:w="1003" w:type="dxa"/>
            <w:tcBorders>
              <w:bottom w:val="single" w:sz="18" w:space="0" w:color="auto"/>
              <w:right w:val="double" w:sz="18" w:space="0" w:color="auto"/>
            </w:tcBorders>
          </w:tcPr>
          <w:p w14:paraId="39D2AE0E" w14:textId="77777777" w:rsidR="00C60062" w:rsidRPr="00774BD7" w:rsidRDefault="00C60062" w:rsidP="00F745D3">
            <w:pPr>
              <w:jc w:val="center"/>
              <w:rPr>
                <w:b/>
              </w:rPr>
            </w:pPr>
            <w:r w:rsidRPr="00774BD7">
              <w:rPr>
                <w:b/>
              </w:rPr>
              <w:t>P</w:t>
            </w:r>
            <w:r w:rsidRPr="00774BD7">
              <w:rPr>
                <w:b/>
                <w:vertAlign w:val="superscript"/>
              </w:rPr>
              <w:t>a</w:t>
            </w:r>
          </w:p>
        </w:tc>
        <w:tc>
          <w:tcPr>
            <w:tcW w:w="1234" w:type="dxa"/>
            <w:tcBorders>
              <w:left w:val="double" w:sz="18" w:space="0" w:color="auto"/>
              <w:bottom w:val="single" w:sz="18" w:space="0" w:color="auto"/>
            </w:tcBorders>
          </w:tcPr>
          <w:p w14:paraId="626C1BBC" w14:textId="77777777" w:rsidR="00C60062" w:rsidRPr="00774BD7" w:rsidRDefault="00C60062" w:rsidP="00F745D3">
            <w:pPr>
              <w:jc w:val="center"/>
              <w:rPr>
                <w:b/>
              </w:rPr>
            </w:pPr>
            <w:r w:rsidRPr="00774BD7">
              <w:rPr>
                <w:b/>
              </w:rPr>
              <w:t>Total (n=224)</w:t>
            </w:r>
          </w:p>
        </w:tc>
        <w:tc>
          <w:tcPr>
            <w:tcW w:w="1406" w:type="dxa"/>
            <w:tcBorders>
              <w:bottom w:val="single" w:sz="18" w:space="0" w:color="auto"/>
            </w:tcBorders>
          </w:tcPr>
          <w:p w14:paraId="6870F487" w14:textId="77777777" w:rsidR="00C60062" w:rsidRPr="00774BD7" w:rsidRDefault="00C60062" w:rsidP="00F745D3">
            <w:pPr>
              <w:jc w:val="center"/>
              <w:rPr>
                <w:b/>
              </w:rPr>
            </w:pPr>
            <w:r w:rsidRPr="00774BD7">
              <w:rPr>
                <w:b/>
              </w:rPr>
              <w:t>AC- participants (n=144)</w:t>
            </w:r>
          </w:p>
        </w:tc>
        <w:tc>
          <w:tcPr>
            <w:tcW w:w="1445" w:type="dxa"/>
            <w:tcBorders>
              <w:bottom w:val="single" w:sz="18" w:space="0" w:color="auto"/>
            </w:tcBorders>
          </w:tcPr>
          <w:p w14:paraId="5061DB33" w14:textId="77777777" w:rsidR="00C60062" w:rsidRPr="00774BD7" w:rsidRDefault="00C60062" w:rsidP="00F745D3">
            <w:pPr>
              <w:jc w:val="center"/>
              <w:rPr>
                <w:b/>
              </w:rPr>
            </w:pPr>
            <w:r w:rsidRPr="00774BD7">
              <w:rPr>
                <w:b/>
              </w:rPr>
              <w:t>AC+ participants (n=80)</w:t>
            </w:r>
          </w:p>
        </w:tc>
        <w:tc>
          <w:tcPr>
            <w:tcW w:w="883" w:type="dxa"/>
            <w:tcBorders>
              <w:bottom w:val="single" w:sz="18" w:space="0" w:color="auto"/>
              <w:right w:val="single" w:sz="18" w:space="0" w:color="auto"/>
            </w:tcBorders>
          </w:tcPr>
          <w:p w14:paraId="55230C8B" w14:textId="77777777" w:rsidR="00C60062" w:rsidRPr="00774BD7" w:rsidRDefault="00C60062" w:rsidP="00F745D3">
            <w:pPr>
              <w:jc w:val="center"/>
              <w:rPr>
                <w:b/>
              </w:rPr>
            </w:pPr>
            <w:r w:rsidRPr="00774BD7">
              <w:rPr>
                <w:b/>
              </w:rPr>
              <w:t>P</w:t>
            </w:r>
            <w:r w:rsidRPr="00774BD7">
              <w:rPr>
                <w:b/>
                <w:vertAlign w:val="superscript"/>
              </w:rPr>
              <w:t>b</w:t>
            </w:r>
          </w:p>
        </w:tc>
        <w:tc>
          <w:tcPr>
            <w:tcW w:w="1003" w:type="dxa"/>
            <w:vMerge/>
            <w:tcBorders>
              <w:left w:val="single" w:sz="18" w:space="0" w:color="auto"/>
              <w:bottom w:val="single" w:sz="18" w:space="0" w:color="auto"/>
              <w:right w:val="single" w:sz="2" w:space="0" w:color="FFFFFF" w:themeColor="background1"/>
            </w:tcBorders>
          </w:tcPr>
          <w:p w14:paraId="3CA5023E" w14:textId="77777777" w:rsidR="00C60062" w:rsidRPr="00774BD7" w:rsidRDefault="00C60062" w:rsidP="00F745D3">
            <w:pPr>
              <w:jc w:val="center"/>
              <w:rPr>
                <w:b/>
              </w:rPr>
            </w:pPr>
          </w:p>
        </w:tc>
      </w:tr>
      <w:tr w:rsidR="00C60062" w:rsidRPr="00774BD7" w14:paraId="062B7EC9" w14:textId="77777777" w:rsidTr="00F745D3">
        <w:tc>
          <w:tcPr>
            <w:tcW w:w="2848" w:type="dxa"/>
            <w:tcBorders>
              <w:top w:val="single" w:sz="18" w:space="0" w:color="auto"/>
              <w:left w:val="single" w:sz="2" w:space="0" w:color="FFFFFF" w:themeColor="background1"/>
              <w:right w:val="single" w:sz="18" w:space="0" w:color="auto"/>
            </w:tcBorders>
          </w:tcPr>
          <w:p w14:paraId="2A807C35" w14:textId="77777777" w:rsidR="00C60062" w:rsidRPr="00774BD7" w:rsidRDefault="00C60062" w:rsidP="00F745D3">
            <w:pPr>
              <w:rPr>
                <w:b/>
              </w:rPr>
            </w:pPr>
            <w:r w:rsidRPr="00774BD7">
              <w:rPr>
                <w:b/>
              </w:rPr>
              <w:t>Age, mean (SD), years</w:t>
            </w:r>
          </w:p>
        </w:tc>
        <w:tc>
          <w:tcPr>
            <w:tcW w:w="1318" w:type="dxa"/>
            <w:tcBorders>
              <w:top w:val="single" w:sz="18" w:space="0" w:color="auto"/>
              <w:left w:val="single" w:sz="18" w:space="0" w:color="auto"/>
            </w:tcBorders>
          </w:tcPr>
          <w:p w14:paraId="1E29C962" w14:textId="77777777" w:rsidR="00C60062" w:rsidRPr="00774BD7" w:rsidRDefault="00C60062" w:rsidP="00F745D3">
            <w:pPr>
              <w:jc w:val="center"/>
            </w:pPr>
            <w:r w:rsidRPr="00774BD7">
              <w:t>73.3 (7.8)</w:t>
            </w:r>
          </w:p>
        </w:tc>
        <w:tc>
          <w:tcPr>
            <w:tcW w:w="1406" w:type="dxa"/>
            <w:tcBorders>
              <w:top w:val="single" w:sz="18" w:space="0" w:color="auto"/>
            </w:tcBorders>
          </w:tcPr>
          <w:p w14:paraId="441F7D0F" w14:textId="77777777" w:rsidR="00C60062" w:rsidRPr="00774BD7" w:rsidRDefault="00C60062" w:rsidP="00F745D3">
            <w:pPr>
              <w:jc w:val="center"/>
            </w:pPr>
            <w:r w:rsidRPr="00774BD7">
              <w:t>72.6 (7.6)</w:t>
            </w:r>
          </w:p>
        </w:tc>
        <w:tc>
          <w:tcPr>
            <w:tcW w:w="1406" w:type="dxa"/>
            <w:tcBorders>
              <w:top w:val="single" w:sz="18" w:space="0" w:color="auto"/>
            </w:tcBorders>
          </w:tcPr>
          <w:p w14:paraId="070D74BB" w14:textId="77777777" w:rsidR="00C60062" w:rsidRPr="00774BD7" w:rsidRDefault="00C60062" w:rsidP="00F745D3">
            <w:pPr>
              <w:jc w:val="center"/>
            </w:pPr>
            <w:r w:rsidRPr="00774BD7">
              <w:t>75.1 (7.9)</w:t>
            </w:r>
          </w:p>
        </w:tc>
        <w:tc>
          <w:tcPr>
            <w:tcW w:w="1003" w:type="dxa"/>
            <w:tcBorders>
              <w:top w:val="single" w:sz="18" w:space="0" w:color="auto"/>
              <w:right w:val="double" w:sz="18" w:space="0" w:color="auto"/>
            </w:tcBorders>
          </w:tcPr>
          <w:p w14:paraId="2A43D9F7" w14:textId="77777777" w:rsidR="00C60062" w:rsidRPr="00774BD7" w:rsidRDefault="00C60062" w:rsidP="00F745D3">
            <w:pPr>
              <w:jc w:val="center"/>
            </w:pPr>
            <w:r w:rsidRPr="00774BD7">
              <w:t>0.010*</w:t>
            </w:r>
          </w:p>
        </w:tc>
        <w:tc>
          <w:tcPr>
            <w:tcW w:w="1234" w:type="dxa"/>
            <w:tcBorders>
              <w:top w:val="single" w:sz="18" w:space="0" w:color="auto"/>
              <w:left w:val="double" w:sz="18" w:space="0" w:color="auto"/>
            </w:tcBorders>
          </w:tcPr>
          <w:p w14:paraId="080D9CC5" w14:textId="77777777" w:rsidR="00C60062" w:rsidRPr="00774BD7" w:rsidRDefault="00C60062" w:rsidP="00F745D3">
            <w:pPr>
              <w:jc w:val="center"/>
            </w:pPr>
            <w:r w:rsidRPr="00774BD7">
              <w:t>73.8 (7.9)</w:t>
            </w:r>
          </w:p>
        </w:tc>
        <w:tc>
          <w:tcPr>
            <w:tcW w:w="1406" w:type="dxa"/>
            <w:tcBorders>
              <w:top w:val="single" w:sz="18" w:space="0" w:color="auto"/>
            </w:tcBorders>
          </w:tcPr>
          <w:p w14:paraId="0D43E259" w14:textId="77777777" w:rsidR="00C60062" w:rsidRPr="00774BD7" w:rsidRDefault="00C60062" w:rsidP="00F745D3">
            <w:pPr>
              <w:jc w:val="center"/>
            </w:pPr>
            <w:r w:rsidRPr="00774BD7">
              <w:t>73.4 (7.8)</w:t>
            </w:r>
          </w:p>
        </w:tc>
        <w:tc>
          <w:tcPr>
            <w:tcW w:w="1445" w:type="dxa"/>
            <w:tcBorders>
              <w:top w:val="single" w:sz="18" w:space="0" w:color="auto"/>
            </w:tcBorders>
          </w:tcPr>
          <w:p w14:paraId="004F2D54" w14:textId="77777777" w:rsidR="00C60062" w:rsidRPr="00774BD7" w:rsidRDefault="00C60062" w:rsidP="00F745D3">
            <w:pPr>
              <w:jc w:val="center"/>
            </w:pPr>
            <w:r w:rsidRPr="00774BD7">
              <w:t>74.6 (8.2)</w:t>
            </w:r>
          </w:p>
        </w:tc>
        <w:tc>
          <w:tcPr>
            <w:tcW w:w="883" w:type="dxa"/>
            <w:tcBorders>
              <w:top w:val="single" w:sz="18" w:space="0" w:color="auto"/>
              <w:right w:val="single" w:sz="18" w:space="0" w:color="auto"/>
            </w:tcBorders>
          </w:tcPr>
          <w:p w14:paraId="788A9D72" w14:textId="77777777" w:rsidR="00C60062" w:rsidRPr="00774BD7" w:rsidRDefault="00C60062" w:rsidP="00F745D3">
            <w:pPr>
              <w:jc w:val="center"/>
            </w:pPr>
            <w:r w:rsidRPr="00774BD7">
              <w:t>0.275</w:t>
            </w:r>
          </w:p>
        </w:tc>
        <w:tc>
          <w:tcPr>
            <w:tcW w:w="1003" w:type="dxa"/>
            <w:tcBorders>
              <w:top w:val="single" w:sz="18" w:space="0" w:color="auto"/>
              <w:left w:val="single" w:sz="18" w:space="0" w:color="auto"/>
              <w:right w:val="single" w:sz="2" w:space="0" w:color="FFFFFF" w:themeColor="background1"/>
            </w:tcBorders>
          </w:tcPr>
          <w:p w14:paraId="78C70584" w14:textId="77777777" w:rsidR="00C60062" w:rsidRPr="00774BD7" w:rsidRDefault="00C60062" w:rsidP="00F745D3">
            <w:pPr>
              <w:jc w:val="center"/>
            </w:pPr>
            <w:r w:rsidRPr="00774BD7">
              <w:t>0.445</w:t>
            </w:r>
          </w:p>
        </w:tc>
      </w:tr>
      <w:tr w:rsidR="00C60062" w:rsidRPr="00774BD7" w14:paraId="4AF1D754" w14:textId="77777777" w:rsidTr="00F745D3">
        <w:tc>
          <w:tcPr>
            <w:tcW w:w="2848" w:type="dxa"/>
            <w:tcBorders>
              <w:left w:val="single" w:sz="2" w:space="0" w:color="FFFFFF" w:themeColor="background1"/>
              <w:right w:val="single" w:sz="18" w:space="0" w:color="auto"/>
            </w:tcBorders>
          </w:tcPr>
          <w:p w14:paraId="4DAB92CD" w14:textId="77777777" w:rsidR="00C60062" w:rsidRPr="00774BD7" w:rsidRDefault="00C60062" w:rsidP="00F745D3">
            <w:pPr>
              <w:rPr>
                <w:b/>
              </w:rPr>
            </w:pPr>
            <w:r w:rsidRPr="00774BD7">
              <w:rPr>
                <w:b/>
              </w:rPr>
              <w:t>Female, n (%)</w:t>
            </w:r>
          </w:p>
        </w:tc>
        <w:tc>
          <w:tcPr>
            <w:tcW w:w="1318" w:type="dxa"/>
            <w:tcBorders>
              <w:left w:val="single" w:sz="18" w:space="0" w:color="auto"/>
            </w:tcBorders>
          </w:tcPr>
          <w:p w14:paraId="4A2B9BA3" w14:textId="77777777" w:rsidR="00C60062" w:rsidRPr="00774BD7" w:rsidRDefault="00C60062" w:rsidP="00F745D3">
            <w:pPr>
              <w:jc w:val="center"/>
            </w:pPr>
            <w:r w:rsidRPr="00774BD7">
              <w:t>199 (57.8)</w:t>
            </w:r>
          </w:p>
        </w:tc>
        <w:tc>
          <w:tcPr>
            <w:tcW w:w="1406" w:type="dxa"/>
          </w:tcPr>
          <w:p w14:paraId="05FE9BE7" w14:textId="77777777" w:rsidR="00C60062" w:rsidRPr="00774BD7" w:rsidRDefault="00C60062" w:rsidP="00F745D3">
            <w:pPr>
              <w:jc w:val="center"/>
            </w:pPr>
            <w:r w:rsidRPr="00774BD7">
              <w:t>138 (56.1)</w:t>
            </w:r>
          </w:p>
        </w:tc>
        <w:tc>
          <w:tcPr>
            <w:tcW w:w="1406" w:type="dxa"/>
          </w:tcPr>
          <w:p w14:paraId="13AF9EAC" w14:textId="77777777" w:rsidR="00C60062" w:rsidRPr="00774BD7" w:rsidRDefault="00C60062" w:rsidP="00F745D3">
            <w:pPr>
              <w:jc w:val="center"/>
            </w:pPr>
            <w:r w:rsidRPr="00774BD7">
              <w:t xml:space="preserve">61 (62.2) </w:t>
            </w:r>
          </w:p>
        </w:tc>
        <w:tc>
          <w:tcPr>
            <w:tcW w:w="1003" w:type="dxa"/>
            <w:tcBorders>
              <w:right w:val="double" w:sz="18" w:space="0" w:color="auto"/>
            </w:tcBorders>
          </w:tcPr>
          <w:p w14:paraId="5366F756" w14:textId="77777777" w:rsidR="00C60062" w:rsidRPr="00774BD7" w:rsidRDefault="00C60062" w:rsidP="00F745D3">
            <w:pPr>
              <w:jc w:val="center"/>
            </w:pPr>
            <w:r w:rsidRPr="00774BD7">
              <w:t>0.334</w:t>
            </w:r>
          </w:p>
        </w:tc>
        <w:tc>
          <w:tcPr>
            <w:tcW w:w="1234" w:type="dxa"/>
            <w:tcBorders>
              <w:left w:val="double" w:sz="18" w:space="0" w:color="auto"/>
            </w:tcBorders>
          </w:tcPr>
          <w:p w14:paraId="302B89B1" w14:textId="77777777" w:rsidR="00C60062" w:rsidRPr="00774BD7" w:rsidRDefault="00C60062" w:rsidP="00F745D3">
            <w:pPr>
              <w:jc w:val="center"/>
            </w:pPr>
            <w:r w:rsidRPr="00774BD7">
              <w:t>102 (45.5%)</w:t>
            </w:r>
          </w:p>
        </w:tc>
        <w:tc>
          <w:tcPr>
            <w:tcW w:w="1406" w:type="dxa"/>
          </w:tcPr>
          <w:p w14:paraId="114E10EA" w14:textId="77777777" w:rsidR="00C60062" w:rsidRPr="00774BD7" w:rsidRDefault="00C60062" w:rsidP="00F745D3">
            <w:pPr>
              <w:jc w:val="center"/>
            </w:pPr>
            <w:r w:rsidRPr="00774BD7">
              <w:t>60 (41.7%)</w:t>
            </w:r>
          </w:p>
        </w:tc>
        <w:tc>
          <w:tcPr>
            <w:tcW w:w="1445" w:type="dxa"/>
          </w:tcPr>
          <w:p w14:paraId="7AEB8AAA" w14:textId="77777777" w:rsidR="00C60062" w:rsidRPr="00774BD7" w:rsidRDefault="00C60062" w:rsidP="00F745D3">
            <w:pPr>
              <w:jc w:val="center"/>
            </w:pPr>
            <w:r w:rsidRPr="00774BD7">
              <w:t>42 (52.5%)</w:t>
            </w:r>
          </w:p>
        </w:tc>
        <w:tc>
          <w:tcPr>
            <w:tcW w:w="883" w:type="dxa"/>
            <w:tcBorders>
              <w:right w:val="single" w:sz="18" w:space="0" w:color="auto"/>
            </w:tcBorders>
          </w:tcPr>
          <w:p w14:paraId="39339BA9" w14:textId="77777777" w:rsidR="00C60062" w:rsidRPr="00774BD7" w:rsidRDefault="00C60062" w:rsidP="00F745D3">
            <w:pPr>
              <w:jc w:val="center"/>
            </w:pPr>
            <w:r w:rsidRPr="00774BD7">
              <w:t>0.126</w:t>
            </w:r>
          </w:p>
        </w:tc>
        <w:tc>
          <w:tcPr>
            <w:tcW w:w="1003" w:type="dxa"/>
            <w:tcBorders>
              <w:left w:val="single" w:sz="18" w:space="0" w:color="auto"/>
              <w:right w:val="single" w:sz="2" w:space="0" w:color="FFFFFF" w:themeColor="background1"/>
            </w:tcBorders>
          </w:tcPr>
          <w:p w14:paraId="0BE77EA2" w14:textId="77777777" w:rsidR="00C60062" w:rsidRPr="00774BD7" w:rsidRDefault="00C60062" w:rsidP="00F745D3">
            <w:pPr>
              <w:jc w:val="center"/>
            </w:pPr>
            <w:r w:rsidRPr="00774BD7">
              <w:t>0.005*</w:t>
            </w:r>
          </w:p>
        </w:tc>
      </w:tr>
      <w:tr w:rsidR="00C60062" w:rsidRPr="00774BD7" w14:paraId="39C9DFE5" w14:textId="77777777" w:rsidTr="00F745D3">
        <w:tc>
          <w:tcPr>
            <w:tcW w:w="2848" w:type="dxa"/>
            <w:tcBorders>
              <w:left w:val="single" w:sz="2" w:space="0" w:color="FFFFFF" w:themeColor="background1"/>
              <w:right w:val="single" w:sz="18" w:space="0" w:color="auto"/>
            </w:tcBorders>
          </w:tcPr>
          <w:p w14:paraId="3ADEA07C" w14:textId="77777777" w:rsidR="00C60062" w:rsidRPr="00774BD7" w:rsidRDefault="00C60062" w:rsidP="00F745D3">
            <w:pPr>
              <w:rPr>
                <w:b/>
              </w:rPr>
            </w:pPr>
            <w:r w:rsidRPr="00774BD7">
              <w:rPr>
                <w:b/>
              </w:rPr>
              <w:t>Education, mean (SD), years</w:t>
            </w:r>
          </w:p>
        </w:tc>
        <w:tc>
          <w:tcPr>
            <w:tcW w:w="1318" w:type="dxa"/>
            <w:tcBorders>
              <w:left w:val="single" w:sz="18" w:space="0" w:color="auto"/>
            </w:tcBorders>
          </w:tcPr>
          <w:p w14:paraId="09BF8F44" w14:textId="77777777" w:rsidR="00C60062" w:rsidRPr="00774BD7" w:rsidRDefault="00C60062" w:rsidP="00F745D3">
            <w:pPr>
              <w:jc w:val="center"/>
            </w:pPr>
            <w:r w:rsidRPr="00774BD7">
              <w:t>16.8 (2.3)</w:t>
            </w:r>
          </w:p>
        </w:tc>
        <w:tc>
          <w:tcPr>
            <w:tcW w:w="1406" w:type="dxa"/>
          </w:tcPr>
          <w:p w14:paraId="14E7CB7E" w14:textId="77777777" w:rsidR="00C60062" w:rsidRPr="00774BD7" w:rsidRDefault="00C60062" w:rsidP="00F745D3">
            <w:pPr>
              <w:jc w:val="center"/>
            </w:pPr>
            <w:r w:rsidRPr="00774BD7">
              <w:t>16.9 (2.2)</w:t>
            </w:r>
          </w:p>
        </w:tc>
        <w:tc>
          <w:tcPr>
            <w:tcW w:w="1406" w:type="dxa"/>
          </w:tcPr>
          <w:p w14:paraId="1B76658F" w14:textId="77777777" w:rsidR="00C60062" w:rsidRPr="00774BD7" w:rsidRDefault="00C60062" w:rsidP="00F745D3">
            <w:pPr>
              <w:jc w:val="center"/>
            </w:pPr>
            <w:r w:rsidRPr="00774BD7">
              <w:t>16.3 (2.4)</w:t>
            </w:r>
          </w:p>
        </w:tc>
        <w:tc>
          <w:tcPr>
            <w:tcW w:w="1003" w:type="dxa"/>
            <w:tcBorders>
              <w:right w:val="double" w:sz="18" w:space="0" w:color="auto"/>
            </w:tcBorders>
          </w:tcPr>
          <w:p w14:paraId="2822EF0D" w14:textId="77777777" w:rsidR="00C60062" w:rsidRPr="00774BD7" w:rsidRDefault="00C60062" w:rsidP="00F745D3">
            <w:pPr>
              <w:jc w:val="center"/>
            </w:pPr>
            <w:r w:rsidRPr="00774BD7">
              <w:t>0.017*</w:t>
            </w:r>
          </w:p>
        </w:tc>
        <w:tc>
          <w:tcPr>
            <w:tcW w:w="1234" w:type="dxa"/>
            <w:tcBorders>
              <w:left w:val="double" w:sz="18" w:space="0" w:color="auto"/>
            </w:tcBorders>
          </w:tcPr>
          <w:p w14:paraId="5F397FDE" w14:textId="77777777" w:rsidR="00C60062" w:rsidRPr="00774BD7" w:rsidRDefault="00C60062" w:rsidP="00F745D3">
            <w:pPr>
              <w:jc w:val="center"/>
            </w:pPr>
            <w:r w:rsidRPr="00774BD7">
              <w:t>16.7 (2.5)</w:t>
            </w:r>
          </w:p>
        </w:tc>
        <w:tc>
          <w:tcPr>
            <w:tcW w:w="1406" w:type="dxa"/>
          </w:tcPr>
          <w:p w14:paraId="3BEB3FB1" w14:textId="77777777" w:rsidR="00C60062" w:rsidRPr="00774BD7" w:rsidRDefault="00C60062" w:rsidP="00F745D3">
            <w:pPr>
              <w:jc w:val="center"/>
            </w:pPr>
            <w:r w:rsidRPr="00774BD7">
              <w:t>16.8 (2.5)</w:t>
            </w:r>
          </w:p>
        </w:tc>
        <w:tc>
          <w:tcPr>
            <w:tcW w:w="1445" w:type="dxa"/>
          </w:tcPr>
          <w:p w14:paraId="4AF72D2F" w14:textId="77777777" w:rsidR="00C60062" w:rsidRPr="00774BD7" w:rsidRDefault="00C60062" w:rsidP="00F745D3">
            <w:pPr>
              <w:jc w:val="center"/>
            </w:pPr>
            <w:r w:rsidRPr="00774BD7">
              <w:t>16.5 (2.4)</w:t>
            </w:r>
          </w:p>
        </w:tc>
        <w:tc>
          <w:tcPr>
            <w:tcW w:w="883" w:type="dxa"/>
            <w:tcBorders>
              <w:right w:val="single" w:sz="18" w:space="0" w:color="auto"/>
            </w:tcBorders>
          </w:tcPr>
          <w:p w14:paraId="078D53A5" w14:textId="77777777" w:rsidR="00C60062" w:rsidRPr="00774BD7" w:rsidRDefault="00C60062" w:rsidP="00F745D3">
            <w:pPr>
              <w:jc w:val="center"/>
            </w:pPr>
            <w:r w:rsidRPr="00774BD7">
              <w:t>0.349</w:t>
            </w:r>
          </w:p>
        </w:tc>
        <w:tc>
          <w:tcPr>
            <w:tcW w:w="1003" w:type="dxa"/>
            <w:tcBorders>
              <w:left w:val="single" w:sz="18" w:space="0" w:color="auto"/>
              <w:right w:val="single" w:sz="2" w:space="0" w:color="FFFFFF" w:themeColor="background1"/>
            </w:tcBorders>
          </w:tcPr>
          <w:p w14:paraId="53CEA62D" w14:textId="77777777" w:rsidR="00C60062" w:rsidRPr="00774BD7" w:rsidRDefault="00C60062" w:rsidP="00F745D3">
            <w:pPr>
              <w:jc w:val="center"/>
            </w:pPr>
            <w:r w:rsidRPr="00774BD7">
              <w:t>0.727</w:t>
            </w:r>
          </w:p>
        </w:tc>
      </w:tr>
      <w:tr w:rsidR="00C60062" w:rsidRPr="00774BD7" w14:paraId="6C0DB960" w14:textId="77777777" w:rsidTr="00F745D3">
        <w:tc>
          <w:tcPr>
            <w:tcW w:w="2848" w:type="dxa"/>
            <w:tcBorders>
              <w:left w:val="single" w:sz="2" w:space="0" w:color="FFFFFF" w:themeColor="background1"/>
              <w:right w:val="single" w:sz="18" w:space="0" w:color="auto"/>
            </w:tcBorders>
          </w:tcPr>
          <w:p w14:paraId="109F1BFA" w14:textId="77777777" w:rsidR="00C60062" w:rsidRPr="00774BD7" w:rsidRDefault="00C60062" w:rsidP="00F745D3">
            <w:pPr>
              <w:rPr>
                <w:b/>
              </w:rPr>
            </w:pPr>
            <w:r w:rsidRPr="00774BD7">
              <w:rPr>
                <w:b/>
              </w:rPr>
              <w:t>ADAS-cog, mean (SD)</w:t>
            </w:r>
          </w:p>
        </w:tc>
        <w:tc>
          <w:tcPr>
            <w:tcW w:w="1318" w:type="dxa"/>
            <w:tcBorders>
              <w:left w:val="single" w:sz="18" w:space="0" w:color="auto"/>
            </w:tcBorders>
          </w:tcPr>
          <w:p w14:paraId="4300F9BF" w14:textId="77777777" w:rsidR="00C60062" w:rsidRPr="00774BD7" w:rsidRDefault="00C60062" w:rsidP="00F745D3">
            <w:pPr>
              <w:jc w:val="center"/>
            </w:pPr>
            <w:r w:rsidRPr="00774BD7">
              <w:t>13.1 (4.7)</w:t>
            </w:r>
          </w:p>
        </w:tc>
        <w:tc>
          <w:tcPr>
            <w:tcW w:w="1406" w:type="dxa"/>
          </w:tcPr>
          <w:p w14:paraId="1779E982" w14:textId="77777777" w:rsidR="00C60062" w:rsidRPr="00774BD7" w:rsidRDefault="00C60062" w:rsidP="00F745D3">
            <w:pPr>
              <w:jc w:val="center"/>
            </w:pPr>
            <w:r w:rsidRPr="00774BD7">
              <w:t>12.5 (4.4)</w:t>
            </w:r>
          </w:p>
        </w:tc>
        <w:tc>
          <w:tcPr>
            <w:tcW w:w="1406" w:type="dxa"/>
          </w:tcPr>
          <w:p w14:paraId="3AFFE0E4" w14:textId="77777777" w:rsidR="00C60062" w:rsidRPr="00774BD7" w:rsidRDefault="00C60062" w:rsidP="00F745D3">
            <w:pPr>
              <w:jc w:val="center"/>
            </w:pPr>
            <w:r w:rsidRPr="00774BD7">
              <w:t>14.4 (5.3)</w:t>
            </w:r>
          </w:p>
        </w:tc>
        <w:tc>
          <w:tcPr>
            <w:tcW w:w="1003" w:type="dxa"/>
            <w:tcBorders>
              <w:right w:val="double" w:sz="18" w:space="0" w:color="auto"/>
            </w:tcBorders>
          </w:tcPr>
          <w:p w14:paraId="05635B4E" w14:textId="77777777" w:rsidR="00C60062" w:rsidRPr="00774BD7" w:rsidRDefault="00C60062" w:rsidP="00F745D3">
            <w:pPr>
              <w:jc w:val="center"/>
            </w:pPr>
            <w:r w:rsidRPr="00774BD7">
              <w:t>0.006*</w:t>
            </w:r>
          </w:p>
        </w:tc>
        <w:tc>
          <w:tcPr>
            <w:tcW w:w="1234" w:type="dxa"/>
            <w:tcBorders>
              <w:left w:val="double" w:sz="18" w:space="0" w:color="auto"/>
            </w:tcBorders>
          </w:tcPr>
          <w:p w14:paraId="4FB275F5" w14:textId="77777777" w:rsidR="00C60062" w:rsidRPr="00774BD7" w:rsidRDefault="00C60062" w:rsidP="00F745D3">
            <w:pPr>
              <w:jc w:val="center"/>
            </w:pPr>
            <w:r w:rsidRPr="00774BD7">
              <w:t>16.5 (6.0)</w:t>
            </w:r>
          </w:p>
        </w:tc>
        <w:tc>
          <w:tcPr>
            <w:tcW w:w="1406" w:type="dxa"/>
          </w:tcPr>
          <w:p w14:paraId="0C6421CE" w14:textId="77777777" w:rsidR="00C60062" w:rsidRPr="00774BD7" w:rsidRDefault="00C60062" w:rsidP="00F745D3">
            <w:pPr>
              <w:jc w:val="center"/>
            </w:pPr>
            <w:r w:rsidRPr="00774BD7">
              <w:t>16.5 (5.7)</w:t>
            </w:r>
          </w:p>
        </w:tc>
        <w:tc>
          <w:tcPr>
            <w:tcW w:w="1445" w:type="dxa"/>
          </w:tcPr>
          <w:p w14:paraId="7871A197" w14:textId="77777777" w:rsidR="00C60062" w:rsidRPr="00774BD7" w:rsidRDefault="00C60062" w:rsidP="00F745D3">
            <w:pPr>
              <w:jc w:val="center"/>
            </w:pPr>
            <w:r w:rsidRPr="00774BD7">
              <w:t>16.7 (6.5)</w:t>
            </w:r>
          </w:p>
        </w:tc>
        <w:tc>
          <w:tcPr>
            <w:tcW w:w="883" w:type="dxa"/>
            <w:tcBorders>
              <w:right w:val="single" w:sz="18" w:space="0" w:color="auto"/>
            </w:tcBorders>
          </w:tcPr>
          <w:p w14:paraId="3A51222E" w14:textId="77777777" w:rsidR="00C60062" w:rsidRPr="00774BD7" w:rsidRDefault="00C60062" w:rsidP="00F745D3">
            <w:pPr>
              <w:jc w:val="center"/>
            </w:pPr>
            <w:r w:rsidRPr="00774BD7">
              <w:t>0.832</w:t>
            </w:r>
          </w:p>
        </w:tc>
        <w:tc>
          <w:tcPr>
            <w:tcW w:w="1003" w:type="dxa"/>
            <w:tcBorders>
              <w:left w:val="single" w:sz="18" w:space="0" w:color="auto"/>
              <w:right w:val="single" w:sz="2" w:space="0" w:color="FFFFFF" w:themeColor="background1"/>
            </w:tcBorders>
          </w:tcPr>
          <w:p w14:paraId="55991028" w14:textId="77777777" w:rsidR="00C60062" w:rsidRPr="00774BD7" w:rsidRDefault="00C60062" w:rsidP="00F745D3">
            <w:pPr>
              <w:jc w:val="center"/>
            </w:pPr>
            <w:r w:rsidRPr="00774BD7">
              <w:t>&lt;0.001*</w:t>
            </w:r>
          </w:p>
        </w:tc>
      </w:tr>
      <w:tr w:rsidR="00C60062" w:rsidRPr="00774BD7" w14:paraId="2ECEED94" w14:textId="77777777" w:rsidTr="00F745D3">
        <w:tc>
          <w:tcPr>
            <w:tcW w:w="2848" w:type="dxa"/>
            <w:tcBorders>
              <w:left w:val="single" w:sz="2" w:space="0" w:color="FFFFFF" w:themeColor="background1"/>
              <w:right w:val="single" w:sz="18" w:space="0" w:color="auto"/>
            </w:tcBorders>
          </w:tcPr>
          <w:p w14:paraId="658D98D3" w14:textId="77777777" w:rsidR="00C60062" w:rsidRPr="00774BD7" w:rsidRDefault="00C60062" w:rsidP="00F745D3">
            <w:pPr>
              <w:rPr>
                <w:b/>
              </w:rPr>
            </w:pPr>
            <w:r w:rsidRPr="00774BD7">
              <w:rPr>
                <w:b/>
              </w:rPr>
              <w:t>APOE Ɛ4 carriers, n (%)</w:t>
            </w:r>
          </w:p>
        </w:tc>
        <w:tc>
          <w:tcPr>
            <w:tcW w:w="1318" w:type="dxa"/>
            <w:tcBorders>
              <w:left w:val="single" w:sz="18" w:space="0" w:color="auto"/>
            </w:tcBorders>
          </w:tcPr>
          <w:p w14:paraId="042CC7B9" w14:textId="77777777" w:rsidR="00C60062" w:rsidRPr="00774BD7" w:rsidRDefault="00C60062" w:rsidP="00F745D3">
            <w:pPr>
              <w:jc w:val="center"/>
            </w:pPr>
            <w:r w:rsidRPr="00774BD7">
              <w:t>82 (32.4)</w:t>
            </w:r>
          </w:p>
        </w:tc>
        <w:tc>
          <w:tcPr>
            <w:tcW w:w="1406" w:type="dxa"/>
          </w:tcPr>
          <w:p w14:paraId="44F6BB5B" w14:textId="77777777" w:rsidR="00C60062" w:rsidRPr="00774BD7" w:rsidRDefault="00C60062" w:rsidP="00F745D3">
            <w:pPr>
              <w:jc w:val="center"/>
            </w:pPr>
            <w:r w:rsidRPr="00774BD7">
              <w:t>67 (34.9)</w:t>
            </w:r>
          </w:p>
        </w:tc>
        <w:tc>
          <w:tcPr>
            <w:tcW w:w="1406" w:type="dxa"/>
          </w:tcPr>
          <w:p w14:paraId="487E5FE9" w14:textId="77777777" w:rsidR="00C60062" w:rsidRPr="00774BD7" w:rsidRDefault="00C60062" w:rsidP="00F745D3">
            <w:pPr>
              <w:jc w:val="center"/>
            </w:pPr>
            <w:r w:rsidRPr="00774BD7">
              <w:t>15 (24.6)</w:t>
            </w:r>
          </w:p>
        </w:tc>
        <w:tc>
          <w:tcPr>
            <w:tcW w:w="1003" w:type="dxa"/>
            <w:tcBorders>
              <w:right w:val="double" w:sz="18" w:space="0" w:color="auto"/>
            </w:tcBorders>
          </w:tcPr>
          <w:p w14:paraId="33323CEB" w14:textId="77777777" w:rsidR="00C60062" w:rsidRPr="00774BD7" w:rsidRDefault="00C60062" w:rsidP="00F745D3">
            <w:pPr>
              <w:jc w:val="center"/>
            </w:pPr>
            <w:r w:rsidRPr="00774BD7">
              <w:t>0.158</w:t>
            </w:r>
          </w:p>
        </w:tc>
        <w:tc>
          <w:tcPr>
            <w:tcW w:w="1234" w:type="dxa"/>
            <w:tcBorders>
              <w:left w:val="double" w:sz="18" w:space="0" w:color="auto"/>
            </w:tcBorders>
          </w:tcPr>
          <w:p w14:paraId="2957E3F5" w14:textId="77777777" w:rsidR="00C60062" w:rsidRPr="00774BD7" w:rsidRDefault="00C60062" w:rsidP="00F745D3">
            <w:pPr>
              <w:jc w:val="center"/>
            </w:pPr>
            <w:r w:rsidRPr="00774BD7">
              <w:t>47 (34.3%)</w:t>
            </w:r>
          </w:p>
        </w:tc>
        <w:tc>
          <w:tcPr>
            <w:tcW w:w="1406" w:type="dxa"/>
          </w:tcPr>
          <w:p w14:paraId="2BD0E6A7" w14:textId="77777777" w:rsidR="00C60062" w:rsidRPr="00774BD7" w:rsidRDefault="00C60062" w:rsidP="00F745D3">
            <w:pPr>
              <w:jc w:val="center"/>
            </w:pPr>
            <w:r w:rsidRPr="00774BD7">
              <w:t>31 (36.9%)</w:t>
            </w:r>
          </w:p>
        </w:tc>
        <w:tc>
          <w:tcPr>
            <w:tcW w:w="1445" w:type="dxa"/>
          </w:tcPr>
          <w:p w14:paraId="082D5470" w14:textId="77777777" w:rsidR="00C60062" w:rsidRPr="00774BD7" w:rsidRDefault="00C60062" w:rsidP="00F745D3">
            <w:pPr>
              <w:jc w:val="center"/>
            </w:pPr>
            <w:r w:rsidRPr="00774BD7">
              <w:t>16 (30.2%)</w:t>
            </w:r>
          </w:p>
        </w:tc>
        <w:tc>
          <w:tcPr>
            <w:tcW w:w="883" w:type="dxa"/>
            <w:tcBorders>
              <w:right w:val="single" w:sz="18" w:space="0" w:color="auto"/>
            </w:tcBorders>
          </w:tcPr>
          <w:p w14:paraId="4E0CEFE7" w14:textId="77777777" w:rsidR="00C60062" w:rsidRPr="00774BD7" w:rsidRDefault="00C60062" w:rsidP="00F745D3">
            <w:pPr>
              <w:jc w:val="center"/>
            </w:pPr>
            <w:r w:rsidRPr="00774BD7">
              <w:t>0.464</w:t>
            </w:r>
          </w:p>
        </w:tc>
        <w:tc>
          <w:tcPr>
            <w:tcW w:w="1003" w:type="dxa"/>
            <w:tcBorders>
              <w:left w:val="single" w:sz="18" w:space="0" w:color="auto"/>
              <w:right w:val="single" w:sz="2" w:space="0" w:color="FFFFFF" w:themeColor="background1"/>
            </w:tcBorders>
          </w:tcPr>
          <w:p w14:paraId="615C58FE" w14:textId="77777777" w:rsidR="00C60062" w:rsidRPr="00774BD7" w:rsidRDefault="00C60062" w:rsidP="00F745D3">
            <w:pPr>
              <w:jc w:val="center"/>
            </w:pPr>
            <w:r w:rsidRPr="00774BD7">
              <w:t>0.736</w:t>
            </w:r>
          </w:p>
        </w:tc>
      </w:tr>
      <w:tr w:rsidR="00C60062" w:rsidRPr="00774BD7" w14:paraId="484E3660" w14:textId="77777777" w:rsidTr="00F745D3">
        <w:tc>
          <w:tcPr>
            <w:tcW w:w="2848" w:type="dxa"/>
            <w:tcBorders>
              <w:left w:val="single" w:sz="2" w:space="0" w:color="FFFFFF" w:themeColor="background1"/>
              <w:right w:val="single" w:sz="18" w:space="0" w:color="auto"/>
            </w:tcBorders>
          </w:tcPr>
          <w:p w14:paraId="537D106B" w14:textId="77777777" w:rsidR="00C60062" w:rsidRPr="00774BD7" w:rsidRDefault="00C60062" w:rsidP="00F745D3">
            <w:pPr>
              <w:rPr>
                <w:b/>
              </w:rPr>
            </w:pPr>
            <w:r w:rsidRPr="00774BD7">
              <w:rPr>
                <w:b/>
              </w:rPr>
              <w:t>Amyloid positive, n (%)</w:t>
            </w:r>
          </w:p>
        </w:tc>
        <w:tc>
          <w:tcPr>
            <w:tcW w:w="1318" w:type="dxa"/>
            <w:tcBorders>
              <w:left w:val="single" w:sz="18" w:space="0" w:color="auto"/>
            </w:tcBorders>
          </w:tcPr>
          <w:p w14:paraId="7FEBC7E9" w14:textId="77777777" w:rsidR="00C60062" w:rsidRPr="00774BD7" w:rsidRDefault="00C60062" w:rsidP="00F745D3">
            <w:pPr>
              <w:jc w:val="center"/>
            </w:pPr>
            <w:r w:rsidRPr="00774BD7">
              <w:t>65 (35.5)</w:t>
            </w:r>
          </w:p>
        </w:tc>
        <w:tc>
          <w:tcPr>
            <w:tcW w:w="1406" w:type="dxa"/>
          </w:tcPr>
          <w:p w14:paraId="13613D31" w14:textId="77777777" w:rsidR="00C60062" w:rsidRPr="00774BD7" w:rsidRDefault="00C60062" w:rsidP="00F745D3">
            <w:pPr>
              <w:jc w:val="center"/>
            </w:pPr>
            <w:r w:rsidRPr="00774BD7">
              <w:t>42 (33.9)</w:t>
            </w:r>
          </w:p>
        </w:tc>
        <w:tc>
          <w:tcPr>
            <w:tcW w:w="1406" w:type="dxa"/>
          </w:tcPr>
          <w:p w14:paraId="14754AE8" w14:textId="77777777" w:rsidR="00C60062" w:rsidRPr="00774BD7" w:rsidRDefault="00C60062" w:rsidP="00F745D3">
            <w:pPr>
              <w:jc w:val="center"/>
            </w:pPr>
            <w:r w:rsidRPr="00774BD7">
              <w:t>23 (39.0)</w:t>
            </w:r>
          </w:p>
        </w:tc>
        <w:tc>
          <w:tcPr>
            <w:tcW w:w="1003" w:type="dxa"/>
            <w:tcBorders>
              <w:right w:val="double" w:sz="18" w:space="0" w:color="auto"/>
            </w:tcBorders>
          </w:tcPr>
          <w:p w14:paraId="72C77268" w14:textId="77777777" w:rsidR="00C60062" w:rsidRPr="00774BD7" w:rsidRDefault="00C60062" w:rsidP="00F745D3">
            <w:pPr>
              <w:jc w:val="center"/>
            </w:pPr>
            <w:r w:rsidRPr="00774BD7">
              <w:t>0.513</w:t>
            </w:r>
          </w:p>
        </w:tc>
        <w:tc>
          <w:tcPr>
            <w:tcW w:w="1234" w:type="dxa"/>
            <w:tcBorders>
              <w:left w:val="double" w:sz="18" w:space="0" w:color="auto"/>
            </w:tcBorders>
          </w:tcPr>
          <w:p w14:paraId="687CEE99" w14:textId="77777777" w:rsidR="00C60062" w:rsidRPr="00774BD7" w:rsidRDefault="00C60062" w:rsidP="00F745D3">
            <w:pPr>
              <w:jc w:val="center"/>
            </w:pPr>
            <w:r w:rsidRPr="00774BD7">
              <w:t>44 (40.0%)</w:t>
            </w:r>
          </w:p>
        </w:tc>
        <w:tc>
          <w:tcPr>
            <w:tcW w:w="1406" w:type="dxa"/>
          </w:tcPr>
          <w:p w14:paraId="1BDA564D" w14:textId="77777777" w:rsidR="00C60062" w:rsidRPr="00774BD7" w:rsidRDefault="00C60062" w:rsidP="00F745D3">
            <w:pPr>
              <w:jc w:val="center"/>
            </w:pPr>
            <w:r w:rsidRPr="00774BD7">
              <w:t>25 (36.8%)</w:t>
            </w:r>
          </w:p>
        </w:tc>
        <w:tc>
          <w:tcPr>
            <w:tcW w:w="1445" w:type="dxa"/>
          </w:tcPr>
          <w:p w14:paraId="222D7EF9" w14:textId="77777777" w:rsidR="00C60062" w:rsidRPr="00774BD7" w:rsidRDefault="00C60062" w:rsidP="00F745D3">
            <w:pPr>
              <w:jc w:val="center"/>
            </w:pPr>
            <w:r w:rsidRPr="00774BD7">
              <w:t>19 (45.2%)</w:t>
            </w:r>
          </w:p>
        </w:tc>
        <w:tc>
          <w:tcPr>
            <w:tcW w:w="883" w:type="dxa"/>
            <w:tcBorders>
              <w:right w:val="single" w:sz="18" w:space="0" w:color="auto"/>
            </w:tcBorders>
          </w:tcPr>
          <w:p w14:paraId="466CD65F" w14:textId="77777777" w:rsidR="00C60062" w:rsidRPr="00774BD7" w:rsidRDefault="00C60062" w:rsidP="00F745D3">
            <w:pPr>
              <w:jc w:val="center"/>
            </w:pPr>
            <w:r w:rsidRPr="00774BD7">
              <w:t>0.426</w:t>
            </w:r>
          </w:p>
        </w:tc>
        <w:tc>
          <w:tcPr>
            <w:tcW w:w="1003" w:type="dxa"/>
            <w:tcBorders>
              <w:left w:val="single" w:sz="18" w:space="0" w:color="auto"/>
              <w:right w:val="single" w:sz="2" w:space="0" w:color="FFFFFF" w:themeColor="background1"/>
            </w:tcBorders>
          </w:tcPr>
          <w:p w14:paraId="5868D207" w14:textId="77777777" w:rsidR="00C60062" w:rsidRPr="00774BD7" w:rsidRDefault="00C60062" w:rsidP="00F745D3">
            <w:pPr>
              <w:jc w:val="center"/>
            </w:pPr>
            <w:r w:rsidRPr="00774BD7">
              <w:t>0.456</w:t>
            </w:r>
          </w:p>
        </w:tc>
      </w:tr>
      <w:tr w:rsidR="00C60062" w:rsidRPr="00774BD7" w14:paraId="2E6396E6" w14:textId="77777777" w:rsidTr="00F745D3">
        <w:tc>
          <w:tcPr>
            <w:tcW w:w="2848" w:type="dxa"/>
            <w:tcBorders>
              <w:left w:val="single" w:sz="2" w:space="0" w:color="FFFFFF" w:themeColor="background1"/>
              <w:right w:val="single" w:sz="18" w:space="0" w:color="auto"/>
            </w:tcBorders>
          </w:tcPr>
          <w:p w14:paraId="7B88E6ED" w14:textId="77777777" w:rsidR="00C60062" w:rsidRPr="00774BD7" w:rsidRDefault="00C60062" w:rsidP="00F745D3">
            <w:pPr>
              <w:rPr>
                <w:b/>
              </w:rPr>
            </w:pPr>
            <w:r w:rsidRPr="00774BD7">
              <w:rPr>
                <w:b/>
              </w:rPr>
              <w:t xml:space="preserve">Vascular risk, CMC score, </w:t>
            </w:r>
            <w:proofErr w:type="gramStart"/>
            <w:r w:rsidRPr="00774BD7">
              <w:rPr>
                <w:b/>
              </w:rPr>
              <w:t>mean(</w:t>
            </w:r>
            <w:proofErr w:type="gramEnd"/>
            <w:r w:rsidRPr="00774BD7">
              <w:rPr>
                <w:b/>
              </w:rPr>
              <w:t>SD)</w:t>
            </w:r>
          </w:p>
        </w:tc>
        <w:tc>
          <w:tcPr>
            <w:tcW w:w="1318" w:type="dxa"/>
            <w:tcBorders>
              <w:left w:val="single" w:sz="18" w:space="0" w:color="auto"/>
            </w:tcBorders>
          </w:tcPr>
          <w:p w14:paraId="4E0FFB12" w14:textId="77777777" w:rsidR="00C60062" w:rsidRPr="00774BD7" w:rsidRDefault="00C60062" w:rsidP="00F745D3">
            <w:pPr>
              <w:jc w:val="center"/>
            </w:pPr>
            <w:r w:rsidRPr="00774BD7">
              <w:t>1.08 (1.0)</w:t>
            </w:r>
          </w:p>
        </w:tc>
        <w:tc>
          <w:tcPr>
            <w:tcW w:w="1406" w:type="dxa"/>
          </w:tcPr>
          <w:p w14:paraId="561FCDCF" w14:textId="77777777" w:rsidR="00C60062" w:rsidRPr="00774BD7" w:rsidRDefault="00C60062" w:rsidP="00F745D3">
            <w:pPr>
              <w:jc w:val="center"/>
            </w:pPr>
            <w:r w:rsidRPr="00774BD7">
              <w:t>0.95 (0.9)</w:t>
            </w:r>
          </w:p>
        </w:tc>
        <w:tc>
          <w:tcPr>
            <w:tcW w:w="1406" w:type="dxa"/>
          </w:tcPr>
          <w:p w14:paraId="1D276A19" w14:textId="77777777" w:rsidR="00C60062" w:rsidRPr="00774BD7" w:rsidRDefault="00C60062" w:rsidP="00F745D3">
            <w:pPr>
              <w:jc w:val="center"/>
            </w:pPr>
            <w:r w:rsidRPr="00774BD7">
              <w:t>1.41 (1.2)</w:t>
            </w:r>
          </w:p>
        </w:tc>
        <w:tc>
          <w:tcPr>
            <w:tcW w:w="1003" w:type="dxa"/>
            <w:tcBorders>
              <w:right w:val="double" w:sz="18" w:space="0" w:color="auto"/>
            </w:tcBorders>
          </w:tcPr>
          <w:p w14:paraId="0C1E0A24" w14:textId="77777777" w:rsidR="00C60062" w:rsidRPr="00774BD7" w:rsidRDefault="00C60062" w:rsidP="00F745D3">
            <w:pPr>
              <w:jc w:val="center"/>
            </w:pPr>
            <w:r w:rsidRPr="00774BD7">
              <w:t>0.001*</w:t>
            </w:r>
          </w:p>
        </w:tc>
        <w:tc>
          <w:tcPr>
            <w:tcW w:w="1234" w:type="dxa"/>
            <w:tcBorders>
              <w:left w:val="double" w:sz="18" w:space="0" w:color="auto"/>
            </w:tcBorders>
          </w:tcPr>
          <w:p w14:paraId="7777BE5F" w14:textId="77777777" w:rsidR="00C60062" w:rsidRPr="00774BD7" w:rsidRDefault="00C60062" w:rsidP="00F745D3">
            <w:pPr>
              <w:jc w:val="center"/>
            </w:pPr>
            <w:r w:rsidRPr="00774BD7">
              <w:t>1.2 (0.9)</w:t>
            </w:r>
          </w:p>
        </w:tc>
        <w:tc>
          <w:tcPr>
            <w:tcW w:w="1406" w:type="dxa"/>
          </w:tcPr>
          <w:p w14:paraId="47CF44A9" w14:textId="77777777" w:rsidR="00C60062" w:rsidRPr="00774BD7" w:rsidRDefault="00C60062" w:rsidP="00F745D3">
            <w:pPr>
              <w:jc w:val="center"/>
            </w:pPr>
            <w:r w:rsidRPr="00774BD7">
              <w:t>1.2 (0.9)</w:t>
            </w:r>
          </w:p>
        </w:tc>
        <w:tc>
          <w:tcPr>
            <w:tcW w:w="1445" w:type="dxa"/>
          </w:tcPr>
          <w:p w14:paraId="7589F4DD" w14:textId="77777777" w:rsidR="00C60062" w:rsidRPr="00774BD7" w:rsidRDefault="00C60062" w:rsidP="00F745D3">
            <w:pPr>
              <w:jc w:val="center"/>
            </w:pPr>
            <w:r w:rsidRPr="00774BD7">
              <w:t>1.4 (0.9)</w:t>
            </w:r>
          </w:p>
        </w:tc>
        <w:tc>
          <w:tcPr>
            <w:tcW w:w="883" w:type="dxa"/>
            <w:tcBorders>
              <w:right w:val="single" w:sz="18" w:space="0" w:color="auto"/>
            </w:tcBorders>
          </w:tcPr>
          <w:p w14:paraId="4883AA96" w14:textId="77777777" w:rsidR="00C60062" w:rsidRPr="00774BD7" w:rsidRDefault="00C60062" w:rsidP="00F745D3">
            <w:pPr>
              <w:jc w:val="center"/>
            </w:pPr>
            <w:r w:rsidRPr="00774BD7">
              <w:t>0.143</w:t>
            </w:r>
          </w:p>
        </w:tc>
        <w:tc>
          <w:tcPr>
            <w:tcW w:w="1003" w:type="dxa"/>
            <w:tcBorders>
              <w:left w:val="single" w:sz="18" w:space="0" w:color="auto"/>
              <w:right w:val="single" w:sz="2" w:space="0" w:color="FFFFFF" w:themeColor="background1"/>
            </w:tcBorders>
          </w:tcPr>
          <w:p w14:paraId="7E341055" w14:textId="77777777" w:rsidR="00C60062" w:rsidRPr="00774BD7" w:rsidRDefault="00C60062" w:rsidP="00F745D3">
            <w:pPr>
              <w:jc w:val="center"/>
            </w:pPr>
            <w:r w:rsidRPr="00774BD7">
              <w:t>0.075</w:t>
            </w:r>
          </w:p>
        </w:tc>
      </w:tr>
      <w:tr w:rsidR="00C60062" w:rsidRPr="00774BD7" w14:paraId="28E784F6" w14:textId="77777777" w:rsidTr="00F745D3">
        <w:tc>
          <w:tcPr>
            <w:tcW w:w="2848" w:type="dxa"/>
            <w:tcBorders>
              <w:left w:val="single" w:sz="2" w:space="0" w:color="FFFFFF" w:themeColor="background1"/>
              <w:right w:val="single" w:sz="18" w:space="0" w:color="auto"/>
            </w:tcBorders>
          </w:tcPr>
          <w:p w14:paraId="3DA0BF82" w14:textId="77777777" w:rsidR="00C60062" w:rsidRPr="00774BD7" w:rsidRDefault="00C60062" w:rsidP="00F745D3">
            <w:pPr>
              <w:rPr>
                <w:b/>
              </w:rPr>
            </w:pPr>
            <w:r w:rsidRPr="00774BD7">
              <w:rPr>
                <w:b/>
              </w:rPr>
              <w:t>Total ACB scale, median (range)</w:t>
            </w:r>
          </w:p>
        </w:tc>
        <w:tc>
          <w:tcPr>
            <w:tcW w:w="1318" w:type="dxa"/>
            <w:tcBorders>
              <w:left w:val="single" w:sz="18" w:space="0" w:color="auto"/>
            </w:tcBorders>
          </w:tcPr>
          <w:p w14:paraId="5ADFC2C7" w14:textId="77777777" w:rsidR="00C60062" w:rsidRPr="00774BD7" w:rsidRDefault="00C60062" w:rsidP="00F745D3">
            <w:pPr>
              <w:jc w:val="center"/>
            </w:pPr>
            <w:r w:rsidRPr="00774BD7">
              <w:t>-</w:t>
            </w:r>
          </w:p>
        </w:tc>
        <w:tc>
          <w:tcPr>
            <w:tcW w:w="1406" w:type="dxa"/>
          </w:tcPr>
          <w:p w14:paraId="5540435A" w14:textId="77777777" w:rsidR="00C60062" w:rsidRPr="00774BD7" w:rsidRDefault="00C60062" w:rsidP="00F745D3">
            <w:pPr>
              <w:jc w:val="center"/>
            </w:pPr>
            <w:r w:rsidRPr="00774BD7">
              <w:t>-</w:t>
            </w:r>
          </w:p>
        </w:tc>
        <w:tc>
          <w:tcPr>
            <w:tcW w:w="1406" w:type="dxa"/>
          </w:tcPr>
          <w:p w14:paraId="1D64C597" w14:textId="77777777" w:rsidR="00C60062" w:rsidRPr="00774BD7" w:rsidRDefault="00C60062" w:rsidP="00F745D3">
            <w:pPr>
              <w:jc w:val="center"/>
            </w:pPr>
            <w:r w:rsidRPr="00774BD7">
              <w:t>1 (1-7)</w:t>
            </w:r>
          </w:p>
        </w:tc>
        <w:tc>
          <w:tcPr>
            <w:tcW w:w="1003" w:type="dxa"/>
            <w:tcBorders>
              <w:right w:val="double" w:sz="18" w:space="0" w:color="auto"/>
            </w:tcBorders>
          </w:tcPr>
          <w:p w14:paraId="3DFCE8EE" w14:textId="77777777" w:rsidR="00C60062" w:rsidRPr="00774BD7" w:rsidRDefault="00C60062" w:rsidP="00F745D3">
            <w:pPr>
              <w:jc w:val="center"/>
            </w:pPr>
            <w:r w:rsidRPr="00774BD7">
              <w:t>-</w:t>
            </w:r>
          </w:p>
        </w:tc>
        <w:tc>
          <w:tcPr>
            <w:tcW w:w="1234" w:type="dxa"/>
            <w:tcBorders>
              <w:left w:val="double" w:sz="18" w:space="0" w:color="auto"/>
            </w:tcBorders>
          </w:tcPr>
          <w:p w14:paraId="2A80B958" w14:textId="77777777" w:rsidR="00C60062" w:rsidRPr="00774BD7" w:rsidRDefault="00C60062" w:rsidP="00F745D3">
            <w:pPr>
              <w:jc w:val="center"/>
            </w:pPr>
            <w:r w:rsidRPr="00774BD7">
              <w:t>-</w:t>
            </w:r>
          </w:p>
        </w:tc>
        <w:tc>
          <w:tcPr>
            <w:tcW w:w="1406" w:type="dxa"/>
          </w:tcPr>
          <w:p w14:paraId="2753385E" w14:textId="77777777" w:rsidR="00C60062" w:rsidRPr="00774BD7" w:rsidRDefault="00C60062" w:rsidP="00F745D3">
            <w:pPr>
              <w:jc w:val="center"/>
            </w:pPr>
            <w:r w:rsidRPr="00774BD7">
              <w:t>-</w:t>
            </w:r>
          </w:p>
        </w:tc>
        <w:tc>
          <w:tcPr>
            <w:tcW w:w="1445" w:type="dxa"/>
          </w:tcPr>
          <w:p w14:paraId="3EA627FE" w14:textId="77777777" w:rsidR="00C60062" w:rsidRPr="00774BD7" w:rsidRDefault="00C60062" w:rsidP="00F745D3">
            <w:pPr>
              <w:jc w:val="center"/>
            </w:pPr>
            <w:r w:rsidRPr="00774BD7">
              <w:t>1 (1-7)</w:t>
            </w:r>
          </w:p>
        </w:tc>
        <w:tc>
          <w:tcPr>
            <w:tcW w:w="883" w:type="dxa"/>
            <w:tcBorders>
              <w:right w:val="single" w:sz="18" w:space="0" w:color="auto"/>
            </w:tcBorders>
          </w:tcPr>
          <w:p w14:paraId="07591DCF" w14:textId="77777777" w:rsidR="00C60062" w:rsidRPr="00774BD7" w:rsidRDefault="00C60062" w:rsidP="00F745D3">
            <w:pPr>
              <w:jc w:val="center"/>
            </w:pPr>
            <w:r w:rsidRPr="00774BD7">
              <w:t>-</w:t>
            </w:r>
          </w:p>
        </w:tc>
        <w:tc>
          <w:tcPr>
            <w:tcW w:w="1003" w:type="dxa"/>
            <w:tcBorders>
              <w:left w:val="single" w:sz="18" w:space="0" w:color="auto"/>
              <w:right w:val="single" w:sz="2" w:space="0" w:color="FFFFFF" w:themeColor="background1"/>
            </w:tcBorders>
          </w:tcPr>
          <w:p w14:paraId="00D93C36" w14:textId="77777777" w:rsidR="00C60062" w:rsidRPr="00774BD7" w:rsidRDefault="00C60062" w:rsidP="00F745D3">
            <w:pPr>
              <w:jc w:val="center"/>
            </w:pPr>
            <w:r w:rsidRPr="00774BD7">
              <w:t>0.483</w:t>
            </w:r>
          </w:p>
        </w:tc>
      </w:tr>
      <w:tr w:rsidR="00C60062" w:rsidRPr="00774BD7" w14:paraId="628ED8AD" w14:textId="77777777" w:rsidTr="00F745D3">
        <w:tc>
          <w:tcPr>
            <w:tcW w:w="13952" w:type="dxa"/>
            <w:gridSpan w:val="10"/>
            <w:tcBorders>
              <w:left w:val="single" w:sz="2" w:space="0" w:color="FFFFFF" w:themeColor="background1"/>
              <w:bottom w:val="single" w:sz="4" w:space="0" w:color="auto"/>
              <w:right w:val="single" w:sz="2" w:space="0" w:color="FFFFFF" w:themeColor="background1"/>
            </w:tcBorders>
          </w:tcPr>
          <w:p w14:paraId="54E4A4B0" w14:textId="77777777" w:rsidR="00C60062" w:rsidRPr="00774BD7" w:rsidRDefault="00C60062" w:rsidP="00F745D3">
            <w:pPr>
              <w:rPr>
                <w:b/>
              </w:rPr>
            </w:pPr>
          </w:p>
        </w:tc>
      </w:tr>
      <w:tr w:rsidR="00C60062" w:rsidRPr="00774BD7" w14:paraId="646DAA47" w14:textId="77777777" w:rsidTr="00F745D3">
        <w:tc>
          <w:tcPr>
            <w:tcW w:w="2848" w:type="dxa"/>
            <w:tcBorders>
              <w:left w:val="single" w:sz="2" w:space="0" w:color="FFFFFF" w:themeColor="background1"/>
              <w:right w:val="single" w:sz="18" w:space="0" w:color="auto"/>
            </w:tcBorders>
          </w:tcPr>
          <w:p w14:paraId="1D1B5A30" w14:textId="77777777" w:rsidR="00C60062" w:rsidRPr="00774BD7" w:rsidRDefault="00C60062" w:rsidP="00F745D3">
            <w:pPr>
              <w:jc w:val="center"/>
              <w:rPr>
                <w:b/>
              </w:rPr>
            </w:pPr>
            <w:r w:rsidRPr="00774BD7">
              <w:rPr>
                <w:b/>
              </w:rPr>
              <w:t>Psychiatric</w:t>
            </w:r>
          </w:p>
        </w:tc>
        <w:tc>
          <w:tcPr>
            <w:tcW w:w="1318" w:type="dxa"/>
            <w:tcBorders>
              <w:left w:val="single" w:sz="18" w:space="0" w:color="auto"/>
            </w:tcBorders>
          </w:tcPr>
          <w:p w14:paraId="3D5FA826" w14:textId="77777777" w:rsidR="00C60062" w:rsidRPr="00774BD7" w:rsidRDefault="00C60062" w:rsidP="00F745D3">
            <w:pPr>
              <w:jc w:val="center"/>
            </w:pPr>
            <w:r w:rsidRPr="00774BD7">
              <w:t>84 (24.6)</w:t>
            </w:r>
          </w:p>
        </w:tc>
        <w:tc>
          <w:tcPr>
            <w:tcW w:w="1406" w:type="dxa"/>
          </w:tcPr>
          <w:p w14:paraId="19C282F0" w14:textId="77777777" w:rsidR="00C60062" w:rsidRPr="00774BD7" w:rsidRDefault="00C60062" w:rsidP="00F745D3">
            <w:pPr>
              <w:jc w:val="center"/>
            </w:pPr>
            <w:r w:rsidRPr="00774BD7">
              <w:t>50 (20.6)</w:t>
            </w:r>
          </w:p>
        </w:tc>
        <w:tc>
          <w:tcPr>
            <w:tcW w:w="1406" w:type="dxa"/>
          </w:tcPr>
          <w:p w14:paraId="5625EF74" w14:textId="77777777" w:rsidR="00C60062" w:rsidRPr="00774BD7" w:rsidRDefault="00C60062" w:rsidP="00F745D3">
            <w:pPr>
              <w:jc w:val="center"/>
            </w:pPr>
            <w:r w:rsidRPr="00774BD7">
              <w:t>34 (34.7)</w:t>
            </w:r>
          </w:p>
        </w:tc>
        <w:tc>
          <w:tcPr>
            <w:tcW w:w="1003" w:type="dxa"/>
            <w:tcBorders>
              <w:right w:val="double" w:sz="18" w:space="0" w:color="auto"/>
            </w:tcBorders>
          </w:tcPr>
          <w:p w14:paraId="08600CCF" w14:textId="77777777" w:rsidR="00C60062" w:rsidRPr="00774BD7" w:rsidRDefault="00C60062" w:rsidP="00F745D3">
            <w:pPr>
              <w:jc w:val="center"/>
            </w:pPr>
            <w:r w:rsidRPr="00774BD7">
              <w:t>0.008*</w:t>
            </w:r>
          </w:p>
        </w:tc>
        <w:tc>
          <w:tcPr>
            <w:tcW w:w="1234" w:type="dxa"/>
            <w:tcBorders>
              <w:left w:val="double" w:sz="18" w:space="0" w:color="auto"/>
            </w:tcBorders>
          </w:tcPr>
          <w:p w14:paraId="67D8289B" w14:textId="77777777" w:rsidR="00C60062" w:rsidRPr="00774BD7" w:rsidRDefault="00C60062" w:rsidP="00F745D3">
            <w:pPr>
              <w:jc w:val="center"/>
            </w:pPr>
            <w:r w:rsidRPr="00774BD7">
              <w:t>88 (39.8%)</w:t>
            </w:r>
          </w:p>
        </w:tc>
        <w:tc>
          <w:tcPr>
            <w:tcW w:w="1406" w:type="dxa"/>
          </w:tcPr>
          <w:p w14:paraId="6A9AA01E" w14:textId="77777777" w:rsidR="00C60062" w:rsidRPr="00774BD7" w:rsidRDefault="00C60062" w:rsidP="00F745D3">
            <w:pPr>
              <w:jc w:val="center"/>
            </w:pPr>
            <w:r w:rsidRPr="00774BD7">
              <w:t>51 (35.7%)</w:t>
            </w:r>
          </w:p>
        </w:tc>
        <w:tc>
          <w:tcPr>
            <w:tcW w:w="1445" w:type="dxa"/>
          </w:tcPr>
          <w:p w14:paraId="48FD889F" w14:textId="77777777" w:rsidR="00C60062" w:rsidRPr="00774BD7" w:rsidRDefault="00C60062" w:rsidP="00F745D3">
            <w:pPr>
              <w:jc w:val="center"/>
            </w:pPr>
            <w:r w:rsidRPr="00774BD7">
              <w:t>37 (47.4%)</w:t>
            </w:r>
          </w:p>
        </w:tc>
        <w:tc>
          <w:tcPr>
            <w:tcW w:w="883" w:type="dxa"/>
            <w:tcBorders>
              <w:right w:val="single" w:sz="18" w:space="0" w:color="auto"/>
            </w:tcBorders>
          </w:tcPr>
          <w:p w14:paraId="416F20EA" w14:textId="77777777" w:rsidR="00C60062" w:rsidRPr="00774BD7" w:rsidRDefault="00C60062" w:rsidP="00F745D3">
            <w:pPr>
              <w:jc w:val="center"/>
            </w:pPr>
            <w:r w:rsidRPr="00774BD7">
              <w:t>0.059</w:t>
            </w:r>
          </w:p>
        </w:tc>
        <w:tc>
          <w:tcPr>
            <w:tcW w:w="1003" w:type="dxa"/>
            <w:tcBorders>
              <w:left w:val="single" w:sz="18" w:space="0" w:color="auto"/>
              <w:right w:val="single" w:sz="2" w:space="0" w:color="FFFFFF" w:themeColor="background1"/>
            </w:tcBorders>
          </w:tcPr>
          <w:p w14:paraId="5F4E9316" w14:textId="77777777" w:rsidR="00C60062" w:rsidRPr="00774BD7" w:rsidRDefault="00C60062" w:rsidP="00F745D3">
            <w:pPr>
              <w:jc w:val="center"/>
            </w:pPr>
            <w:r w:rsidRPr="00774BD7">
              <w:t>&lt;0.001*</w:t>
            </w:r>
          </w:p>
        </w:tc>
      </w:tr>
      <w:tr w:rsidR="00C60062" w:rsidRPr="00774BD7" w14:paraId="78DCBED6" w14:textId="77777777" w:rsidTr="00F745D3">
        <w:tc>
          <w:tcPr>
            <w:tcW w:w="2848" w:type="dxa"/>
            <w:tcBorders>
              <w:left w:val="single" w:sz="2" w:space="0" w:color="FFFFFF" w:themeColor="background1"/>
              <w:bottom w:val="single" w:sz="4" w:space="0" w:color="auto"/>
              <w:right w:val="single" w:sz="18" w:space="0" w:color="auto"/>
            </w:tcBorders>
          </w:tcPr>
          <w:p w14:paraId="5E2A4639" w14:textId="77777777" w:rsidR="00C60062" w:rsidRPr="00774BD7" w:rsidRDefault="00C60062" w:rsidP="00F745D3">
            <w:pPr>
              <w:jc w:val="center"/>
              <w:rPr>
                <w:b/>
              </w:rPr>
            </w:pPr>
            <w:r w:rsidRPr="00774BD7">
              <w:rPr>
                <w:b/>
              </w:rPr>
              <w:t>Neurologic (other than cognitive disorder)</w:t>
            </w:r>
          </w:p>
        </w:tc>
        <w:tc>
          <w:tcPr>
            <w:tcW w:w="1318" w:type="dxa"/>
            <w:tcBorders>
              <w:left w:val="single" w:sz="18" w:space="0" w:color="auto"/>
              <w:bottom w:val="single" w:sz="4" w:space="0" w:color="auto"/>
            </w:tcBorders>
          </w:tcPr>
          <w:p w14:paraId="16D4F025" w14:textId="77777777" w:rsidR="00C60062" w:rsidRPr="00774BD7" w:rsidRDefault="00C60062" w:rsidP="00F745D3">
            <w:pPr>
              <w:jc w:val="center"/>
            </w:pPr>
            <w:r w:rsidRPr="00774BD7">
              <w:t>111 (32.6)</w:t>
            </w:r>
          </w:p>
        </w:tc>
        <w:tc>
          <w:tcPr>
            <w:tcW w:w="1406" w:type="dxa"/>
            <w:tcBorders>
              <w:bottom w:val="single" w:sz="4" w:space="0" w:color="auto"/>
            </w:tcBorders>
          </w:tcPr>
          <w:p w14:paraId="020D8374" w14:textId="77777777" w:rsidR="00C60062" w:rsidRPr="00774BD7" w:rsidRDefault="00C60062" w:rsidP="00F745D3">
            <w:pPr>
              <w:jc w:val="center"/>
            </w:pPr>
            <w:r w:rsidRPr="00774BD7">
              <w:t>63 (25.9)</w:t>
            </w:r>
          </w:p>
        </w:tc>
        <w:tc>
          <w:tcPr>
            <w:tcW w:w="1406" w:type="dxa"/>
            <w:tcBorders>
              <w:bottom w:val="single" w:sz="4" w:space="0" w:color="auto"/>
            </w:tcBorders>
          </w:tcPr>
          <w:p w14:paraId="5B789B9B" w14:textId="77777777" w:rsidR="00C60062" w:rsidRPr="00774BD7" w:rsidRDefault="00C60062" w:rsidP="00F745D3">
            <w:pPr>
              <w:jc w:val="center"/>
            </w:pPr>
            <w:r w:rsidRPr="00774BD7">
              <w:t>48 (49.0)</w:t>
            </w:r>
          </w:p>
        </w:tc>
        <w:tc>
          <w:tcPr>
            <w:tcW w:w="1003" w:type="dxa"/>
            <w:tcBorders>
              <w:bottom w:val="single" w:sz="4" w:space="0" w:color="auto"/>
              <w:right w:val="double" w:sz="18" w:space="0" w:color="auto"/>
            </w:tcBorders>
          </w:tcPr>
          <w:p w14:paraId="3CF6786E" w14:textId="77777777" w:rsidR="00C60062" w:rsidRPr="00774BD7" w:rsidRDefault="00C60062" w:rsidP="00F745D3">
            <w:pPr>
              <w:jc w:val="center"/>
            </w:pPr>
            <w:r w:rsidRPr="00774BD7">
              <w:t>&lt;0.001*</w:t>
            </w:r>
          </w:p>
        </w:tc>
        <w:tc>
          <w:tcPr>
            <w:tcW w:w="1234" w:type="dxa"/>
            <w:tcBorders>
              <w:left w:val="double" w:sz="18" w:space="0" w:color="auto"/>
              <w:bottom w:val="single" w:sz="4" w:space="0" w:color="auto"/>
            </w:tcBorders>
          </w:tcPr>
          <w:p w14:paraId="5676ECC0" w14:textId="77777777" w:rsidR="00C60062" w:rsidRPr="00774BD7" w:rsidRDefault="00C60062" w:rsidP="00F745D3">
            <w:pPr>
              <w:jc w:val="center"/>
            </w:pPr>
            <w:r w:rsidRPr="00774BD7">
              <w:t>107 (48.4%)</w:t>
            </w:r>
          </w:p>
        </w:tc>
        <w:tc>
          <w:tcPr>
            <w:tcW w:w="1406" w:type="dxa"/>
            <w:tcBorders>
              <w:bottom w:val="single" w:sz="4" w:space="0" w:color="auto"/>
            </w:tcBorders>
          </w:tcPr>
          <w:p w14:paraId="2B6564F5" w14:textId="77777777" w:rsidR="00C60062" w:rsidRPr="00774BD7" w:rsidRDefault="00C60062" w:rsidP="00F745D3">
            <w:pPr>
              <w:jc w:val="center"/>
            </w:pPr>
            <w:r w:rsidRPr="00774BD7">
              <w:t>61 (42.7%)</w:t>
            </w:r>
          </w:p>
        </w:tc>
        <w:tc>
          <w:tcPr>
            <w:tcW w:w="1445" w:type="dxa"/>
            <w:tcBorders>
              <w:bottom w:val="single" w:sz="4" w:space="0" w:color="auto"/>
            </w:tcBorders>
          </w:tcPr>
          <w:p w14:paraId="6BDED15C" w14:textId="77777777" w:rsidR="00C60062" w:rsidRPr="00774BD7" w:rsidRDefault="00C60062" w:rsidP="00F745D3">
            <w:pPr>
              <w:jc w:val="center"/>
            </w:pPr>
            <w:r w:rsidRPr="00774BD7">
              <w:t>46 (59.0%)</w:t>
            </w:r>
          </w:p>
        </w:tc>
        <w:tc>
          <w:tcPr>
            <w:tcW w:w="883" w:type="dxa"/>
            <w:tcBorders>
              <w:bottom w:val="single" w:sz="4" w:space="0" w:color="auto"/>
              <w:right w:val="single" w:sz="18" w:space="0" w:color="auto"/>
            </w:tcBorders>
          </w:tcPr>
          <w:p w14:paraId="5E12A5C4" w14:textId="77777777" w:rsidR="00C60062" w:rsidRPr="00774BD7" w:rsidRDefault="00C60062" w:rsidP="00F745D3">
            <w:pPr>
              <w:jc w:val="center"/>
            </w:pPr>
            <w:r w:rsidRPr="00774BD7">
              <w:t>0.015*</w:t>
            </w:r>
          </w:p>
        </w:tc>
        <w:tc>
          <w:tcPr>
            <w:tcW w:w="1003" w:type="dxa"/>
            <w:tcBorders>
              <w:left w:val="single" w:sz="18" w:space="0" w:color="auto"/>
              <w:bottom w:val="single" w:sz="4" w:space="0" w:color="auto"/>
              <w:right w:val="single" w:sz="2" w:space="0" w:color="FFFFFF" w:themeColor="background1"/>
            </w:tcBorders>
          </w:tcPr>
          <w:p w14:paraId="0C6E270C" w14:textId="77777777" w:rsidR="00C60062" w:rsidRPr="00774BD7" w:rsidRDefault="00C60062" w:rsidP="00F745D3">
            <w:pPr>
              <w:jc w:val="center"/>
            </w:pPr>
            <w:r w:rsidRPr="00774BD7">
              <w:t>&lt;0.001*</w:t>
            </w:r>
          </w:p>
        </w:tc>
      </w:tr>
      <w:tr w:rsidR="00C60062" w:rsidRPr="00774BD7" w14:paraId="191E6278" w14:textId="77777777" w:rsidTr="00F745D3">
        <w:tc>
          <w:tcPr>
            <w:tcW w:w="2848" w:type="dxa"/>
            <w:tcBorders>
              <w:left w:val="single" w:sz="2" w:space="0" w:color="FFFFFF" w:themeColor="background1"/>
              <w:bottom w:val="single" w:sz="6" w:space="0" w:color="auto"/>
              <w:right w:val="single" w:sz="18" w:space="0" w:color="auto"/>
            </w:tcBorders>
          </w:tcPr>
          <w:p w14:paraId="479222E2" w14:textId="77777777" w:rsidR="00C60062" w:rsidRPr="00774BD7" w:rsidRDefault="00C60062" w:rsidP="00F745D3">
            <w:pPr>
              <w:jc w:val="center"/>
              <w:rPr>
                <w:b/>
              </w:rPr>
            </w:pPr>
            <w:r w:rsidRPr="00774BD7">
              <w:rPr>
                <w:b/>
              </w:rPr>
              <w:t>Head, Eyes, Ears, Nose, Throat</w:t>
            </w:r>
          </w:p>
        </w:tc>
        <w:tc>
          <w:tcPr>
            <w:tcW w:w="1318" w:type="dxa"/>
            <w:tcBorders>
              <w:left w:val="single" w:sz="18" w:space="0" w:color="auto"/>
              <w:bottom w:val="single" w:sz="6" w:space="0" w:color="auto"/>
            </w:tcBorders>
          </w:tcPr>
          <w:p w14:paraId="4C511DC7" w14:textId="77777777" w:rsidR="00C60062" w:rsidRPr="00774BD7" w:rsidRDefault="00C60062" w:rsidP="00F745D3">
            <w:pPr>
              <w:jc w:val="center"/>
            </w:pPr>
            <w:r w:rsidRPr="00774BD7">
              <w:t>213 (62.5)</w:t>
            </w:r>
          </w:p>
        </w:tc>
        <w:tc>
          <w:tcPr>
            <w:tcW w:w="1406" w:type="dxa"/>
            <w:tcBorders>
              <w:bottom w:val="single" w:sz="6" w:space="0" w:color="auto"/>
            </w:tcBorders>
          </w:tcPr>
          <w:p w14:paraId="5EF047CA" w14:textId="77777777" w:rsidR="00C60062" w:rsidRPr="00774BD7" w:rsidRDefault="00C60062" w:rsidP="00F745D3">
            <w:pPr>
              <w:jc w:val="center"/>
            </w:pPr>
            <w:r w:rsidRPr="00774BD7">
              <w:t>142 (58.4)</w:t>
            </w:r>
          </w:p>
        </w:tc>
        <w:tc>
          <w:tcPr>
            <w:tcW w:w="1406" w:type="dxa"/>
            <w:tcBorders>
              <w:bottom w:val="single" w:sz="6" w:space="0" w:color="auto"/>
            </w:tcBorders>
          </w:tcPr>
          <w:p w14:paraId="42FEEAD2" w14:textId="77777777" w:rsidR="00C60062" w:rsidRPr="00774BD7" w:rsidRDefault="00C60062" w:rsidP="00F745D3">
            <w:pPr>
              <w:jc w:val="center"/>
            </w:pPr>
            <w:r w:rsidRPr="00774BD7">
              <w:t>71 (72.4)</w:t>
            </w:r>
          </w:p>
        </w:tc>
        <w:tc>
          <w:tcPr>
            <w:tcW w:w="1003" w:type="dxa"/>
            <w:tcBorders>
              <w:bottom w:val="single" w:sz="6" w:space="0" w:color="auto"/>
              <w:right w:val="double" w:sz="18" w:space="0" w:color="auto"/>
            </w:tcBorders>
          </w:tcPr>
          <w:p w14:paraId="48835D58" w14:textId="77777777" w:rsidR="00C60062" w:rsidRPr="00774BD7" w:rsidRDefault="00C60062" w:rsidP="00F745D3">
            <w:pPr>
              <w:jc w:val="center"/>
            </w:pPr>
            <w:r w:rsidRPr="00774BD7">
              <w:t>0.019*</w:t>
            </w:r>
          </w:p>
        </w:tc>
        <w:tc>
          <w:tcPr>
            <w:tcW w:w="1234" w:type="dxa"/>
            <w:tcBorders>
              <w:left w:val="double" w:sz="18" w:space="0" w:color="auto"/>
              <w:bottom w:val="single" w:sz="6" w:space="0" w:color="auto"/>
            </w:tcBorders>
          </w:tcPr>
          <w:p w14:paraId="72A0D7C0" w14:textId="77777777" w:rsidR="00C60062" w:rsidRPr="00774BD7" w:rsidRDefault="00C60062" w:rsidP="00F745D3">
            <w:pPr>
              <w:jc w:val="center"/>
            </w:pPr>
            <w:r w:rsidRPr="00774BD7">
              <w:t>138 (62.4%)</w:t>
            </w:r>
          </w:p>
        </w:tc>
        <w:tc>
          <w:tcPr>
            <w:tcW w:w="1406" w:type="dxa"/>
            <w:tcBorders>
              <w:bottom w:val="single" w:sz="6" w:space="0" w:color="auto"/>
            </w:tcBorders>
          </w:tcPr>
          <w:p w14:paraId="1F81D856" w14:textId="77777777" w:rsidR="00C60062" w:rsidRPr="00774BD7" w:rsidRDefault="00C60062" w:rsidP="00F745D3">
            <w:pPr>
              <w:jc w:val="center"/>
            </w:pPr>
            <w:r w:rsidRPr="00774BD7">
              <w:t>85 (59.4%)</w:t>
            </w:r>
          </w:p>
        </w:tc>
        <w:tc>
          <w:tcPr>
            <w:tcW w:w="1445" w:type="dxa"/>
            <w:tcBorders>
              <w:bottom w:val="single" w:sz="6" w:space="0" w:color="auto"/>
            </w:tcBorders>
          </w:tcPr>
          <w:p w14:paraId="5355312F" w14:textId="77777777" w:rsidR="00C60062" w:rsidRPr="00774BD7" w:rsidRDefault="00C60062" w:rsidP="00F745D3">
            <w:pPr>
              <w:jc w:val="center"/>
            </w:pPr>
            <w:r w:rsidRPr="00774BD7">
              <w:t>53 (67.9%)</w:t>
            </w:r>
          </w:p>
        </w:tc>
        <w:tc>
          <w:tcPr>
            <w:tcW w:w="883" w:type="dxa"/>
            <w:tcBorders>
              <w:bottom w:val="single" w:sz="6" w:space="0" w:color="auto"/>
              <w:right w:val="single" w:sz="18" w:space="0" w:color="auto"/>
            </w:tcBorders>
          </w:tcPr>
          <w:p w14:paraId="064CBF08" w14:textId="77777777" w:rsidR="00C60062" w:rsidRPr="00774BD7" w:rsidRDefault="00C60062" w:rsidP="00F745D3">
            <w:pPr>
              <w:jc w:val="center"/>
            </w:pPr>
            <w:r w:rsidRPr="00774BD7">
              <w:t>0.135</w:t>
            </w:r>
          </w:p>
        </w:tc>
        <w:tc>
          <w:tcPr>
            <w:tcW w:w="1003" w:type="dxa"/>
            <w:tcBorders>
              <w:left w:val="single" w:sz="18" w:space="0" w:color="auto"/>
              <w:bottom w:val="single" w:sz="6" w:space="0" w:color="auto"/>
              <w:right w:val="single" w:sz="2" w:space="0" w:color="FFFFFF" w:themeColor="background1"/>
            </w:tcBorders>
          </w:tcPr>
          <w:p w14:paraId="4949390C" w14:textId="77777777" w:rsidR="00C60062" w:rsidRPr="00774BD7" w:rsidRDefault="00C60062" w:rsidP="00F745D3">
            <w:pPr>
              <w:jc w:val="center"/>
            </w:pPr>
            <w:r w:rsidRPr="00774BD7">
              <w:t>0.533</w:t>
            </w:r>
          </w:p>
        </w:tc>
      </w:tr>
      <w:tr w:rsidR="00C60062" w:rsidRPr="00774BD7" w14:paraId="58EF4476" w14:textId="77777777" w:rsidTr="00F745D3">
        <w:tc>
          <w:tcPr>
            <w:tcW w:w="2848" w:type="dxa"/>
            <w:tcBorders>
              <w:top w:val="single" w:sz="6" w:space="0" w:color="auto"/>
              <w:left w:val="single" w:sz="2" w:space="0" w:color="FFFFFF" w:themeColor="background1"/>
              <w:bottom w:val="single" w:sz="6" w:space="0" w:color="auto"/>
              <w:right w:val="single" w:sz="18" w:space="0" w:color="auto"/>
            </w:tcBorders>
          </w:tcPr>
          <w:p w14:paraId="3DB458A8" w14:textId="77777777" w:rsidR="00C60062" w:rsidRPr="00774BD7" w:rsidRDefault="00C60062" w:rsidP="00F745D3">
            <w:pPr>
              <w:jc w:val="center"/>
              <w:rPr>
                <w:b/>
              </w:rPr>
            </w:pPr>
            <w:r w:rsidRPr="00774BD7">
              <w:rPr>
                <w:b/>
              </w:rPr>
              <w:t>Cardiovascular</w:t>
            </w:r>
          </w:p>
        </w:tc>
        <w:tc>
          <w:tcPr>
            <w:tcW w:w="1318" w:type="dxa"/>
            <w:tcBorders>
              <w:top w:val="single" w:sz="6" w:space="0" w:color="auto"/>
              <w:left w:val="single" w:sz="18" w:space="0" w:color="auto"/>
              <w:bottom w:val="single" w:sz="6" w:space="0" w:color="auto"/>
            </w:tcBorders>
          </w:tcPr>
          <w:p w14:paraId="4AB9EE50" w14:textId="77777777" w:rsidR="00C60062" w:rsidRPr="00774BD7" w:rsidRDefault="00C60062" w:rsidP="00F745D3">
            <w:pPr>
              <w:jc w:val="center"/>
            </w:pPr>
            <w:r w:rsidRPr="00774BD7">
              <w:t>227 (66.6)</w:t>
            </w:r>
          </w:p>
        </w:tc>
        <w:tc>
          <w:tcPr>
            <w:tcW w:w="1406" w:type="dxa"/>
            <w:tcBorders>
              <w:top w:val="single" w:sz="6" w:space="0" w:color="auto"/>
              <w:bottom w:val="single" w:sz="6" w:space="0" w:color="auto"/>
            </w:tcBorders>
          </w:tcPr>
          <w:p w14:paraId="59F83F43" w14:textId="77777777" w:rsidR="00C60062" w:rsidRPr="00774BD7" w:rsidRDefault="00C60062" w:rsidP="00F745D3">
            <w:pPr>
              <w:jc w:val="center"/>
            </w:pPr>
            <w:r w:rsidRPr="00774BD7">
              <w:t>148 (60.9)</w:t>
            </w:r>
          </w:p>
        </w:tc>
        <w:tc>
          <w:tcPr>
            <w:tcW w:w="1406" w:type="dxa"/>
            <w:tcBorders>
              <w:top w:val="single" w:sz="6" w:space="0" w:color="auto"/>
              <w:bottom w:val="single" w:sz="6" w:space="0" w:color="auto"/>
            </w:tcBorders>
          </w:tcPr>
          <w:p w14:paraId="239FE321" w14:textId="77777777" w:rsidR="00C60062" w:rsidRPr="00774BD7" w:rsidRDefault="00C60062" w:rsidP="00F745D3">
            <w:pPr>
              <w:jc w:val="center"/>
            </w:pPr>
            <w:r w:rsidRPr="00774BD7">
              <w:t>79 (80.6)</w:t>
            </w:r>
          </w:p>
        </w:tc>
        <w:tc>
          <w:tcPr>
            <w:tcW w:w="1003" w:type="dxa"/>
            <w:tcBorders>
              <w:top w:val="single" w:sz="6" w:space="0" w:color="auto"/>
              <w:bottom w:val="single" w:sz="6" w:space="0" w:color="auto"/>
              <w:right w:val="double" w:sz="18" w:space="0" w:color="auto"/>
            </w:tcBorders>
          </w:tcPr>
          <w:p w14:paraId="47D93125" w14:textId="77777777" w:rsidR="00C60062" w:rsidRPr="00774BD7" w:rsidRDefault="00C60062" w:rsidP="00F745D3">
            <w:pPr>
              <w:jc w:val="center"/>
            </w:pPr>
            <w:r w:rsidRPr="00774BD7">
              <w:t>0.001*</w:t>
            </w:r>
          </w:p>
        </w:tc>
        <w:tc>
          <w:tcPr>
            <w:tcW w:w="1234" w:type="dxa"/>
            <w:tcBorders>
              <w:top w:val="single" w:sz="6" w:space="0" w:color="auto"/>
              <w:left w:val="double" w:sz="18" w:space="0" w:color="auto"/>
              <w:bottom w:val="single" w:sz="6" w:space="0" w:color="auto"/>
            </w:tcBorders>
          </w:tcPr>
          <w:p w14:paraId="723F2F35" w14:textId="77777777" w:rsidR="00C60062" w:rsidRPr="00774BD7" w:rsidRDefault="00C60062" w:rsidP="00F745D3">
            <w:pPr>
              <w:jc w:val="center"/>
            </w:pPr>
            <w:r w:rsidRPr="00774BD7">
              <w:t>155 (70.1%)</w:t>
            </w:r>
          </w:p>
        </w:tc>
        <w:tc>
          <w:tcPr>
            <w:tcW w:w="1406" w:type="dxa"/>
            <w:tcBorders>
              <w:top w:val="single" w:sz="6" w:space="0" w:color="auto"/>
              <w:bottom w:val="single" w:sz="6" w:space="0" w:color="auto"/>
            </w:tcBorders>
          </w:tcPr>
          <w:p w14:paraId="7D02EB21" w14:textId="77777777" w:rsidR="00C60062" w:rsidRPr="00774BD7" w:rsidRDefault="00C60062" w:rsidP="00F745D3">
            <w:pPr>
              <w:jc w:val="center"/>
            </w:pPr>
            <w:r w:rsidRPr="00774BD7">
              <w:t>94 (65.7%)</w:t>
            </w:r>
          </w:p>
        </w:tc>
        <w:tc>
          <w:tcPr>
            <w:tcW w:w="1445" w:type="dxa"/>
            <w:tcBorders>
              <w:top w:val="single" w:sz="6" w:space="0" w:color="auto"/>
              <w:bottom w:val="single" w:sz="6" w:space="0" w:color="auto"/>
            </w:tcBorders>
          </w:tcPr>
          <w:p w14:paraId="740339F6" w14:textId="77777777" w:rsidR="00C60062" w:rsidRPr="00774BD7" w:rsidRDefault="00C60062" w:rsidP="00F745D3">
            <w:pPr>
              <w:jc w:val="center"/>
            </w:pPr>
            <w:r w:rsidRPr="00774BD7">
              <w:t>61 (78.2%)</w:t>
            </w:r>
          </w:p>
        </w:tc>
        <w:tc>
          <w:tcPr>
            <w:tcW w:w="883" w:type="dxa"/>
            <w:tcBorders>
              <w:top w:val="single" w:sz="6" w:space="0" w:color="auto"/>
              <w:bottom w:val="single" w:sz="6" w:space="0" w:color="auto"/>
              <w:right w:val="single" w:sz="18" w:space="0" w:color="auto"/>
            </w:tcBorders>
          </w:tcPr>
          <w:p w14:paraId="3AD37EA4" w14:textId="77777777" w:rsidR="00C60062" w:rsidRPr="00774BD7" w:rsidRDefault="00C60062" w:rsidP="00F745D3">
            <w:pPr>
              <w:jc w:val="center"/>
            </w:pPr>
            <w:r w:rsidRPr="00774BD7">
              <w:t>0.036*</w:t>
            </w:r>
          </w:p>
        </w:tc>
        <w:tc>
          <w:tcPr>
            <w:tcW w:w="1003" w:type="dxa"/>
            <w:tcBorders>
              <w:top w:val="single" w:sz="6" w:space="0" w:color="auto"/>
              <w:left w:val="single" w:sz="18" w:space="0" w:color="auto"/>
              <w:bottom w:val="single" w:sz="6" w:space="0" w:color="auto"/>
              <w:right w:val="single" w:sz="2" w:space="0" w:color="FFFFFF" w:themeColor="background1"/>
            </w:tcBorders>
          </w:tcPr>
          <w:p w14:paraId="5EAE1F2F" w14:textId="77777777" w:rsidR="00C60062" w:rsidRPr="00774BD7" w:rsidRDefault="00C60062" w:rsidP="00F745D3">
            <w:pPr>
              <w:jc w:val="center"/>
            </w:pPr>
            <w:r w:rsidRPr="00774BD7">
              <w:t>0.405</w:t>
            </w:r>
          </w:p>
        </w:tc>
      </w:tr>
      <w:tr w:rsidR="00C60062" w:rsidRPr="00774BD7" w14:paraId="0AB267A6" w14:textId="77777777" w:rsidTr="00F745D3">
        <w:tc>
          <w:tcPr>
            <w:tcW w:w="2848" w:type="dxa"/>
            <w:tcBorders>
              <w:top w:val="single" w:sz="6" w:space="0" w:color="auto"/>
              <w:left w:val="single" w:sz="2" w:space="0" w:color="FFFFFF" w:themeColor="background1"/>
              <w:bottom w:val="single" w:sz="6" w:space="0" w:color="auto"/>
              <w:right w:val="single" w:sz="18" w:space="0" w:color="auto"/>
            </w:tcBorders>
          </w:tcPr>
          <w:p w14:paraId="6E223C67" w14:textId="77777777" w:rsidR="00C60062" w:rsidRPr="00774BD7" w:rsidRDefault="00C60062" w:rsidP="00F745D3">
            <w:pPr>
              <w:jc w:val="center"/>
              <w:rPr>
                <w:b/>
              </w:rPr>
            </w:pPr>
            <w:r w:rsidRPr="00774BD7">
              <w:rPr>
                <w:b/>
              </w:rPr>
              <w:lastRenderedPageBreak/>
              <w:t>Respiratory</w:t>
            </w:r>
          </w:p>
        </w:tc>
        <w:tc>
          <w:tcPr>
            <w:tcW w:w="1318" w:type="dxa"/>
            <w:tcBorders>
              <w:top w:val="single" w:sz="6" w:space="0" w:color="auto"/>
              <w:left w:val="single" w:sz="18" w:space="0" w:color="auto"/>
              <w:bottom w:val="single" w:sz="6" w:space="0" w:color="auto"/>
            </w:tcBorders>
          </w:tcPr>
          <w:p w14:paraId="32743DF2" w14:textId="77777777" w:rsidR="00C60062" w:rsidRPr="00774BD7" w:rsidRDefault="00C60062" w:rsidP="00F745D3">
            <w:pPr>
              <w:jc w:val="center"/>
            </w:pPr>
            <w:r w:rsidRPr="00774BD7">
              <w:t>67 (19.6)</w:t>
            </w:r>
          </w:p>
        </w:tc>
        <w:tc>
          <w:tcPr>
            <w:tcW w:w="1406" w:type="dxa"/>
            <w:tcBorders>
              <w:top w:val="single" w:sz="6" w:space="0" w:color="auto"/>
              <w:bottom w:val="single" w:sz="6" w:space="0" w:color="auto"/>
            </w:tcBorders>
          </w:tcPr>
          <w:p w14:paraId="30793093" w14:textId="77777777" w:rsidR="00C60062" w:rsidRPr="00774BD7" w:rsidRDefault="00C60062" w:rsidP="00F745D3">
            <w:pPr>
              <w:jc w:val="center"/>
            </w:pPr>
            <w:r w:rsidRPr="00774BD7">
              <w:t>37 (15.2)</w:t>
            </w:r>
          </w:p>
        </w:tc>
        <w:tc>
          <w:tcPr>
            <w:tcW w:w="1406" w:type="dxa"/>
            <w:tcBorders>
              <w:top w:val="single" w:sz="6" w:space="0" w:color="auto"/>
              <w:bottom w:val="single" w:sz="6" w:space="0" w:color="auto"/>
            </w:tcBorders>
          </w:tcPr>
          <w:p w14:paraId="34495211" w14:textId="77777777" w:rsidR="00C60062" w:rsidRPr="00774BD7" w:rsidRDefault="00C60062" w:rsidP="00F745D3">
            <w:pPr>
              <w:jc w:val="center"/>
            </w:pPr>
            <w:r w:rsidRPr="00774BD7">
              <w:t>30 (30.6)</w:t>
            </w:r>
          </w:p>
        </w:tc>
        <w:tc>
          <w:tcPr>
            <w:tcW w:w="1003" w:type="dxa"/>
            <w:tcBorders>
              <w:top w:val="single" w:sz="6" w:space="0" w:color="auto"/>
              <w:bottom w:val="single" w:sz="6" w:space="0" w:color="auto"/>
              <w:right w:val="double" w:sz="18" w:space="0" w:color="auto"/>
            </w:tcBorders>
          </w:tcPr>
          <w:p w14:paraId="7BDE27C5" w14:textId="77777777" w:rsidR="00C60062" w:rsidRPr="00774BD7" w:rsidRDefault="00C60062" w:rsidP="00F745D3">
            <w:pPr>
              <w:jc w:val="center"/>
            </w:pPr>
            <w:r w:rsidRPr="00774BD7">
              <w:t>0.002*</w:t>
            </w:r>
          </w:p>
        </w:tc>
        <w:tc>
          <w:tcPr>
            <w:tcW w:w="1234" w:type="dxa"/>
            <w:tcBorders>
              <w:top w:val="single" w:sz="6" w:space="0" w:color="auto"/>
              <w:left w:val="double" w:sz="18" w:space="0" w:color="auto"/>
              <w:bottom w:val="single" w:sz="6" w:space="0" w:color="auto"/>
            </w:tcBorders>
          </w:tcPr>
          <w:p w14:paraId="14A8A95B" w14:textId="77777777" w:rsidR="00C60062" w:rsidRPr="00774BD7" w:rsidRDefault="00C60062" w:rsidP="00F745D3">
            <w:pPr>
              <w:jc w:val="center"/>
            </w:pPr>
            <w:r w:rsidRPr="00774BD7">
              <w:t>71 (32.1%)</w:t>
            </w:r>
          </w:p>
        </w:tc>
        <w:tc>
          <w:tcPr>
            <w:tcW w:w="1406" w:type="dxa"/>
            <w:tcBorders>
              <w:top w:val="single" w:sz="6" w:space="0" w:color="auto"/>
              <w:bottom w:val="single" w:sz="6" w:space="0" w:color="auto"/>
            </w:tcBorders>
          </w:tcPr>
          <w:p w14:paraId="2575B40B" w14:textId="77777777" w:rsidR="00C60062" w:rsidRPr="00774BD7" w:rsidRDefault="00C60062" w:rsidP="00F745D3">
            <w:pPr>
              <w:jc w:val="center"/>
            </w:pPr>
            <w:r w:rsidRPr="00774BD7">
              <w:t>39 (27.3%)</w:t>
            </w:r>
          </w:p>
        </w:tc>
        <w:tc>
          <w:tcPr>
            <w:tcW w:w="1445" w:type="dxa"/>
            <w:tcBorders>
              <w:top w:val="single" w:sz="6" w:space="0" w:color="auto"/>
              <w:bottom w:val="single" w:sz="6" w:space="0" w:color="auto"/>
            </w:tcBorders>
          </w:tcPr>
          <w:p w14:paraId="2F88D560" w14:textId="77777777" w:rsidR="00C60062" w:rsidRPr="00774BD7" w:rsidRDefault="00C60062" w:rsidP="00F745D3">
            <w:pPr>
              <w:jc w:val="center"/>
            </w:pPr>
            <w:r w:rsidRPr="00774BD7">
              <w:t>32 (41.0%)</w:t>
            </w:r>
          </w:p>
        </w:tc>
        <w:tc>
          <w:tcPr>
            <w:tcW w:w="883" w:type="dxa"/>
            <w:tcBorders>
              <w:top w:val="single" w:sz="6" w:space="0" w:color="auto"/>
              <w:bottom w:val="single" w:sz="6" w:space="0" w:color="auto"/>
              <w:right w:val="single" w:sz="18" w:space="0" w:color="auto"/>
            </w:tcBorders>
          </w:tcPr>
          <w:p w14:paraId="2F6E9360" w14:textId="77777777" w:rsidR="00C60062" w:rsidRPr="00774BD7" w:rsidRDefault="00C60062" w:rsidP="00F745D3">
            <w:pPr>
              <w:jc w:val="center"/>
            </w:pPr>
            <w:r w:rsidRPr="00774BD7">
              <w:t>0.027*</w:t>
            </w:r>
          </w:p>
        </w:tc>
        <w:tc>
          <w:tcPr>
            <w:tcW w:w="1003" w:type="dxa"/>
            <w:tcBorders>
              <w:top w:val="single" w:sz="6" w:space="0" w:color="auto"/>
              <w:left w:val="single" w:sz="18" w:space="0" w:color="auto"/>
              <w:bottom w:val="single" w:sz="6" w:space="0" w:color="auto"/>
              <w:right w:val="single" w:sz="2" w:space="0" w:color="FFFFFF" w:themeColor="background1"/>
            </w:tcBorders>
          </w:tcPr>
          <w:p w14:paraId="40189900" w14:textId="77777777" w:rsidR="00C60062" w:rsidRPr="00774BD7" w:rsidRDefault="00C60062" w:rsidP="00F745D3">
            <w:pPr>
              <w:jc w:val="center"/>
            </w:pPr>
            <w:r w:rsidRPr="00774BD7">
              <w:t>0.001*</w:t>
            </w:r>
          </w:p>
        </w:tc>
      </w:tr>
      <w:tr w:rsidR="00C60062" w:rsidRPr="00774BD7" w14:paraId="3508B2A3" w14:textId="77777777" w:rsidTr="00F745D3">
        <w:tc>
          <w:tcPr>
            <w:tcW w:w="2848" w:type="dxa"/>
            <w:tcBorders>
              <w:top w:val="single" w:sz="6" w:space="0" w:color="auto"/>
              <w:left w:val="single" w:sz="2" w:space="0" w:color="FFFFFF" w:themeColor="background1"/>
              <w:bottom w:val="single" w:sz="4" w:space="0" w:color="auto"/>
              <w:right w:val="single" w:sz="18" w:space="0" w:color="auto"/>
            </w:tcBorders>
          </w:tcPr>
          <w:p w14:paraId="793F0C30" w14:textId="77777777" w:rsidR="00C60062" w:rsidRPr="00774BD7" w:rsidRDefault="00C60062" w:rsidP="00F745D3">
            <w:pPr>
              <w:jc w:val="center"/>
              <w:rPr>
                <w:b/>
              </w:rPr>
            </w:pPr>
            <w:r w:rsidRPr="00774BD7">
              <w:rPr>
                <w:b/>
              </w:rPr>
              <w:t>Hepatic</w:t>
            </w:r>
          </w:p>
        </w:tc>
        <w:tc>
          <w:tcPr>
            <w:tcW w:w="1318" w:type="dxa"/>
            <w:tcBorders>
              <w:top w:val="single" w:sz="6" w:space="0" w:color="auto"/>
              <w:left w:val="single" w:sz="18" w:space="0" w:color="auto"/>
              <w:bottom w:val="single" w:sz="4" w:space="0" w:color="auto"/>
            </w:tcBorders>
          </w:tcPr>
          <w:p w14:paraId="02C3992F" w14:textId="77777777" w:rsidR="00C60062" w:rsidRPr="00774BD7" w:rsidRDefault="00C60062" w:rsidP="00F745D3">
            <w:pPr>
              <w:jc w:val="center"/>
            </w:pPr>
            <w:r w:rsidRPr="00774BD7">
              <w:t>12 (3.5)</w:t>
            </w:r>
          </w:p>
        </w:tc>
        <w:tc>
          <w:tcPr>
            <w:tcW w:w="1406" w:type="dxa"/>
            <w:tcBorders>
              <w:top w:val="single" w:sz="6" w:space="0" w:color="auto"/>
              <w:bottom w:val="single" w:sz="4" w:space="0" w:color="auto"/>
            </w:tcBorders>
          </w:tcPr>
          <w:p w14:paraId="24D84A69" w14:textId="77777777" w:rsidR="00C60062" w:rsidRPr="00774BD7" w:rsidRDefault="00C60062" w:rsidP="00F745D3">
            <w:pPr>
              <w:jc w:val="center"/>
            </w:pPr>
            <w:r w:rsidRPr="00774BD7">
              <w:t>9 (3.7)</w:t>
            </w:r>
          </w:p>
        </w:tc>
        <w:tc>
          <w:tcPr>
            <w:tcW w:w="1406" w:type="dxa"/>
            <w:tcBorders>
              <w:top w:val="single" w:sz="6" w:space="0" w:color="auto"/>
              <w:bottom w:val="single" w:sz="4" w:space="0" w:color="auto"/>
            </w:tcBorders>
          </w:tcPr>
          <w:p w14:paraId="18AB69AD" w14:textId="77777777" w:rsidR="00C60062" w:rsidRPr="00774BD7" w:rsidRDefault="00C60062" w:rsidP="00F745D3">
            <w:pPr>
              <w:jc w:val="center"/>
            </w:pPr>
            <w:r w:rsidRPr="00774BD7">
              <w:t>3 (3.1)</w:t>
            </w:r>
          </w:p>
        </w:tc>
        <w:tc>
          <w:tcPr>
            <w:tcW w:w="1003" w:type="dxa"/>
            <w:tcBorders>
              <w:top w:val="single" w:sz="6" w:space="0" w:color="auto"/>
              <w:bottom w:val="single" w:sz="4" w:space="0" w:color="auto"/>
              <w:right w:val="double" w:sz="18" w:space="0" w:color="auto"/>
            </w:tcBorders>
          </w:tcPr>
          <w:p w14:paraId="0301DFED" w14:textId="77777777" w:rsidR="00C60062" w:rsidRPr="00774BD7" w:rsidRDefault="00C60062" w:rsidP="00F745D3">
            <w:pPr>
              <w:jc w:val="center"/>
            </w:pPr>
            <w:r w:rsidRPr="00774BD7">
              <w:t>0.531</w:t>
            </w:r>
          </w:p>
        </w:tc>
        <w:tc>
          <w:tcPr>
            <w:tcW w:w="1234" w:type="dxa"/>
            <w:tcBorders>
              <w:top w:val="single" w:sz="6" w:space="0" w:color="auto"/>
              <w:left w:val="double" w:sz="18" w:space="0" w:color="auto"/>
              <w:bottom w:val="single" w:sz="4" w:space="0" w:color="auto"/>
            </w:tcBorders>
          </w:tcPr>
          <w:p w14:paraId="79F844E9" w14:textId="77777777" w:rsidR="00C60062" w:rsidRPr="00774BD7" w:rsidRDefault="00C60062" w:rsidP="00F745D3">
            <w:pPr>
              <w:jc w:val="center"/>
            </w:pPr>
            <w:r w:rsidRPr="00774BD7">
              <w:t>8 (3.6%)</w:t>
            </w:r>
          </w:p>
        </w:tc>
        <w:tc>
          <w:tcPr>
            <w:tcW w:w="1406" w:type="dxa"/>
            <w:tcBorders>
              <w:top w:val="single" w:sz="6" w:space="0" w:color="auto"/>
              <w:bottom w:val="single" w:sz="4" w:space="0" w:color="auto"/>
            </w:tcBorders>
          </w:tcPr>
          <w:p w14:paraId="4478993B" w14:textId="77777777" w:rsidR="00C60062" w:rsidRPr="00774BD7" w:rsidRDefault="00C60062" w:rsidP="00F745D3">
            <w:pPr>
              <w:jc w:val="center"/>
            </w:pPr>
            <w:r w:rsidRPr="00774BD7">
              <w:t>4 (2.8%)</w:t>
            </w:r>
          </w:p>
        </w:tc>
        <w:tc>
          <w:tcPr>
            <w:tcW w:w="1445" w:type="dxa"/>
            <w:tcBorders>
              <w:top w:val="single" w:sz="6" w:space="0" w:color="auto"/>
              <w:bottom w:val="single" w:sz="4" w:space="0" w:color="auto"/>
            </w:tcBorders>
          </w:tcPr>
          <w:p w14:paraId="619B3D48" w14:textId="77777777" w:rsidR="00C60062" w:rsidRPr="00774BD7" w:rsidRDefault="00C60062" w:rsidP="00F745D3">
            <w:pPr>
              <w:jc w:val="center"/>
            </w:pPr>
            <w:r w:rsidRPr="00774BD7">
              <w:t>4 (5.1%)</w:t>
            </w:r>
          </w:p>
        </w:tc>
        <w:tc>
          <w:tcPr>
            <w:tcW w:w="883" w:type="dxa"/>
            <w:tcBorders>
              <w:top w:val="single" w:sz="6" w:space="0" w:color="auto"/>
              <w:bottom w:val="single" w:sz="4" w:space="0" w:color="auto"/>
              <w:right w:val="single" w:sz="18" w:space="0" w:color="auto"/>
            </w:tcBorders>
          </w:tcPr>
          <w:p w14:paraId="1B8ACCA0" w14:textId="77777777" w:rsidR="00C60062" w:rsidRPr="00774BD7" w:rsidRDefault="00C60062" w:rsidP="00F745D3">
            <w:pPr>
              <w:jc w:val="center"/>
            </w:pPr>
            <w:r w:rsidRPr="00774BD7">
              <w:t>0.297</w:t>
            </w:r>
          </w:p>
        </w:tc>
        <w:tc>
          <w:tcPr>
            <w:tcW w:w="1003" w:type="dxa"/>
            <w:tcBorders>
              <w:top w:val="single" w:sz="6" w:space="0" w:color="auto"/>
              <w:left w:val="single" w:sz="18" w:space="0" w:color="auto"/>
              <w:bottom w:val="single" w:sz="4" w:space="0" w:color="auto"/>
              <w:right w:val="single" w:sz="2" w:space="0" w:color="FFFFFF" w:themeColor="background1"/>
            </w:tcBorders>
          </w:tcPr>
          <w:p w14:paraId="36D8C4F5" w14:textId="77777777" w:rsidR="00C60062" w:rsidRPr="00774BD7" w:rsidRDefault="00C60062" w:rsidP="00F745D3">
            <w:pPr>
              <w:jc w:val="center"/>
            </w:pPr>
            <w:r w:rsidRPr="00774BD7">
              <w:t>0.561</w:t>
            </w:r>
          </w:p>
        </w:tc>
      </w:tr>
      <w:tr w:rsidR="00C60062" w:rsidRPr="00774BD7" w14:paraId="54532174" w14:textId="77777777" w:rsidTr="00F745D3">
        <w:tc>
          <w:tcPr>
            <w:tcW w:w="2848" w:type="dxa"/>
            <w:tcBorders>
              <w:left w:val="single" w:sz="2" w:space="0" w:color="FFFFFF" w:themeColor="background1"/>
              <w:bottom w:val="single" w:sz="6" w:space="0" w:color="auto"/>
              <w:right w:val="single" w:sz="18" w:space="0" w:color="auto"/>
            </w:tcBorders>
          </w:tcPr>
          <w:p w14:paraId="29B9E392" w14:textId="77777777" w:rsidR="00C60062" w:rsidRPr="00774BD7" w:rsidRDefault="00C60062" w:rsidP="00F745D3">
            <w:pPr>
              <w:jc w:val="center"/>
              <w:rPr>
                <w:b/>
              </w:rPr>
            </w:pPr>
            <w:r w:rsidRPr="00774BD7">
              <w:rPr>
                <w:b/>
              </w:rPr>
              <w:t>Dermatologic-Connective Tissue</w:t>
            </w:r>
          </w:p>
        </w:tc>
        <w:tc>
          <w:tcPr>
            <w:tcW w:w="1318" w:type="dxa"/>
            <w:tcBorders>
              <w:left w:val="single" w:sz="18" w:space="0" w:color="auto"/>
              <w:bottom w:val="single" w:sz="6" w:space="0" w:color="auto"/>
            </w:tcBorders>
          </w:tcPr>
          <w:p w14:paraId="5B5C0F09" w14:textId="77777777" w:rsidR="00C60062" w:rsidRPr="00774BD7" w:rsidRDefault="00C60062" w:rsidP="00F745D3">
            <w:pPr>
              <w:jc w:val="center"/>
            </w:pPr>
            <w:r w:rsidRPr="00774BD7">
              <w:t>119 (34.9)</w:t>
            </w:r>
          </w:p>
        </w:tc>
        <w:tc>
          <w:tcPr>
            <w:tcW w:w="1406" w:type="dxa"/>
            <w:tcBorders>
              <w:bottom w:val="single" w:sz="6" w:space="0" w:color="auto"/>
            </w:tcBorders>
          </w:tcPr>
          <w:p w14:paraId="75B9B28B" w14:textId="77777777" w:rsidR="00C60062" w:rsidRPr="00774BD7" w:rsidRDefault="00C60062" w:rsidP="00F745D3">
            <w:pPr>
              <w:jc w:val="center"/>
            </w:pPr>
            <w:r w:rsidRPr="00774BD7">
              <w:t>83 (34.2)</w:t>
            </w:r>
          </w:p>
        </w:tc>
        <w:tc>
          <w:tcPr>
            <w:tcW w:w="1406" w:type="dxa"/>
            <w:tcBorders>
              <w:bottom w:val="single" w:sz="6" w:space="0" w:color="auto"/>
            </w:tcBorders>
          </w:tcPr>
          <w:p w14:paraId="70037C5F" w14:textId="77777777" w:rsidR="00C60062" w:rsidRPr="00774BD7" w:rsidRDefault="00C60062" w:rsidP="00F745D3">
            <w:pPr>
              <w:jc w:val="center"/>
            </w:pPr>
            <w:r w:rsidRPr="00774BD7">
              <w:t>36 (36.7)</w:t>
            </w:r>
          </w:p>
        </w:tc>
        <w:tc>
          <w:tcPr>
            <w:tcW w:w="1003" w:type="dxa"/>
            <w:tcBorders>
              <w:bottom w:val="single" w:sz="6" w:space="0" w:color="auto"/>
              <w:right w:val="double" w:sz="18" w:space="0" w:color="auto"/>
            </w:tcBorders>
          </w:tcPr>
          <w:p w14:paraId="50C74EB5" w14:textId="77777777" w:rsidR="00C60062" w:rsidRPr="00774BD7" w:rsidRDefault="00C60062" w:rsidP="00F745D3">
            <w:pPr>
              <w:jc w:val="center"/>
            </w:pPr>
            <w:r w:rsidRPr="00774BD7">
              <w:t>0.707</w:t>
            </w:r>
          </w:p>
        </w:tc>
        <w:tc>
          <w:tcPr>
            <w:tcW w:w="1234" w:type="dxa"/>
            <w:tcBorders>
              <w:left w:val="double" w:sz="18" w:space="0" w:color="auto"/>
              <w:bottom w:val="single" w:sz="6" w:space="0" w:color="auto"/>
            </w:tcBorders>
          </w:tcPr>
          <w:p w14:paraId="09235BE3" w14:textId="77777777" w:rsidR="00C60062" w:rsidRPr="00774BD7" w:rsidRDefault="00C60062" w:rsidP="00F745D3">
            <w:pPr>
              <w:jc w:val="center"/>
            </w:pPr>
            <w:r w:rsidRPr="00774BD7">
              <w:t>73 (33.0%)</w:t>
            </w:r>
          </w:p>
        </w:tc>
        <w:tc>
          <w:tcPr>
            <w:tcW w:w="1406" w:type="dxa"/>
            <w:tcBorders>
              <w:bottom w:val="single" w:sz="6" w:space="0" w:color="auto"/>
            </w:tcBorders>
          </w:tcPr>
          <w:p w14:paraId="2C88B6AF" w14:textId="77777777" w:rsidR="00C60062" w:rsidRPr="00774BD7" w:rsidRDefault="00C60062" w:rsidP="00F745D3">
            <w:pPr>
              <w:jc w:val="center"/>
            </w:pPr>
            <w:r w:rsidRPr="00774BD7">
              <w:t>46 (32.2%)</w:t>
            </w:r>
          </w:p>
        </w:tc>
        <w:tc>
          <w:tcPr>
            <w:tcW w:w="1445" w:type="dxa"/>
            <w:tcBorders>
              <w:bottom w:val="single" w:sz="6" w:space="0" w:color="auto"/>
            </w:tcBorders>
          </w:tcPr>
          <w:p w14:paraId="13D5194A" w14:textId="77777777" w:rsidR="00C60062" w:rsidRPr="00774BD7" w:rsidRDefault="00C60062" w:rsidP="00F745D3">
            <w:pPr>
              <w:jc w:val="center"/>
            </w:pPr>
            <w:r w:rsidRPr="00774BD7">
              <w:t>27 (34.6%)</w:t>
            </w:r>
          </w:p>
        </w:tc>
        <w:tc>
          <w:tcPr>
            <w:tcW w:w="883" w:type="dxa"/>
            <w:tcBorders>
              <w:bottom w:val="single" w:sz="6" w:space="0" w:color="auto"/>
              <w:right w:val="single" w:sz="18" w:space="0" w:color="auto"/>
            </w:tcBorders>
          </w:tcPr>
          <w:p w14:paraId="7137EAD2" w14:textId="77777777" w:rsidR="00C60062" w:rsidRPr="00774BD7" w:rsidRDefault="00C60062" w:rsidP="00F745D3">
            <w:pPr>
              <w:jc w:val="center"/>
            </w:pPr>
            <w:r w:rsidRPr="00774BD7">
              <w:t>0.411</w:t>
            </w:r>
          </w:p>
        </w:tc>
        <w:tc>
          <w:tcPr>
            <w:tcW w:w="1003" w:type="dxa"/>
            <w:tcBorders>
              <w:left w:val="single" w:sz="18" w:space="0" w:color="auto"/>
              <w:bottom w:val="single" w:sz="6" w:space="0" w:color="auto"/>
              <w:right w:val="single" w:sz="2" w:space="0" w:color="FFFFFF" w:themeColor="background1"/>
            </w:tcBorders>
          </w:tcPr>
          <w:p w14:paraId="09386A4F" w14:textId="77777777" w:rsidR="00C60062" w:rsidRPr="00774BD7" w:rsidRDefault="00C60062" w:rsidP="00F745D3">
            <w:pPr>
              <w:jc w:val="center"/>
            </w:pPr>
            <w:r w:rsidRPr="00774BD7">
              <w:t>0.716</w:t>
            </w:r>
          </w:p>
        </w:tc>
      </w:tr>
      <w:tr w:rsidR="00C60062" w:rsidRPr="00774BD7" w14:paraId="1A582A55" w14:textId="77777777" w:rsidTr="00F745D3">
        <w:tc>
          <w:tcPr>
            <w:tcW w:w="2848" w:type="dxa"/>
            <w:tcBorders>
              <w:top w:val="single" w:sz="6" w:space="0" w:color="auto"/>
              <w:left w:val="single" w:sz="2" w:space="0" w:color="FFFFFF" w:themeColor="background1"/>
              <w:bottom w:val="single" w:sz="6" w:space="0" w:color="auto"/>
              <w:right w:val="single" w:sz="18" w:space="0" w:color="auto"/>
            </w:tcBorders>
          </w:tcPr>
          <w:p w14:paraId="1437474B" w14:textId="77777777" w:rsidR="00C60062" w:rsidRPr="00774BD7" w:rsidRDefault="00C60062" w:rsidP="00F745D3">
            <w:pPr>
              <w:jc w:val="center"/>
              <w:rPr>
                <w:b/>
              </w:rPr>
            </w:pPr>
            <w:r w:rsidRPr="00774BD7">
              <w:rPr>
                <w:b/>
              </w:rPr>
              <w:t>Musculoskeletal</w:t>
            </w:r>
          </w:p>
        </w:tc>
        <w:tc>
          <w:tcPr>
            <w:tcW w:w="1318" w:type="dxa"/>
            <w:tcBorders>
              <w:top w:val="single" w:sz="6" w:space="0" w:color="auto"/>
              <w:left w:val="single" w:sz="18" w:space="0" w:color="auto"/>
              <w:bottom w:val="single" w:sz="6" w:space="0" w:color="auto"/>
            </w:tcBorders>
          </w:tcPr>
          <w:p w14:paraId="27B6CE28" w14:textId="77777777" w:rsidR="00C60062" w:rsidRPr="00774BD7" w:rsidRDefault="00C60062" w:rsidP="00F745D3">
            <w:pPr>
              <w:jc w:val="center"/>
            </w:pPr>
            <w:r w:rsidRPr="00774BD7">
              <w:t>248 (72.7)</w:t>
            </w:r>
          </w:p>
        </w:tc>
        <w:tc>
          <w:tcPr>
            <w:tcW w:w="1406" w:type="dxa"/>
            <w:tcBorders>
              <w:top w:val="single" w:sz="6" w:space="0" w:color="auto"/>
              <w:bottom w:val="single" w:sz="6" w:space="0" w:color="auto"/>
            </w:tcBorders>
          </w:tcPr>
          <w:p w14:paraId="2B0F9A11" w14:textId="77777777" w:rsidR="00C60062" w:rsidRPr="00774BD7" w:rsidRDefault="00C60062" w:rsidP="00F745D3">
            <w:pPr>
              <w:jc w:val="center"/>
            </w:pPr>
            <w:r w:rsidRPr="00774BD7">
              <w:t>168 (69.1)</w:t>
            </w:r>
          </w:p>
        </w:tc>
        <w:tc>
          <w:tcPr>
            <w:tcW w:w="1406" w:type="dxa"/>
            <w:tcBorders>
              <w:top w:val="single" w:sz="6" w:space="0" w:color="auto"/>
              <w:bottom w:val="single" w:sz="6" w:space="0" w:color="auto"/>
            </w:tcBorders>
          </w:tcPr>
          <w:p w14:paraId="1096473C" w14:textId="77777777" w:rsidR="00C60062" w:rsidRPr="00774BD7" w:rsidRDefault="00C60062" w:rsidP="00F745D3">
            <w:pPr>
              <w:jc w:val="center"/>
            </w:pPr>
            <w:r w:rsidRPr="00774BD7">
              <w:t>80 (81.6)</w:t>
            </w:r>
          </w:p>
        </w:tc>
        <w:tc>
          <w:tcPr>
            <w:tcW w:w="1003" w:type="dxa"/>
            <w:tcBorders>
              <w:top w:val="single" w:sz="6" w:space="0" w:color="auto"/>
              <w:bottom w:val="single" w:sz="6" w:space="0" w:color="auto"/>
              <w:right w:val="double" w:sz="18" w:space="0" w:color="auto"/>
            </w:tcBorders>
          </w:tcPr>
          <w:p w14:paraId="70378017" w14:textId="77777777" w:rsidR="00C60062" w:rsidRPr="00774BD7" w:rsidRDefault="00C60062" w:rsidP="00F745D3">
            <w:pPr>
              <w:jc w:val="center"/>
            </w:pPr>
            <w:r w:rsidRPr="00774BD7">
              <w:t>0.022*</w:t>
            </w:r>
          </w:p>
        </w:tc>
        <w:tc>
          <w:tcPr>
            <w:tcW w:w="1234" w:type="dxa"/>
            <w:tcBorders>
              <w:top w:val="single" w:sz="6" w:space="0" w:color="auto"/>
              <w:left w:val="double" w:sz="18" w:space="0" w:color="auto"/>
              <w:bottom w:val="single" w:sz="6" w:space="0" w:color="auto"/>
            </w:tcBorders>
          </w:tcPr>
          <w:p w14:paraId="1C39F482" w14:textId="77777777" w:rsidR="00C60062" w:rsidRPr="00774BD7" w:rsidRDefault="00C60062" w:rsidP="00F745D3">
            <w:pPr>
              <w:jc w:val="center"/>
            </w:pPr>
            <w:r w:rsidRPr="00774BD7">
              <w:t>157 (71.0%)</w:t>
            </w:r>
          </w:p>
        </w:tc>
        <w:tc>
          <w:tcPr>
            <w:tcW w:w="1406" w:type="dxa"/>
            <w:tcBorders>
              <w:top w:val="single" w:sz="6" w:space="0" w:color="auto"/>
              <w:bottom w:val="single" w:sz="6" w:space="0" w:color="auto"/>
            </w:tcBorders>
          </w:tcPr>
          <w:p w14:paraId="7665E655" w14:textId="77777777" w:rsidR="00C60062" w:rsidRPr="00774BD7" w:rsidRDefault="00C60062" w:rsidP="00F745D3">
            <w:pPr>
              <w:jc w:val="center"/>
            </w:pPr>
            <w:r w:rsidRPr="00774BD7">
              <w:t>100 (69.9%)</w:t>
            </w:r>
          </w:p>
        </w:tc>
        <w:tc>
          <w:tcPr>
            <w:tcW w:w="1445" w:type="dxa"/>
            <w:tcBorders>
              <w:top w:val="single" w:sz="6" w:space="0" w:color="auto"/>
              <w:bottom w:val="single" w:sz="6" w:space="0" w:color="auto"/>
            </w:tcBorders>
          </w:tcPr>
          <w:p w14:paraId="3E42332E" w14:textId="77777777" w:rsidR="00C60062" w:rsidRPr="00774BD7" w:rsidRDefault="00C60062" w:rsidP="00F745D3">
            <w:pPr>
              <w:jc w:val="center"/>
            </w:pPr>
            <w:r w:rsidRPr="00774BD7">
              <w:t>57 (73.1%)</w:t>
            </w:r>
          </w:p>
        </w:tc>
        <w:tc>
          <w:tcPr>
            <w:tcW w:w="883" w:type="dxa"/>
            <w:tcBorders>
              <w:top w:val="single" w:sz="6" w:space="0" w:color="auto"/>
              <w:bottom w:val="single" w:sz="6" w:space="0" w:color="auto"/>
              <w:right w:val="single" w:sz="18" w:space="0" w:color="auto"/>
            </w:tcBorders>
          </w:tcPr>
          <w:p w14:paraId="0CB23F8F" w14:textId="77777777" w:rsidR="00C60062" w:rsidRPr="00774BD7" w:rsidRDefault="00C60062" w:rsidP="00F745D3">
            <w:pPr>
              <w:jc w:val="center"/>
            </w:pPr>
            <w:r w:rsidRPr="00774BD7">
              <w:t>0.370</w:t>
            </w:r>
          </w:p>
        </w:tc>
        <w:tc>
          <w:tcPr>
            <w:tcW w:w="1003" w:type="dxa"/>
            <w:tcBorders>
              <w:top w:val="single" w:sz="6" w:space="0" w:color="auto"/>
              <w:left w:val="single" w:sz="18" w:space="0" w:color="auto"/>
              <w:bottom w:val="single" w:sz="6" w:space="0" w:color="auto"/>
              <w:right w:val="single" w:sz="2" w:space="0" w:color="FFFFFF" w:themeColor="background1"/>
            </w:tcBorders>
          </w:tcPr>
          <w:p w14:paraId="2D3D0E3E" w14:textId="77777777" w:rsidR="00C60062" w:rsidRPr="00774BD7" w:rsidRDefault="00C60062" w:rsidP="00F745D3">
            <w:pPr>
              <w:jc w:val="center"/>
            </w:pPr>
            <w:r w:rsidRPr="00774BD7">
              <w:t>0.701</w:t>
            </w:r>
          </w:p>
        </w:tc>
      </w:tr>
      <w:tr w:rsidR="00C60062" w:rsidRPr="00774BD7" w14:paraId="45045A4B" w14:textId="77777777" w:rsidTr="00F745D3">
        <w:tc>
          <w:tcPr>
            <w:tcW w:w="2848" w:type="dxa"/>
            <w:tcBorders>
              <w:top w:val="single" w:sz="6" w:space="0" w:color="auto"/>
              <w:left w:val="single" w:sz="2" w:space="0" w:color="FFFFFF" w:themeColor="background1"/>
              <w:right w:val="single" w:sz="18" w:space="0" w:color="auto"/>
            </w:tcBorders>
          </w:tcPr>
          <w:p w14:paraId="435CAF22" w14:textId="77777777" w:rsidR="00C60062" w:rsidRPr="00774BD7" w:rsidRDefault="00C60062" w:rsidP="00F745D3">
            <w:pPr>
              <w:jc w:val="center"/>
              <w:rPr>
                <w:b/>
              </w:rPr>
            </w:pPr>
            <w:r w:rsidRPr="00774BD7">
              <w:rPr>
                <w:b/>
              </w:rPr>
              <w:t>Endocrine-Metabolic</w:t>
            </w:r>
          </w:p>
        </w:tc>
        <w:tc>
          <w:tcPr>
            <w:tcW w:w="1318" w:type="dxa"/>
            <w:tcBorders>
              <w:top w:val="single" w:sz="6" w:space="0" w:color="auto"/>
              <w:left w:val="single" w:sz="18" w:space="0" w:color="auto"/>
            </w:tcBorders>
          </w:tcPr>
          <w:p w14:paraId="55B7844A" w14:textId="77777777" w:rsidR="00C60062" w:rsidRPr="00774BD7" w:rsidRDefault="00C60062" w:rsidP="00F745D3">
            <w:pPr>
              <w:jc w:val="center"/>
            </w:pPr>
            <w:r w:rsidRPr="00774BD7">
              <w:t>174 (51.0)</w:t>
            </w:r>
          </w:p>
        </w:tc>
        <w:tc>
          <w:tcPr>
            <w:tcW w:w="1406" w:type="dxa"/>
            <w:tcBorders>
              <w:top w:val="single" w:sz="6" w:space="0" w:color="auto"/>
            </w:tcBorders>
          </w:tcPr>
          <w:p w14:paraId="7C5AFC05" w14:textId="77777777" w:rsidR="00C60062" w:rsidRPr="00774BD7" w:rsidRDefault="00C60062" w:rsidP="00F745D3">
            <w:pPr>
              <w:jc w:val="center"/>
            </w:pPr>
            <w:r w:rsidRPr="00774BD7">
              <w:t>119 (49.0)</w:t>
            </w:r>
          </w:p>
        </w:tc>
        <w:tc>
          <w:tcPr>
            <w:tcW w:w="1406" w:type="dxa"/>
            <w:tcBorders>
              <w:top w:val="single" w:sz="6" w:space="0" w:color="auto"/>
            </w:tcBorders>
          </w:tcPr>
          <w:p w14:paraId="498356A9" w14:textId="77777777" w:rsidR="00C60062" w:rsidRPr="00774BD7" w:rsidRDefault="00C60062" w:rsidP="00F745D3">
            <w:pPr>
              <w:jc w:val="center"/>
            </w:pPr>
            <w:r w:rsidRPr="00774BD7">
              <w:t>55 (56.1)</w:t>
            </w:r>
          </w:p>
        </w:tc>
        <w:tc>
          <w:tcPr>
            <w:tcW w:w="1003" w:type="dxa"/>
            <w:tcBorders>
              <w:top w:val="single" w:sz="6" w:space="0" w:color="auto"/>
              <w:right w:val="double" w:sz="18" w:space="0" w:color="auto"/>
            </w:tcBorders>
          </w:tcPr>
          <w:p w14:paraId="4EA05B33" w14:textId="77777777" w:rsidR="00C60062" w:rsidRPr="00774BD7" w:rsidRDefault="00C60062" w:rsidP="00F745D3">
            <w:pPr>
              <w:jc w:val="center"/>
            </w:pPr>
            <w:r w:rsidRPr="00774BD7">
              <w:t>0.281</w:t>
            </w:r>
          </w:p>
        </w:tc>
        <w:tc>
          <w:tcPr>
            <w:tcW w:w="1234" w:type="dxa"/>
            <w:tcBorders>
              <w:top w:val="single" w:sz="6" w:space="0" w:color="auto"/>
              <w:left w:val="double" w:sz="18" w:space="0" w:color="auto"/>
            </w:tcBorders>
          </w:tcPr>
          <w:p w14:paraId="78D78A24" w14:textId="77777777" w:rsidR="00C60062" w:rsidRPr="00774BD7" w:rsidRDefault="00C60062" w:rsidP="00F745D3">
            <w:pPr>
              <w:jc w:val="center"/>
            </w:pPr>
            <w:r w:rsidRPr="00774BD7">
              <w:t>114 (51.6%)</w:t>
            </w:r>
          </w:p>
        </w:tc>
        <w:tc>
          <w:tcPr>
            <w:tcW w:w="1406" w:type="dxa"/>
            <w:tcBorders>
              <w:top w:val="single" w:sz="6" w:space="0" w:color="auto"/>
            </w:tcBorders>
          </w:tcPr>
          <w:p w14:paraId="7FDB8661" w14:textId="77777777" w:rsidR="00C60062" w:rsidRPr="00774BD7" w:rsidRDefault="00C60062" w:rsidP="00F745D3">
            <w:pPr>
              <w:jc w:val="center"/>
            </w:pPr>
            <w:r w:rsidRPr="00774BD7">
              <w:t>69 (48.3%)</w:t>
            </w:r>
          </w:p>
        </w:tc>
        <w:tc>
          <w:tcPr>
            <w:tcW w:w="1445" w:type="dxa"/>
            <w:tcBorders>
              <w:top w:val="single" w:sz="6" w:space="0" w:color="auto"/>
            </w:tcBorders>
          </w:tcPr>
          <w:p w14:paraId="23BF2875" w14:textId="77777777" w:rsidR="00C60062" w:rsidRPr="00774BD7" w:rsidRDefault="00C60062" w:rsidP="00F745D3">
            <w:pPr>
              <w:jc w:val="center"/>
            </w:pPr>
            <w:r w:rsidRPr="00774BD7">
              <w:t>45 (57.7%)</w:t>
            </w:r>
          </w:p>
        </w:tc>
        <w:tc>
          <w:tcPr>
            <w:tcW w:w="883" w:type="dxa"/>
            <w:tcBorders>
              <w:top w:val="single" w:sz="6" w:space="0" w:color="auto"/>
              <w:right w:val="single" w:sz="18" w:space="0" w:color="auto"/>
            </w:tcBorders>
          </w:tcPr>
          <w:p w14:paraId="777FD5A9" w14:textId="77777777" w:rsidR="00C60062" w:rsidRPr="00774BD7" w:rsidRDefault="00C60062" w:rsidP="00F745D3">
            <w:pPr>
              <w:jc w:val="center"/>
            </w:pPr>
            <w:r w:rsidRPr="00774BD7">
              <w:t>0.115</w:t>
            </w:r>
          </w:p>
        </w:tc>
        <w:tc>
          <w:tcPr>
            <w:tcW w:w="1003" w:type="dxa"/>
            <w:tcBorders>
              <w:top w:val="single" w:sz="6" w:space="0" w:color="auto"/>
              <w:left w:val="single" w:sz="18" w:space="0" w:color="auto"/>
              <w:right w:val="single" w:sz="2" w:space="0" w:color="FFFFFF" w:themeColor="background1"/>
            </w:tcBorders>
          </w:tcPr>
          <w:p w14:paraId="7E34A755" w14:textId="77777777" w:rsidR="00C60062" w:rsidRPr="00774BD7" w:rsidRDefault="00C60062" w:rsidP="00F745D3">
            <w:pPr>
              <w:jc w:val="center"/>
            </w:pPr>
            <w:r w:rsidRPr="00774BD7">
              <w:t>0.931</w:t>
            </w:r>
          </w:p>
        </w:tc>
      </w:tr>
      <w:tr w:rsidR="00C60062" w:rsidRPr="00774BD7" w14:paraId="2AE30404" w14:textId="77777777" w:rsidTr="00F745D3">
        <w:tc>
          <w:tcPr>
            <w:tcW w:w="2848" w:type="dxa"/>
            <w:tcBorders>
              <w:left w:val="single" w:sz="2" w:space="0" w:color="FFFFFF" w:themeColor="background1"/>
              <w:right w:val="single" w:sz="18" w:space="0" w:color="auto"/>
            </w:tcBorders>
          </w:tcPr>
          <w:p w14:paraId="5308D72C" w14:textId="77777777" w:rsidR="00C60062" w:rsidRPr="00774BD7" w:rsidRDefault="00C60062" w:rsidP="00F745D3">
            <w:pPr>
              <w:jc w:val="center"/>
              <w:rPr>
                <w:b/>
              </w:rPr>
            </w:pPr>
            <w:r w:rsidRPr="00774BD7">
              <w:rPr>
                <w:b/>
              </w:rPr>
              <w:t>Gastrointestinal</w:t>
            </w:r>
          </w:p>
        </w:tc>
        <w:tc>
          <w:tcPr>
            <w:tcW w:w="1318" w:type="dxa"/>
            <w:tcBorders>
              <w:left w:val="single" w:sz="18" w:space="0" w:color="auto"/>
            </w:tcBorders>
          </w:tcPr>
          <w:p w14:paraId="15338A5B" w14:textId="77777777" w:rsidR="00C60062" w:rsidRPr="00774BD7" w:rsidRDefault="00C60062" w:rsidP="00F745D3">
            <w:pPr>
              <w:jc w:val="center"/>
            </w:pPr>
            <w:r w:rsidRPr="00774BD7">
              <w:t>176 (51.6)</w:t>
            </w:r>
          </w:p>
        </w:tc>
        <w:tc>
          <w:tcPr>
            <w:tcW w:w="1406" w:type="dxa"/>
          </w:tcPr>
          <w:p w14:paraId="754F7097" w14:textId="77777777" w:rsidR="00C60062" w:rsidRPr="00774BD7" w:rsidRDefault="00C60062" w:rsidP="00F745D3">
            <w:pPr>
              <w:jc w:val="center"/>
            </w:pPr>
            <w:r w:rsidRPr="00774BD7">
              <w:t>113 (46.5)</w:t>
            </w:r>
          </w:p>
        </w:tc>
        <w:tc>
          <w:tcPr>
            <w:tcW w:w="1406" w:type="dxa"/>
          </w:tcPr>
          <w:p w14:paraId="039F3F27" w14:textId="77777777" w:rsidR="00C60062" w:rsidRPr="00774BD7" w:rsidRDefault="00C60062" w:rsidP="00F745D3">
            <w:pPr>
              <w:jc w:val="center"/>
            </w:pPr>
            <w:r w:rsidRPr="00774BD7">
              <w:t>63 (64.3)</w:t>
            </w:r>
          </w:p>
        </w:tc>
        <w:tc>
          <w:tcPr>
            <w:tcW w:w="1003" w:type="dxa"/>
            <w:tcBorders>
              <w:right w:val="double" w:sz="18" w:space="0" w:color="auto"/>
            </w:tcBorders>
          </w:tcPr>
          <w:p w14:paraId="0F467D09" w14:textId="77777777" w:rsidR="00C60062" w:rsidRPr="00774BD7" w:rsidRDefault="00C60062" w:rsidP="00F745D3">
            <w:pPr>
              <w:jc w:val="center"/>
            </w:pPr>
            <w:r w:rsidRPr="00774BD7">
              <w:t>0.004*</w:t>
            </w:r>
          </w:p>
        </w:tc>
        <w:tc>
          <w:tcPr>
            <w:tcW w:w="1234" w:type="dxa"/>
            <w:tcBorders>
              <w:left w:val="double" w:sz="18" w:space="0" w:color="auto"/>
            </w:tcBorders>
          </w:tcPr>
          <w:p w14:paraId="1E3768C9" w14:textId="77777777" w:rsidR="00C60062" w:rsidRPr="00774BD7" w:rsidRDefault="00C60062" w:rsidP="00F745D3">
            <w:pPr>
              <w:jc w:val="center"/>
            </w:pPr>
            <w:r w:rsidRPr="00774BD7">
              <w:t>116 (52.5%)</w:t>
            </w:r>
          </w:p>
        </w:tc>
        <w:tc>
          <w:tcPr>
            <w:tcW w:w="1406" w:type="dxa"/>
          </w:tcPr>
          <w:p w14:paraId="4EBBA86E" w14:textId="77777777" w:rsidR="00C60062" w:rsidRPr="00774BD7" w:rsidRDefault="00C60062" w:rsidP="00F745D3">
            <w:pPr>
              <w:jc w:val="center"/>
            </w:pPr>
            <w:r w:rsidRPr="00774BD7">
              <w:t>64 (44.8%)</w:t>
            </w:r>
          </w:p>
        </w:tc>
        <w:tc>
          <w:tcPr>
            <w:tcW w:w="1445" w:type="dxa"/>
          </w:tcPr>
          <w:p w14:paraId="103973C2" w14:textId="77777777" w:rsidR="00C60062" w:rsidRPr="00774BD7" w:rsidRDefault="00C60062" w:rsidP="00F745D3">
            <w:pPr>
              <w:jc w:val="center"/>
            </w:pPr>
            <w:r w:rsidRPr="00774BD7">
              <w:t>52 (66.7%)</w:t>
            </w:r>
          </w:p>
        </w:tc>
        <w:tc>
          <w:tcPr>
            <w:tcW w:w="883" w:type="dxa"/>
            <w:tcBorders>
              <w:right w:val="single" w:sz="18" w:space="0" w:color="auto"/>
            </w:tcBorders>
          </w:tcPr>
          <w:p w14:paraId="071A8D41" w14:textId="77777777" w:rsidR="00C60062" w:rsidRPr="00774BD7" w:rsidRDefault="00C60062" w:rsidP="00F745D3">
            <w:pPr>
              <w:jc w:val="center"/>
            </w:pPr>
            <w:r w:rsidRPr="00774BD7">
              <w:t>0.001*</w:t>
            </w:r>
          </w:p>
        </w:tc>
        <w:tc>
          <w:tcPr>
            <w:tcW w:w="1003" w:type="dxa"/>
            <w:tcBorders>
              <w:left w:val="single" w:sz="18" w:space="0" w:color="auto"/>
              <w:right w:val="single" w:sz="2" w:space="0" w:color="FFFFFF" w:themeColor="background1"/>
            </w:tcBorders>
          </w:tcPr>
          <w:p w14:paraId="20A9BDCC" w14:textId="77777777" w:rsidR="00C60062" w:rsidRPr="00774BD7" w:rsidRDefault="00C60062" w:rsidP="00F745D3">
            <w:pPr>
              <w:jc w:val="center"/>
            </w:pPr>
            <w:r w:rsidRPr="00774BD7">
              <w:t>0.863</w:t>
            </w:r>
          </w:p>
        </w:tc>
      </w:tr>
      <w:tr w:rsidR="00C60062" w:rsidRPr="00774BD7" w14:paraId="42E769C6" w14:textId="77777777" w:rsidTr="00F745D3">
        <w:tc>
          <w:tcPr>
            <w:tcW w:w="2848" w:type="dxa"/>
            <w:tcBorders>
              <w:left w:val="single" w:sz="2" w:space="0" w:color="FFFFFF" w:themeColor="background1"/>
              <w:right w:val="single" w:sz="18" w:space="0" w:color="auto"/>
            </w:tcBorders>
          </w:tcPr>
          <w:p w14:paraId="621DDD2D" w14:textId="77777777" w:rsidR="00C60062" w:rsidRPr="00774BD7" w:rsidRDefault="00C60062" w:rsidP="00F745D3">
            <w:pPr>
              <w:jc w:val="center"/>
              <w:rPr>
                <w:b/>
              </w:rPr>
            </w:pPr>
            <w:r w:rsidRPr="00774BD7">
              <w:rPr>
                <w:b/>
              </w:rPr>
              <w:t>Hematopoietic-Lymphatic</w:t>
            </w:r>
          </w:p>
        </w:tc>
        <w:tc>
          <w:tcPr>
            <w:tcW w:w="1318" w:type="dxa"/>
            <w:tcBorders>
              <w:left w:val="single" w:sz="18" w:space="0" w:color="auto"/>
            </w:tcBorders>
          </w:tcPr>
          <w:p w14:paraId="2EBAEB61" w14:textId="77777777" w:rsidR="00C60062" w:rsidRPr="00774BD7" w:rsidRDefault="00C60062" w:rsidP="00F745D3">
            <w:pPr>
              <w:jc w:val="center"/>
            </w:pPr>
            <w:r w:rsidRPr="00774BD7">
              <w:t>38 (11.1)</w:t>
            </w:r>
          </w:p>
        </w:tc>
        <w:tc>
          <w:tcPr>
            <w:tcW w:w="1406" w:type="dxa"/>
          </w:tcPr>
          <w:p w14:paraId="53E4AE85" w14:textId="77777777" w:rsidR="00C60062" w:rsidRPr="00774BD7" w:rsidRDefault="00C60062" w:rsidP="00F745D3">
            <w:pPr>
              <w:jc w:val="center"/>
            </w:pPr>
            <w:r w:rsidRPr="00774BD7">
              <w:t>29 (11.9)</w:t>
            </w:r>
          </w:p>
        </w:tc>
        <w:tc>
          <w:tcPr>
            <w:tcW w:w="1406" w:type="dxa"/>
          </w:tcPr>
          <w:p w14:paraId="07080CB2" w14:textId="77777777" w:rsidR="00C60062" w:rsidRPr="00774BD7" w:rsidRDefault="00C60062" w:rsidP="00F745D3">
            <w:pPr>
              <w:jc w:val="center"/>
            </w:pPr>
            <w:r w:rsidRPr="00774BD7">
              <w:t>9 (9.2)</w:t>
            </w:r>
          </w:p>
        </w:tc>
        <w:tc>
          <w:tcPr>
            <w:tcW w:w="1003" w:type="dxa"/>
            <w:tcBorders>
              <w:right w:val="double" w:sz="18" w:space="0" w:color="auto"/>
            </w:tcBorders>
          </w:tcPr>
          <w:p w14:paraId="5ADBBD1D" w14:textId="77777777" w:rsidR="00C60062" w:rsidRPr="00774BD7" w:rsidRDefault="00C60062" w:rsidP="00F745D3">
            <w:pPr>
              <w:jc w:val="center"/>
            </w:pPr>
            <w:r w:rsidRPr="00774BD7">
              <w:t>0.570</w:t>
            </w:r>
          </w:p>
        </w:tc>
        <w:tc>
          <w:tcPr>
            <w:tcW w:w="1234" w:type="dxa"/>
            <w:tcBorders>
              <w:left w:val="double" w:sz="18" w:space="0" w:color="auto"/>
            </w:tcBorders>
          </w:tcPr>
          <w:p w14:paraId="3AF2E112" w14:textId="77777777" w:rsidR="00C60062" w:rsidRPr="00774BD7" w:rsidRDefault="00C60062" w:rsidP="00F745D3">
            <w:pPr>
              <w:jc w:val="center"/>
            </w:pPr>
            <w:r w:rsidRPr="00774BD7">
              <w:t>28 (12.7%)</w:t>
            </w:r>
          </w:p>
        </w:tc>
        <w:tc>
          <w:tcPr>
            <w:tcW w:w="1406" w:type="dxa"/>
          </w:tcPr>
          <w:p w14:paraId="12B139B9" w14:textId="77777777" w:rsidR="00C60062" w:rsidRPr="00774BD7" w:rsidRDefault="00C60062" w:rsidP="00F745D3">
            <w:pPr>
              <w:jc w:val="center"/>
            </w:pPr>
            <w:r w:rsidRPr="00774BD7">
              <w:t>21 (14.7%)</w:t>
            </w:r>
          </w:p>
        </w:tc>
        <w:tc>
          <w:tcPr>
            <w:tcW w:w="1445" w:type="dxa"/>
          </w:tcPr>
          <w:p w14:paraId="34001AF1" w14:textId="77777777" w:rsidR="00C60062" w:rsidRPr="00774BD7" w:rsidRDefault="00C60062" w:rsidP="00F745D3">
            <w:pPr>
              <w:jc w:val="center"/>
            </w:pPr>
            <w:r w:rsidRPr="00774BD7">
              <w:t>7 (9.0%)</w:t>
            </w:r>
          </w:p>
        </w:tc>
        <w:tc>
          <w:tcPr>
            <w:tcW w:w="883" w:type="dxa"/>
            <w:tcBorders>
              <w:right w:val="single" w:sz="18" w:space="0" w:color="auto"/>
            </w:tcBorders>
          </w:tcPr>
          <w:p w14:paraId="031653E4" w14:textId="77777777" w:rsidR="00C60062" w:rsidRPr="00774BD7" w:rsidRDefault="00C60062" w:rsidP="00F745D3">
            <w:pPr>
              <w:jc w:val="center"/>
            </w:pPr>
            <w:r w:rsidRPr="00774BD7">
              <w:t>0.291</w:t>
            </w:r>
          </w:p>
        </w:tc>
        <w:tc>
          <w:tcPr>
            <w:tcW w:w="1003" w:type="dxa"/>
            <w:tcBorders>
              <w:left w:val="single" w:sz="18" w:space="0" w:color="auto"/>
              <w:right w:val="single" w:sz="2" w:space="0" w:color="FFFFFF" w:themeColor="background1"/>
            </w:tcBorders>
          </w:tcPr>
          <w:p w14:paraId="0A9CF81F" w14:textId="77777777" w:rsidR="00C60062" w:rsidRPr="00774BD7" w:rsidRDefault="00C60062" w:rsidP="00F745D3">
            <w:pPr>
              <w:jc w:val="center"/>
            </w:pPr>
            <w:r w:rsidRPr="00774BD7">
              <w:t>0.594</w:t>
            </w:r>
          </w:p>
        </w:tc>
      </w:tr>
      <w:tr w:rsidR="00C60062" w:rsidRPr="00774BD7" w14:paraId="5ACD3421" w14:textId="77777777" w:rsidTr="00F745D3">
        <w:tc>
          <w:tcPr>
            <w:tcW w:w="2848" w:type="dxa"/>
            <w:tcBorders>
              <w:left w:val="single" w:sz="2" w:space="0" w:color="FFFFFF" w:themeColor="background1"/>
              <w:right w:val="single" w:sz="18" w:space="0" w:color="auto"/>
            </w:tcBorders>
          </w:tcPr>
          <w:p w14:paraId="42D1975A" w14:textId="77777777" w:rsidR="00C60062" w:rsidRPr="00774BD7" w:rsidRDefault="00C60062" w:rsidP="00F745D3">
            <w:pPr>
              <w:jc w:val="center"/>
              <w:rPr>
                <w:b/>
              </w:rPr>
            </w:pPr>
            <w:r w:rsidRPr="00774BD7">
              <w:rPr>
                <w:b/>
              </w:rPr>
              <w:t>Renal-Genitourinary</w:t>
            </w:r>
          </w:p>
        </w:tc>
        <w:tc>
          <w:tcPr>
            <w:tcW w:w="1318" w:type="dxa"/>
            <w:tcBorders>
              <w:left w:val="single" w:sz="18" w:space="0" w:color="auto"/>
            </w:tcBorders>
          </w:tcPr>
          <w:p w14:paraId="7DA83EB8" w14:textId="77777777" w:rsidR="00C60062" w:rsidRPr="00774BD7" w:rsidRDefault="00C60062" w:rsidP="00F745D3">
            <w:pPr>
              <w:jc w:val="center"/>
            </w:pPr>
            <w:r w:rsidRPr="00774BD7">
              <w:t>156 (45.7)</w:t>
            </w:r>
          </w:p>
        </w:tc>
        <w:tc>
          <w:tcPr>
            <w:tcW w:w="1406" w:type="dxa"/>
          </w:tcPr>
          <w:p w14:paraId="3A7B0FAE" w14:textId="77777777" w:rsidR="00C60062" w:rsidRPr="00774BD7" w:rsidRDefault="00C60062" w:rsidP="00F745D3">
            <w:pPr>
              <w:jc w:val="center"/>
            </w:pPr>
            <w:r w:rsidRPr="00774BD7">
              <w:t>104 (42.8)</w:t>
            </w:r>
          </w:p>
        </w:tc>
        <w:tc>
          <w:tcPr>
            <w:tcW w:w="1406" w:type="dxa"/>
          </w:tcPr>
          <w:p w14:paraId="1E156359" w14:textId="77777777" w:rsidR="00C60062" w:rsidRPr="00774BD7" w:rsidRDefault="00C60062" w:rsidP="00F745D3">
            <w:pPr>
              <w:jc w:val="center"/>
            </w:pPr>
            <w:r w:rsidRPr="00774BD7">
              <w:t>52 (53.1)</w:t>
            </w:r>
          </w:p>
        </w:tc>
        <w:tc>
          <w:tcPr>
            <w:tcW w:w="1003" w:type="dxa"/>
            <w:tcBorders>
              <w:right w:val="double" w:sz="18" w:space="0" w:color="auto"/>
            </w:tcBorders>
          </w:tcPr>
          <w:p w14:paraId="35911EB5" w14:textId="77777777" w:rsidR="00C60062" w:rsidRPr="00774BD7" w:rsidRDefault="00C60062" w:rsidP="00F745D3">
            <w:pPr>
              <w:jc w:val="center"/>
            </w:pPr>
            <w:r w:rsidRPr="00774BD7">
              <w:t>0.093</w:t>
            </w:r>
          </w:p>
        </w:tc>
        <w:tc>
          <w:tcPr>
            <w:tcW w:w="1234" w:type="dxa"/>
            <w:tcBorders>
              <w:left w:val="double" w:sz="18" w:space="0" w:color="auto"/>
            </w:tcBorders>
          </w:tcPr>
          <w:p w14:paraId="1B53C346" w14:textId="77777777" w:rsidR="00C60062" w:rsidRPr="00774BD7" w:rsidRDefault="00C60062" w:rsidP="00F745D3">
            <w:pPr>
              <w:jc w:val="center"/>
            </w:pPr>
            <w:r w:rsidRPr="00774BD7">
              <w:t>98 (44.3%)</w:t>
            </w:r>
          </w:p>
        </w:tc>
        <w:tc>
          <w:tcPr>
            <w:tcW w:w="1406" w:type="dxa"/>
          </w:tcPr>
          <w:p w14:paraId="77770CC6" w14:textId="77777777" w:rsidR="00C60062" w:rsidRPr="00774BD7" w:rsidRDefault="00C60062" w:rsidP="00F745D3">
            <w:pPr>
              <w:jc w:val="center"/>
            </w:pPr>
            <w:r w:rsidRPr="00774BD7">
              <w:t>66 (46.2%)</w:t>
            </w:r>
          </w:p>
        </w:tc>
        <w:tc>
          <w:tcPr>
            <w:tcW w:w="1445" w:type="dxa"/>
          </w:tcPr>
          <w:p w14:paraId="2D31F88C" w14:textId="77777777" w:rsidR="00C60062" w:rsidRPr="00774BD7" w:rsidRDefault="00C60062" w:rsidP="00F745D3">
            <w:pPr>
              <w:jc w:val="center"/>
            </w:pPr>
            <w:r w:rsidRPr="00774BD7">
              <w:t>32 (41.0%)</w:t>
            </w:r>
          </w:p>
        </w:tc>
        <w:tc>
          <w:tcPr>
            <w:tcW w:w="883" w:type="dxa"/>
            <w:tcBorders>
              <w:right w:val="single" w:sz="18" w:space="0" w:color="auto"/>
            </w:tcBorders>
          </w:tcPr>
          <w:p w14:paraId="7118ECFF" w14:textId="77777777" w:rsidR="00C60062" w:rsidRPr="00774BD7" w:rsidRDefault="00C60062" w:rsidP="00F745D3">
            <w:pPr>
              <w:jc w:val="center"/>
            </w:pPr>
            <w:r w:rsidRPr="00774BD7">
              <w:t>0.277</w:t>
            </w:r>
          </w:p>
        </w:tc>
        <w:tc>
          <w:tcPr>
            <w:tcW w:w="1003" w:type="dxa"/>
            <w:tcBorders>
              <w:left w:val="single" w:sz="18" w:space="0" w:color="auto"/>
              <w:right w:val="single" w:sz="2" w:space="0" w:color="FFFFFF" w:themeColor="background1"/>
            </w:tcBorders>
          </w:tcPr>
          <w:p w14:paraId="6448E02E" w14:textId="77777777" w:rsidR="00C60062" w:rsidRPr="00774BD7" w:rsidRDefault="00C60062" w:rsidP="00F745D3">
            <w:pPr>
              <w:jc w:val="center"/>
            </w:pPr>
            <w:r w:rsidRPr="00774BD7">
              <w:t>0.795</w:t>
            </w:r>
          </w:p>
        </w:tc>
      </w:tr>
      <w:tr w:rsidR="00C60062" w:rsidRPr="00774BD7" w14:paraId="6BC9601A" w14:textId="77777777" w:rsidTr="00F745D3">
        <w:tc>
          <w:tcPr>
            <w:tcW w:w="2848" w:type="dxa"/>
            <w:tcBorders>
              <w:left w:val="single" w:sz="2" w:space="0" w:color="FFFFFF" w:themeColor="background1"/>
              <w:bottom w:val="single" w:sz="4" w:space="0" w:color="auto"/>
              <w:right w:val="single" w:sz="18" w:space="0" w:color="auto"/>
            </w:tcBorders>
          </w:tcPr>
          <w:p w14:paraId="0D55B3A7" w14:textId="77777777" w:rsidR="00C60062" w:rsidRPr="00774BD7" w:rsidRDefault="00C60062" w:rsidP="00F745D3">
            <w:pPr>
              <w:jc w:val="center"/>
              <w:rPr>
                <w:b/>
              </w:rPr>
            </w:pPr>
            <w:r w:rsidRPr="00774BD7">
              <w:rPr>
                <w:b/>
              </w:rPr>
              <w:t>Allergies or Drug Sensitivities</w:t>
            </w:r>
          </w:p>
        </w:tc>
        <w:tc>
          <w:tcPr>
            <w:tcW w:w="1318" w:type="dxa"/>
            <w:tcBorders>
              <w:left w:val="single" w:sz="18" w:space="0" w:color="auto"/>
              <w:bottom w:val="single" w:sz="4" w:space="0" w:color="auto"/>
            </w:tcBorders>
          </w:tcPr>
          <w:p w14:paraId="2BD9C318" w14:textId="77777777" w:rsidR="00C60062" w:rsidRPr="00774BD7" w:rsidRDefault="00C60062" w:rsidP="00F745D3">
            <w:pPr>
              <w:jc w:val="center"/>
            </w:pPr>
            <w:r w:rsidRPr="00774BD7">
              <w:t>122 (35.8)</w:t>
            </w:r>
          </w:p>
        </w:tc>
        <w:tc>
          <w:tcPr>
            <w:tcW w:w="1406" w:type="dxa"/>
            <w:tcBorders>
              <w:bottom w:val="single" w:sz="4" w:space="0" w:color="auto"/>
            </w:tcBorders>
          </w:tcPr>
          <w:p w14:paraId="5C1E36C0" w14:textId="77777777" w:rsidR="00C60062" w:rsidRPr="00774BD7" w:rsidRDefault="00C60062" w:rsidP="00F745D3">
            <w:pPr>
              <w:jc w:val="center"/>
            </w:pPr>
            <w:r w:rsidRPr="00774BD7">
              <w:t>78 (32.1)</w:t>
            </w:r>
          </w:p>
        </w:tc>
        <w:tc>
          <w:tcPr>
            <w:tcW w:w="1406" w:type="dxa"/>
            <w:tcBorders>
              <w:bottom w:val="single" w:sz="4" w:space="0" w:color="auto"/>
            </w:tcBorders>
          </w:tcPr>
          <w:p w14:paraId="0E274516" w14:textId="77777777" w:rsidR="00C60062" w:rsidRPr="00774BD7" w:rsidRDefault="00C60062" w:rsidP="00F745D3">
            <w:pPr>
              <w:jc w:val="center"/>
            </w:pPr>
            <w:r w:rsidRPr="00774BD7">
              <w:t>44 (44.9)</w:t>
            </w:r>
          </w:p>
        </w:tc>
        <w:tc>
          <w:tcPr>
            <w:tcW w:w="1003" w:type="dxa"/>
            <w:tcBorders>
              <w:bottom w:val="single" w:sz="4" w:space="0" w:color="auto"/>
              <w:right w:val="double" w:sz="18" w:space="0" w:color="auto"/>
            </w:tcBorders>
          </w:tcPr>
          <w:p w14:paraId="13920E99" w14:textId="77777777" w:rsidR="00C60062" w:rsidRPr="00774BD7" w:rsidRDefault="00C60062" w:rsidP="00F745D3">
            <w:pPr>
              <w:jc w:val="center"/>
            </w:pPr>
            <w:r w:rsidRPr="00774BD7">
              <w:t>0.034*</w:t>
            </w:r>
          </w:p>
        </w:tc>
        <w:tc>
          <w:tcPr>
            <w:tcW w:w="1234" w:type="dxa"/>
            <w:tcBorders>
              <w:left w:val="double" w:sz="18" w:space="0" w:color="auto"/>
              <w:bottom w:val="single" w:sz="4" w:space="0" w:color="auto"/>
            </w:tcBorders>
          </w:tcPr>
          <w:p w14:paraId="6546C07F" w14:textId="77777777" w:rsidR="00C60062" w:rsidRPr="00774BD7" w:rsidRDefault="00C60062" w:rsidP="00F745D3">
            <w:pPr>
              <w:jc w:val="center"/>
            </w:pPr>
            <w:r w:rsidRPr="00774BD7">
              <w:t>75 (33.9%)</w:t>
            </w:r>
          </w:p>
        </w:tc>
        <w:tc>
          <w:tcPr>
            <w:tcW w:w="1406" w:type="dxa"/>
            <w:tcBorders>
              <w:bottom w:val="single" w:sz="4" w:space="0" w:color="auto"/>
            </w:tcBorders>
          </w:tcPr>
          <w:p w14:paraId="6653BBD3" w14:textId="77777777" w:rsidR="00C60062" w:rsidRPr="00774BD7" w:rsidRDefault="00C60062" w:rsidP="00F745D3">
            <w:pPr>
              <w:jc w:val="center"/>
            </w:pPr>
            <w:r w:rsidRPr="00774BD7">
              <w:t>42 (29.4%)</w:t>
            </w:r>
          </w:p>
        </w:tc>
        <w:tc>
          <w:tcPr>
            <w:tcW w:w="1445" w:type="dxa"/>
            <w:tcBorders>
              <w:bottom w:val="single" w:sz="4" w:space="0" w:color="auto"/>
            </w:tcBorders>
          </w:tcPr>
          <w:p w14:paraId="355978E0" w14:textId="77777777" w:rsidR="00C60062" w:rsidRPr="00774BD7" w:rsidRDefault="00C60062" w:rsidP="00F745D3">
            <w:pPr>
              <w:jc w:val="center"/>
            </w:pPr>
            <w:r w:rsidRPr="00774BD7">
              <w:t>33 (42.3%)</w:t>
            </w:r>
          </w:p>
        </w:tc>
        <w:tc>
          <w:tcPr>
            <w:tcW w:w="883" w:type="dxa"/>
            <w:tcBorders>
              <w:bottom w:val="single" w:sz="4" w:space="0" w:color="auto"/>
              <w:right w:val="single" w:sz="18" w:space="0" w:color="auto"/>
            </w:tcBorders>
          </w:tcPr>
          <w:p w14:paraId="447F0071" w14:textId="77777777" w:rsidR="00C60062" w:rsidRPr="00774BD7" w:rsidRDefault="00C60062" w:rsidP="00F745D3">
            <w:pPr>
              <w:jc w:val="center"/>
            </w:pPr>
            <w:r w:rsidRPr="00774BD7">
              <w:t>0.037*</w:t>
            </w:r>
          </w:p>
        </w:tc>
        <w:tc>
          <w:tcPr>
            <w:tcW w:w="1003" w:type="dxa"/>
            <w:tcBorders>
              <w:left w:val="single" w:sz="18" w:space="0" w:color="auto"/>
              <w:bottom w:val="single" w:sz="4" w:space="0" w:color="auto"/>
              <w:right w:val="single" w:sz="2" w:space="0" w:color="FFFFFF" w:themeColor="background1"/>
            </w:tcBorders>
          </w:tcPr>
          <w:p w14:paraId="5740CB70" w14:textId="77777777" w:rsidR="00C60062" w:rsidRPr="00774BD7" w:rsidRDefault="00C60062" w:rsidP="00F745D3">
            <w:pPr>
              <w:jc w:val="center"/>
            </w:pPr>
            <w:r w:rsidRPr="00774BD7">
              <w:t>0.717</w:t>
            </w:r>
          </w:p>
        </w:tc>
      </w:tr>
      <w:tr w:rsidR="00C60062" w:rsidRPr="00774BD7" w14:paraId="3DE18E9B" w14:textId="77777777" w:rsidTr="00F745D3">
        <w:tc>
          <w:tcPr>
            <w:tcW w:w="2848" w:type="dxa"/>
            <w:tcBorders>
              <w:left w:val="single" w:sz="2" w:space="0" w:color="FFFFFF" w:themeColor="background1"/>
              <w:bottom w:val="single" w:sz="6" w:space="0" w:color="auto"/>
              <w:right w:val="single" w:sz="18" w:space="0" w:color="auto"/>
            </w:tcBorders>
          </w:tcPr>
          <w:p w14:paraId="2778AC2D" w14:textId="77777777" w:rsidR="00C60062" w:rsidRPr="00774BD7" w:rsidRDefault="00C60062" w:rsidP="00F745D3">
            <w:pPr>
              <w:jc w:val="center"/>
              <w:rPr>
                <w:b/>
              </w:rPr>
            </w:pPr>
            <w:r w:rsidRPr="00774BD7">
              <w:rPr>
                <w:b/>
              </w:rPr>
              <w:t>Smoking, Alcohol Use, and/or Drug Use</w:t>
            </w:r>
          </w:p>
        </w:tc>
        <w:tc>
          <w:tcPr>
            <w:tcW w:w="1318" w:type="dxa"/>
            <w:tcBorders>
              <w:left w:val="single" w:sz="18" w:space="0" w:color="auto"/>
              <w:bottom w:val="single" w:sz="6" w:space="0" w:color="auto"/>
            </w:tcBorders>
          </w:tcPr>
          <w:p w14:paraId="5B71EF05" w14:textId="77777777" w:rsidR="00C60062" w:rsidRPr="00774BD7" w:rsidRDefault="00C60062" w:rsidP="00F745D3">
            <w:pPr>
              <w:jc w:val="center"/>
            </w:pPr>
            <w:r w:rsidRPr="00774BD7">
              <w:t>27 (7.9)</w:t>
            </w:r>
          </w:p>
        </w:tc>
        <w:tc>
          <w:tcPr>
            <w:tcW w:w="1406" w:type="dxa"/>
            <w:tcBorders>
              <w:bottom w:val="single" w:sz="6" w:space="0" w:color="auto"/>
            </w:tcBorders>
          </w:tcPr>
          <w:p w14:paraId="3CEB8741" w14:textId="77777777" w:rsidR="00C60062" w:rsidRPr="00774BD7" w:rsidRDefault="00C60062" w:rsidP="00F745D3">
            <w:pPr>
              <w:jc w:val="center"/>
            </w:pPr>
            <w:r w:rsidRPr="00774BD7">
              <w:t>15 (6.2)</w:t>
            </w:r>
          </w:p>
        </w:tc>
        <w:tc>
          <w:tcPr>
            <w:tcW w:w="1406" w:type="dxa"/>
            <w:tcBorders>
              <w:bottom w:val="single" w:sz="6" w:space="0" w:color="auto"/>
            </w:tcBorders>
          </w:tcPr>
          <w:p w14:paraId="32B0ACCB" w14:textId="77777777" w:rsidR="00C60062" w:rsidRPr="00774BD7" w:rsidRDefault="00C60062" w:rsidP="00F745D3">
            <w:pPr>
              <w:jc w:val="center"/>
            </w:pPr>
            <w:r w:rsidRPr="00774BD7">
              <w:t>12 (12.2)</w:t>
            </w:r>
          </w:p>
        </w:tc>
        <w:tc>
          <w:tcPr>
            <w:tcW w:w="1003" w:type="dxa"/>
            <w:tcBorders>
              <w:bottom w:val="single" w:sz="6" w:space="0" w:color="auto"/>
              <w:right w:val="double" w:sz="18" w:space="0" w:color="auto"/>
            </w:tcBorders>
          </w:tcPr>
          <w:p w14:paraId="3EE1BBF7" w14:textId="77777777" w:rsidR="00C60062" w:rsidRPr="00774BD7" w:rsidRDefault="00C60062" w:rsidP="00F745D3">
            <w:pPr>
              <w:jc w:val="center"/>
            </w:pPr>
            <w:r w:rsidRPr="00774BD7">
              <w:t>0.076</w:t>
            </w:r>
          </w:p>
        </w:tc>
        <w:tc>
          <w:tcPr>
            <w:tcW w:w="1234" w:type="dxa"/>
            <w:tcBorders>
              <w:left w:val="double" w:sz="18" w:space="0" w:color="auto"/>
              <w:bottom w:val="single" w:sz="6" w:space="0" w:color="auto"/>
            </w:tcBorders>
          </w:tcPr>
          <w:p w14:paraId="74F4D2DC" w14:textId="77777777" w:rsidR="00C60062" w:rsidRPr="00774BD7" w:rsidRDefault="00C60062" w:rsidP="00F745D3">
            <w:pPr>
              <w:jc w:val="center"/>
            </w:pPr>
            <w:r w:rsidRPr="00774BD7">
              <w:t>32 (14.5%)</w:t>
            </w:r>
          </w:p>
        </w:tc>
        <w:tc>
          <w:tcPr>
            <w:tcW w:w="1406" w:type="dxa"/>
            <w:tcBorders>
              <w:bottom w:val="single" w:sz="6" w:space="0" w:color="auto"/>
            </w:tcBorders>
          </w:tcPr>
          <w:p w14:paraId="6F4A43D8" w14:textId="77777777" w:rsidR="00C60062" w:rsidRPr="00774BD7" w:rsidRDefault="00C60062" w:rsidP="00F745D3">
            <w:pPr>
              <w:jc w:val="center"/>
            </w:pPr>
            <w:r w:rsidRPr="00774BD7">
              <w:t>16 (11.2%)</w:t>
            </w:r>
          </w:p>
        </w:tc>
        <w:tc>
          <w:tcPr>
            <w:tcW w:w="1445" w:type="dxa"/>
            <w:tcBorders>
              <w:bottom w:val="single" w:sz="6" w:space="0" w:color="auto"/>
            </w:tcBorders>
          </w:tcPr>
          <w:p w14:paraId="0F19B47A" w14:textId="77777777" w:rsidR="00C60062" w:rsidRPr="00774BD7" w:rsidRDefault="00C60062" w:rsidP="00F745D3">
            <w:pPr>
              <w:jc w:val="center"/>
            </w:pPr>
            <w:r w:rsidRPr="00774BD7">
              <w:t>16 (20.5%)</w:t>
            </w:r>
          </w:p>
        </w:tc>
        <w:tc>
          <w:tcPr>
            <w:tcW w:w="883" w:type="dxa"/>
            <w:tcBorders>
              <w:bottom w:val="single" w:sz="6" w:space="0" w:color="auto"/>
              <w:right w:val="single" w:sz="18" w:space="0" w:color="auto"/>
            </w:tcBorders>
          </w:tcPr>
          <w:p w14:paraId="682D5B4C" w14:textId="77777777" w:rsidR="00C60062" w:rsidRPr="00774BD7" w:rsidRDefault="00C60062" w:rsidP="00F745D3">
            <w:pPr>
              <w:jc w:val="center"/>
            </w:pPr>
            <w:r w:rsidRPr="00774BD7">
              <w:t>0.048*</w:t>
            </w:r>
          </w:p>
        </w:tc>
        <w:tc>
          <w:tcPr>
            <w:tcW w:w="1003" w:type="dxa"/>
            <w:tcBorders>
              <w:left w:val="single" w:sz="18" w:space="0" w:color="auto"/>
              <w:bottom w:val="single" w:sz="6" w:space="0" w:color="auto"/>
              <w:right w:val="single" w:sz="2" w:space="0" w:color="FFFFFF" w:themeColor="background1"/>
            </w:tcBorders>
          </w:tcPr>
          <w:p w14:paraId="2F146E8B" w14:textId="77777777" w:rsidR="00C60062" w:rsidRPr="00774BD7" w:rsidRDefault="00C60062" w:rsidP="00F745D3">
            <w:pPr>
              <w:jc w:val="center"/>
            </w:pPr>
            <w:r w:rsidRPr="00774BD7">
              <w:t>0.016*</w:t>
            </w:r>
          </w:p>
        </w:tc>
      </w:tr>
      <w:tr w:rsidR="00C60062" w:rsidRPr="00774BD7" w14:paraId="591861A9" w14:textId="77777777" w:rsidTr="00F745D3">
        <w:tc>
          <w:tcPr>
            <w:tcW w:w="2848" w:type="dxa"/>
            <w:tcBorders>
              <w:top w:val="single" w:sz="6" w:space="0" w:color="auto"/>
              <w:left w:val="single" w:sz="2" w:space="0" w:color="FFFFFF" w:themeColor="background1"/>
              <w:bottom w:val="single" w:sz="18" w:space="0" w:color="auto"/>
              <w:right w:val="single" w:sz="18" w:space="0" w:color="auto"/>
            </w:tcBorders>
          </w:tcPr>
          <w:p w14:paraId="1128AE6C" w14:textId="77777777" w:rsidR="00C60062" w:rsidRPr="00774BD7" w:rsidRDefault="00C60062" w:rsidP="00F745D3">
            <w:pPr>
              <w:jc w:val="center"/>
              <w:rPr>
                <w:b/>
              </w:rPr>
            </w:pPr>
            <w:r w:rsidRPr="00774BD7">
              <w:rPr>
                <w:b/>
              </w:rPr>
              <w:t>Malignancy</w:t>
            </w:r>
          </w:p>
        </w:tc>
        <w:tc>
          <w:tcPr>
            <w:tcW w:w="1318" w:type="dxa"/>
            <w:tcBorders>
              <w:top w:val="single" w:sz="6" w:space="0" w:color="auto"/>
              <w:left w:val="single" w:sz="18" w:space="0" w:color="auto"/>
              <w:bottom w:val="single" w:sz="18" w:space="0" w:color="auto"/>
            </w:tcBorders>
          </w:tcPr>
          <w:p w14:paraId="60B81E1A" w14:textId="77777777" w:rsidR="00C60062" w:rsidRPr="00774BD7" w:rsidRDefault="00C60062" w:rsidP="00F745D3">
            <w:pPr>
              <w:jc w:val="center"/>
            </w:pPr>
            <w:r w:rsidRPr="00774BD7">
              <w:t>74 (21.7)</w:t>
            </w:r>
          </w:p>
        </w:tc>
        <w:tc>
          <w:tcPr>
            <w:tcW w:w="1406" w:type="dxa"/>
            <w:tcBorders>
              <w:top w:val="single" w:sz="6" w:space="0" w:color="auto"/>
              <w:bottom w:val="single" w:sz="18" w:space="0" w:color="auto"/>
            </w:tcBorders>
          </w:tcPr>
          <w:p w14:paraId="1267C67B" w14:textId="77777777" w:rsidR="00C60062" w:rsidRPr="00774BD7" w:rsidRDefault="00C60062" w:rsidP="00F745D3">
            <w:pPr>
              <w:jc w:val="center"/>
            </w:pPr>
            <w:r w:rsidRPr="00774BD7">
              <w:t>48 (19.8)</w:t>
            </w:r>
          </w:p>
        </w:tc>
        <w:tc>
          <w:tcPr>
            <w:tcW w:w="1406" w:type="dxa"/>
            <w:tcBorders>
              <w:top w:val="single" w:sz="6" w:space="0" w:color="auto"/>
              <w:bottom w:val="single" w:sz="18" w:space="0" w:color="auto"/>
            </w:tcBorders>
          </w:tcPr>
          <w:p w14:paraId="323619E7" w14:textId="77777777" w:rsidR="00C60062" w:rsidRPr="00774BD7" w:rsidRDefault="00C60062" w:rsidP="00F745D3">
            <w:pPr>
              <w:jc w:val="center"/>
            </w:pPr>
            <w:r w:rsidRPr="00774BD7">
              <w:t>26 (26.5)</w:t>
            </w:r>
          </w:p>
        </w:tc>
        <w:tc>
          <w:tcPr>
            <w:tcW w:w="1003" w:type="dxa"/>
            <w:tcBorders>
              <w:top w:val="single" w:sz="6" w:space="0" w:color="auto"/>
              <w:bottom w:val="single" w:sz="18" w:space="0" w:color="auto"/>
              <w:right w:val="double" w:sz="18" w:space="0" w:color="auto"/>
            </w:tcBorders>
          </w:tcPr>
          <w:p w14:paraId="608C75C1" w14:textId="77777777" w:rsidR="00C60062" w:rsidRPr="00774BD7" w:rsidRDefault="00C60062" w:rsidP="00F745D3">
            <w:pPr>
              <w:jc w:val="center"/>
            </w:pPr>
            <w:r w:rsidRPr="00774BD7">
              <w:t>0.192</w:t>
            </w:r>
          </w:p>
        </w:tc>
        <w:tc>
          <w:tcPr>
            <w:tcW w:w="1234" w:type="dxa"/>
            <w:tcBorders>
              <w:top w:val="single" w:sz="6" w:space="0" w:color="auto"/>
              <w:left w:val="double" w:sz="18" w:space="0" w:color="auto"/>
              <w:bottom w:val="single" w:sz="18" w:space="0" w:color="auto"/>
            </w:tcBorders>
          </w:tcPr>
          <w:p w14:paraId="078E47DB" w14:textId="77777777" w:rsidR="00C60062" w:rsidRPr="00774BD7" w:rsidRDefault="00C60062" w:rsidP="00F745D3">
            <w:pPr>
              <w:jc w:val="center"/>
            </w:pPr>
            <w:r w:rsidRPr="00774BD7">
              <w:t>30 (13.6%)</w:t>
            </w:r>
          </w:p>
        </w:tc>
        <w:tc>
          <w:tcPr>
            <w:tcW w:w="1406" w:type="dxa"/>
            <w:tcBorders>
              <w:top w:val="single" w:sz="6" w:space="0" w:color="auto"/>
              <w:bottom w:val="single" w:sz="18" w:space="0" w:color="auto"/>
            </w:tcBorders>
          </w:tcPr>
          <w:p w14:paraId="78674EC2" w14:textId="77777777" w:rsidR="00C60062" w:rsidRPr="00774BD7" w:rsidRDefault="00C60062" w:rsidP="00F745D3">
            <w:pPr>
              <w:jc w:val="center"/>
            </w:pPr>
            <w:r w:rsidRPr="00774BD7">
              <w:t>21 (14.7%)</w:t>
            </w:r>
          </w:p>
        </w:tc>
        <w:tc>
          <w:tcPr>
            <w:tcW w:w="1445" w:type="dxa"/>
            <w:tcBorders>
              <w:top w:val="single" w:sz="6" w:space="0" w:color="auto"/>
              <w:bottom w:val="single" w:sz="18" w:space="0" w:color="auto"/>
            </w:tcBorders>
          </w:tcPr>
          <w:p w14:paraId="2E455D24" w14:textId="77777777" w:rsidR="00C60062" w:rsidRPr="00774BD7" w:rsidRDefault="00C60062" w:rsidP="00F745D3">
            <w:pPr>
              <w:jc w:val="center"/>
            </w:pPr>
            <w:r w:rsidRPr="00774BD7">
              <w:t>9 (11.5%)</w:t>
            </w:r>
          </w:p>
        </w:tc>
        <w:tc>
          <w:tcPr>
            <w:tcW w:w="883" w:type="dxa"/>
            <w:tcBorders>
              <w:top w:val="single" w:sz="6" w:space="0" w:color="auto"/>
              <w:bottom w:val="single" w:sz="18" w:space="0" w:color="auto"/>
              <w:right w:val="single" w:sz="18" w:space="0" w:color="auto"/>
            </w:tcBorders>
          </w:tcPr>
          <w:p w14:paraId="361300E0" w14:textId="77777777" w:rsidR="00C60062" w:rsidRPr="00774BD7" w:rsidRDefault="00C60062" w:rsidP="00F745D3">
            <w:pPr>
              <w:jc w:val="center"/>
            </w:pPr>
            <w:r w:rsidRPr="00774BD7">
              <w:t>0.332</w:t>
            </w:r>
          </w:p>
        </w:tc>
        <w:tc>
          <w:tcPr>
            <w:tcW w:w="1003" w:type="dxa"/>
            <w:tcBorders>
              <w:top w:val="single" w:sz="6" w:space="0" w:color="auto"/>
              <w:left w:val="single" w:sz="18" w:space="0" w:color="auto"/>
              <w:bottom w:val="single" w:sz="18" w:space="0" w:color="auto"/>
              <w:right w:val="single" w:sz="2" w:space="0" w:color="FFFFFF" w:themeColor="background1"/>
            </w:tcBorders>
          </w:tcPr>
          <w:p w14:paraId="12156034" w14:textId="77777777" w:rsidR="00C60062" w:rsidRPr="00774BD7" w:rsidRDefault="00C60062" w:rsidP="00F745D3">
            <w:pPr>
              <w:jc w:val="center"/>
            </w:pPr>
            <w:r w:rsidRPr="00774BD7">
              <w:t>0.019*</w:t>
            </w:r>
          </w:p>
        </w:tc>
      </w:tr>
    </w:tbl>
    <w:p w14:paraId="17678822" w14:textId="77777777" w:rsidR="00C60062" w:rsidRPr="00774BD7" w:rsidRDefault="00C60062" w:rsidP="00C60062">
      <w:proofErr w:type="gramStart"/>
      <w:r w:rsidRPr="00774BD7">
        <w:t>a:Group</w:t>
      </w:r>
      <w:proofErr w:type="gramEnd"/>
      <w:r w:rsidRPr="00774BD7">
        <w:t xml:space="preserve"> comparison using T test between AC- CNs and AC+ CNs </w:t>
      </w:r>
    </w:p>
    <w:p w14:paraId="79DE3DDD" w14:textId="77777777" w:rsidR="00C60062" w:rsidRPr="00774BD7" w:rsidRDefault="00C60062" w:rsidP="00C60062">
      <w:proofErr w:type="gramStart"/>
      <w:r w:rsidRPr="00774BD7">
        <w:t>b:Group</w:t>
      </w:r>
      <w:proofErr w:type="gramEnd"/>
      <w:r w:rsidRPr="00774BD7">
        <w:t xml:space="preserve"> comparison using T test between AC- MCI participants and AC+ MCI participants</w:t>
      </w:r>
    </w:p>
    <w:p w14:paraId="5DF84C5B" w14:textId="77777777" w:rsidR="00C60062" w:rsidRPr="00774BD7" w:rsidRDefault="00C60062" w:rsidP="00C60062">
      <w:proofErr w:type="gramStart"/>
      <w:r w:rsidRPr="00774BD7">
        <w:t>c:Group</w:t>
      </w:r>
      <w:proofErr w:type="gramEnd"/>
      <w:r w:rsidRPr="00774BD7">
        <w:t xml:space="preserve"> comparison using T test between CNs and MCI participants</w:t>
      </w:r>
    </w:p>
    <w:p w14:paraId="19962FAE" w14:textId="77777777" w:rsidR="00C60062" w:rsidRPr="00774BD7" w:rsidRDefault="00C60062" w:rsidP="00C60062">
      <w:r w:rsidRPr="00774BD7">
        <w:t>d:290 CNs and 161 MCI participants had ADAS-cog score information</w:t>
      </w:r>
    </w:p>
    <w:p w14:paraId="31AFD9EA" w14:textId="77777777" w:rsidR="00C60062" w:rsidRPr="00774BD7" w:rsidRDefault="00C60062" w:rsidP="00C60062">
      <w:r w:rsidRPr="00774BD7">
        <w:t>e:253 CNs and 137 MCI participants had genotype information</w:t>
      </w:r>
    </w:p>
    <w:p w14:paraId="4247A639" w14:textId="77777777" w:rsidR="00C60062" w:rsidRPr="00774BD7" w:rsidRDefault="00C60062" w:rsidP="00C60062">
      <w:r w:rsidRPr="00774BD7">
        <w:t>f:183 CNs and 110 MCI participants had amyloid PET information</w:t>
      </w:r>
    </w:p>
    <w:p w14:paraId="51C0A5BC" w14:textId="77777777" w:rsidR="00C60062" w:rsidRPr="00774BD7" w:rsidRDefault="00C60062" w:rsidP="00C60062">
      <w:r w:rsidRPr="00774BD7">
        <w:t>*:</w:t>
      </w:r>
      <w:r w:rsidRPr="00774BD7">
        <w:rPr>
          <w:b/>
        </w:rPr>
        <w:t xml:space="preserve"> </w:t>
      </w:r>
      <w:r w:rsidRPr="00774BD7">
        <w:t>Significant level at P&lt;0.05</w:t>
      </w:r>
    </w:p>
    <w:p w14:paraId="66A2ECA5" w14:textId="77777777" w:rsidR="00C60062" w:rsidRPr="00774BD7" w:rsidRDefault="00C60062" w:rsidP="00C60062">
      <w:pPr>
        <w:rPr>
          <w:b/>
        </w:rPr>
        <w:sectPr w:rsidR="00C60062" w:rsidRPr="00774BD7" w:rsidSect="00324ACA">
          <w:pgSz w:w="16838" w:h="11906" w:orient="landscape"/>
          <w:pgMar w:top="1440" w:right="1440" w:bottom="1440" w:left="1440" w:header="709" w:footer="709" w:gutter="0"/>
          <w:cols w:space="708"/>
          <w:docGrid w:linePitch="360"/>
        </w:sectPr>
      </w:pPr>
    </w:p>
    <w:p w14:paraId="135D5D7F" w14:textId="77777777" w:rsidR="00C60062" w:rsidRPr="00774BD7" w:rsidRDefault="00C60062" w:rsidP="00C60062">
      <w:pPr>
        <w:pStyle w:val="Heading2"/>
        <w:rPr>
          <w:rFonts w:ascii="Times New Roman" w:hAnsi="Times New Roman" w:cs="Times New Roman"/>
        </w:rPr>
      </w:pPr>
      <w:r w:rsidRPr="00774BD7">
        <w:rPr>
          <w:rFonts w:ascii="Times New Roman" w:hAnsi="Times New Roman" w:cs="Times New Roman"/>
          <w:bCs/>
        </w:rPr>
        <w:lastRenderedPageBreak/>
        <w:t>Supplementary Table 2</w:t>
      </w:r>
      <w:r w:rsidRPr="00774BD7">
        <w:rPr>
          <w:rFonts w:ascii="Times New Roman" w:hAnsi="Times New Roman" w:cs="Times New Roman"/>
        </w:rPr>
        <w:t xml:space="preserve"> Brain regions where NBM are functionally connected in the brain</w:t>
      </w:r>
    </w:p>
    <w:tbl>
      <w:tblPr>
        <w:tblStyle w:val="TableGrid"/>
        <w:tblW w:w="0" w:type="auto"/>
        <w:tblLook w:val="04A0" w:firstRow="1" w:lastRow="0" w:firstColumn="1" w:lastColumn="0" w:noHBand="0" w:noVBand="1"/>
      </w:tblPr>
      <w:tblGrid>
        <w:gridCol w:w="5949"/>
        <w:gridCol w:w="567"/>
        <w:gridCol w:w="709"/>
        <w:gridCol w:w="708"/>
        <w:gridCol w:w="993"/>
      </w:tblGrid>
      <w:tr w:rsidR="00C60062" w:rsidRPr="00774BD7" w14:paraId="5495DD81" w14:textId="77777777" w:rsidTr="00F745D3">
        <w:tc>
          <w:tcPr>
            <w:tcW w:w="5949" w:type="dxa"/>
            <w:vMerge w:val="restart"/>
            <w:tcBorders>
              <w:top w:val="single" w:sz="18" w:space="0" w:color="auto"/>
              <w:left w:val="nil"/>
              <w:bottom w:val="nil"/>
              <w:right w:val="nil"/>
            </w:tcBorders>
          </w:tcPr>
          <w:p w14:paraId="7FD885A8" w14:textId="77777777" w:rsidR="00C60062" w:rsidRPr="00774BD7" w:rsidRDefault="00C60062" w:rsidP="00F745D3">
            <w:pPr>
              <w:jc w:val="both"/>
            </w:pPr>
          </w:p>
        </w:tc>
        <w:tc>
          <w:tcPr>
            <w:tcW w:w="1984" w:type="dxa"/>
            <w:gridSpan w:val="3"/>
            <w:tcBorders>
              <w:top w:val="single" w:sz="18" w:space="0" w:color="auto"/>
              <w:left w:val="nil"/>
              <w:bottom w:val="single" w:sz="8" w:space="0" w:color="auto"/>
              <w:right w:val="nil"/>
            </w:tcBorders>
          </w:tcPr>
          <w:p w14:paraId="308C8AE6" w14:textId="77777777" w:rsidR="00C60062" w:rsidRPr="00774BD7" w:rsidRDefault="00C60062" w:rsidP="00F745D3">
            <w:pPr>
              <w:jc w:val="both"/>
            </w:pPr>
            <w:r w:rsidRPr="00774BD7">
              <w:t>Coordinates (mm)</w:t>
            </w:r>
          </w:p>
        </w:tc>
        <w:tc>
          <w:tcPr>
            <w:tcW w:w="993" w:type="dxa"/>
            <w:vMerge w:val="restart"/>
            <w:tcBorders>
              <w:top w:val="single" w:sz="18" w:space="0" w:color="auto"/>
              <w:left w:val="nil"/>
              <w:bottom w:val="nil"/>
              <w:right w:val="nil"/>
            </w:tcBorders>
            <w:vAlign w:val="center"/>
          </w:tcPr>
          <w:p w14:paraId="1AB95F9E" w14:textId="77777777" w:rsidR="00C60062" w:rsidRPr="00774BD7" w:rsidRDefault="00C60062" w:rsidP="00F745D3">
            <w:pPr>
              <w:jc w:val="center"/>
            </w:pPr>
            <w:r w:rsidRPr="00774BD7">
              <w:t>Z value</w:t>
            </w:r>
          </w:p>
        </w:tc>
      </w:tr>
      <w:tr w:rsidR="00C60062" w:rsidRPr="00774BD7" w14:paraId="3D187BFE" w14:textId="77777777" w:rsidTr="00F745D3">
        <w:tc>
          <w:tcPr>
            <w:tcW w:w="5949" w:type="dxa"/>
            <w:vMerge/>
            <w:tcBorders>
              <w:top w:val="nil"/>
              <w:left w:val="nil"/>
              <w:bottom w:val="single" w:sz="18" w:space="0" w:color="auto"/>
              <w:right w:val="nil"/>
            </w:tcBorders>
          </w:tcPr>
          <w:p w14:paraId="145F850B" w14:textId="77777777" w:rsidR="00C60062" w:rsidRPr="00774BD7" w:rsidRDefault="00C60062" w:rsidP="00F745D3">
            <w:pPr>
              <w:jc w:val="both"/>
            </w:pPr>
          </w:p>
        </w:tc>
        <w:tc>
          <w:tcPr>
            <w:tcW w:w="567" w:type="dxa"/>
            <w:tcBorders>
              <w:top w:val="single" w:sz="8" w:space="0" w:color="auto"/>
              <w:left w:val="nil"/>
              <w:bottom w:val="single" w:sz="18" w:space="0" w:color="auto"/>
              <w:right w:val="nil"/>
            </w:tcBorders>
          </w:tcPr>
          <w:p w14:paraId="2F7FAF0B" w14:textId="77777777" w:rsidR="00C60062" w:rsidRPr="00774BD7" w:rsidRDefault="00C60062" w:rsidP="00F745D3">
            <w:pPr>
              <w:jc w:val="both"/>
              <w:rPr>
                <w:i/>
              </w:rPr>
            </w:pPr>
            <w:r w:rsidRPr="00774BD7">
              <w:rPr>
                <w:i/>
              </w:rPr>
              <w:t>X</w:t>
            </w:r>
          </w:p>
        </w:tc>
        <w:tc>
          <w:tcPr>
            <w:tcW w:w="709" w:type="dxa"/>
            <w:tcBorders>
              <w:top w:val="single" w:sz="8" w:space="0" w:color="auto"/>
              <w:left w:val="nil"/>
              <w:bottom w:val="single" w:sz="18" w:space="0" w:color="auto"/>
              <w:right w:val="nil"/>
            </w:tcBorders>
          </w:tcPr>
          <w:p w14:paraId="506B0DBD" w14:textId="77777777" w:rsidR="00C60062" w:rsidRPr="00774BD7" w:rsidRDefault="00C60062" w:rsidP="00F745D3">
            <w:pPr>
              <w:jc w:val="both"/>
              <w:rPr>
                <w:i/>
              </w:rPr>
            </w:pPr>
            <w:r w:rsidRPr="00774BD7">
              <w:rPr>
                <w:i/>
              </w:rPr>
              <w:t>Y</w:t>
            </w:r>
          </w:p>
        </w:tc>
        <w:tc>
          <w:tcPr>
            <w:tcW w:w="708" w:type="dxa"/>
            <w:tcBorders>
              <w:top w:val="single" w:sz="8" w:space="0" w:color="auto"/>
              <w:left w:val="nil"/>
              <w:bottom w:val="single" w:sz="18" w:space="0" w:color="auto"/>
              <w:right w:val="nil"/>
            </w:tcBorders>
          </w:tcPr>
          <w:p w14:paraId="35FAF636" w14:textId="77777777" w:rsidR="00C60062" w:rsidRPr="00774BD7" w:rsidRDefault="00C60062" w:rsidP="00F745D3">
            <w:pPr>
              <w:jc w:val="both"/>
              <w:rPr>
                <w:i/>
              </w:rPr>
            </w:pPr>
            <w:r w:rsidRPr="00774BD7">
              <w:rPr>
                <w:i/>
              </w:rPr>
              <w:t>Z</w:t>
            </w:r>
          </w:p>
        </w:tc>
        <w:tc>
          <w:tcPr>
            <w:tcW w:w="993" w:type="dxa"/>
            <w:vMerge/>
            <w:tcBorders>
              <w:top w:val="nil"/>
              <w:left w:val="nil"/>
              <w:bottom w:val="single" w:sz="18" w:space="0" w:color="auto"/>
              <w:right w:val="nil"/>
            </w:tcBorders>
          </w:tcPr>
          <w:p w14:paraId="77C43454" w14:textId="77777777" w:rsidR="00C60062" w:rsidRPr="00774BD7" w:rsidRDefault="00C60062" w:rsidP="00F745D3">
            <w:pPr>
              <w:jc w:val="both"/>
            </w:pPr>
          </w:p>
        </w:tc>
      </w:tr>
      <w:tr w:rsidR="00C60062" w:rsidRPr="00774BD7" w14:paraId="1B7DE740" w14:textId="77777777" w:rsidTr="00F745D3">
        <w:tc>
          <w:tcPr>
            <w:tcW w:w="5949" w:type="dxa"/>
            <w:tcBorders>
              <w:top w:val="single" w:sz="18" w:space="0" w:color="auto"/>
              <w:left w:val="nil"/>
              <w:bottom w:val="nil"/>
              <w:right w:val="nil"/>
            </w:tcBorders>
          </w:tcPr>
          <w:p w14:paraId="6F599451" w14:textId="77777777" w:rsidR="00C60062" w:rsidRPr="00774BD7" w:rsidRDefault="00C60062" w:rsidP="00F745D3">
            <w:pPr>
              <w:jc w:val="both"/>
            </w:pPr>
            <w:r w:rsidRPr="00774BD7">
              <w:t>Left superior frontal gyrus</w:t>
            </w:r>
          </w:p>
        </w:tc>
        <w:tc>
          <w:tcPr>
            <w:tcW w:w="567" w:type="dxa"/>
            <w:tcBorders>
              <w:top w:val="single" w:sz="18" w:space="0" w:color="auto"/>
              <w:left w:val="nil"/>
              <w:bottom w:val="nil"/>
              <w:right w:val="nil"/>
            </w:tcBorders>
          </w:tcPr>
          <w:p w14:paraId="5A9BC77C" w14:textId="77777777" w:rsidR="00C60062" w:rsidRPr="00774BD7" w:rsidRDefault="00C60062" w:rsidP="00F745D3">
            <w:pPr>
              <w:jc w:val="both"/>
            </w:pPr>
            <w:r w:rsidRPr="00774BD7">
              <w:t>-28</w:t>
            </w:r>
          </w:p>
        </w:tc>
        <w:tc>
          <w:tcPr>
            <w:tcW w:w="709" w:type="dxa"/>
            <w:tcBorders>
              <w:top w:val="single" w:sz="18" w:space="0" w:color="auto"/>
              <w:left w:val="nil"/>
              <w:bottom w:val="nil"/>
              <w:right w:val="nil"/>
            </w:tcBorders>
          </w:tcPr>
          <w:p w14:paraId="2540B4CB" w14:textId="77777777" w:rsidR="00C60062" w:rsidRPr="00774BD7" w:rsidRDefault="00C60062" w:rsidP="00F745D3">
            <w:pPr>
              <w:jc w:val="both"/>
            </w:pPr>
            <w:r w:rsidRPr="00774BD7">
              <w:t>42</w:t>
            </w:r>
          </w:p>
        </w:tc>
        <w:tc>
          <w:tcPr>
            <w:tcW w:w="708" w:type="dxa"/>
            <w:tcBorders>
              <w:top w:val="single" w:sz="18" w:space="0" w:color="auto"/>
              <w:left w:val="nil"/>
              <w:bottom w:val="nil"/>
              <w:right w:val="nil"/>
            </w:tcBorders>
          </w:tcPr>
          <w:p w14:paraId="3E6493EE" w14:textId="77777777" w:rsidR="00C60062" w:rsidRPr="00774BD7" w:rsidRDefault="00C60062" w:rsidP="00F745D3">
            <w:pPr>
              <w:jc w:val="both"/>
            </w:pPr>
            <w:r w:rsidRPr="00774BD7">
              <w:t>21</w:t>
            </w:r>
          </w:p>
        </w:tc>
        <w:tc>
          <w:tcPr>
            <w:tcW w:w="993" w:type="dxa"/>
            <w:tcBorders>
              <w:top w:val="single" w:sz="18" w:space="0" w:color="auto"/>
              <w:left w:val="nil"/>
              <w:bottom w:val="nil"/>
              <w:right w:val="nil"/>
            </w:tcBorders>
          </w:tcPr>
          <w:p w14:paraId="338BF68A" w14:textId="77777777" w:rsidR="00C60062" w:rsidRPr="00774BD7" w:rsidRDefault="00C60062" w:rsidP="00F745D3">
            <w:pPr>
              <w:jc w:val="both"/>
            </w:pPr>
            <w:r w:rsidRPr="00774BD7">
              <w:t>5.73</w:t>
            </w:r>
          </w:p>
        </w:tc>
      </w:tr>
      <w:tr w:rsidR="00C60062" w:rsidRPr="00774BD7" w14:paraId="38B69030" w14:textId="77777777" w:rsidTr="00F745D3">
        <w:tc>
          <w:tcPr>
            <w:tcW w:w="5949" w:type="dxa"/>
            <w:tcBorders>
              <w:top w:val="nil"/>
              <w:left w:val="nil"/>
              <w:bottom w:val="nil"/>
              <w:right w:val="nil"/>
            </w:tcBorders>
          </w:tcPr>
          <w:p w14:paraId="481D30EE" w14:textId="77777777" w:rsidR="00C60062" w:rsidRPr="00774BD7" w:rsidRDefault="00C60062" w:rsidP="00F745D3">
            <w:pPr>
              <w:jc w:val="both"/>
            </w:pPr>
            <w:r w:rsidRPr="00774BD7">
              <w:t>Right superior frontal gyrus</w:t>
            </w:r>
          </w:p>
        </w:tc>
        <w:tc>
          <w:tcPr>
            <w:tcW w:w="567" w:type="dxa"/>
            <w:tcBorders>
              <w:top w:val="nil"/>
              <w:left w:val="nil"/>
              <w:bottom w:val="nil"/>
              <w:right w:val="nil"/>
            </w:tcBorders>
          </w:tcPr>
          <w:p w14:paraId="22EAFA85" w14:textId="77777777" w:rsidR="00C60062" w:rsidRPr="00774BD7" w:rsidRDefault="00C60062" w:rsidP="00F745D3">
            <w:pPr>
              <w:jc w:val="both"/>
            </w:pPr>
            <w:r w:rsidRPr="00774BD7">
              <w:t>9</w:t>
            </w:r>
          </w:p>
        </w:tc>
        <w:tc>
          <w:tcPr>
            <w:tcW w:w="709" w:type="dxa"/>
            <w:tcBorders>
              <w:top w:val="nil"/>
              <w:left w:val="nil"/>
              <w:bottom w:val="nil"/>
              <w:right w:val="nil"/>
            </w:tcBorders>
          </w:tcPr>
          <w:p w14:paraId="2B9994E9" w14:textId="77777777" w:rsidR="00C60062" w:rsidRPr="00774BD7" w:rsidRDefault="00C60062" w:rsidP="00F745D3">
            <w:pPr>
              <w:jc w:val="both"/>
            </w:pPr>
            <w:r w:rsidRPr="00774BD7">
              <w:t>54</w:t>
            </w:r>
          </w:p>
        </w:tc>
        <w:tc>
          <w:tcPr>
            <w:tcW w:w="708" w:type="dxa"/>
            <w:tcBorders>
              <w:top w:val="nil"/>
              <w:left w:val="nil"/>
              <w:bottom w:val="nil"/>
              <w:right w:val="nil"/>
            </w:tcBorders>
          </w:tcPr>
          <w:p w14:paraId="3DF28B42" w14:textId="77777777" w:rsidR="00C60062" w:rsidRPr="00774BD7" w:rsidRDefault="00C60062" w:rsidP="00F745D3">
            <w:pPr>
              <w:jc w:val="both"/>
            </w:pPr>
            <w:r w:rsidRPr="00774BD7">
              <w:t>32</w:t>
            </w:r>
          </w:p>
        </w:tc>
        <w:tc>
          <w:tcPr>
            <w:tcW w:w="993" w:type="dxa"/>
            <w:tcBorders>
              <w:top w:val="nil"/>
              <w:left w:val="nil"/>
              <w:bottom w:val="nil"/>
              <w:right w:val="nil"/>
            </w:tcBorders>
          </w:tcPr>
          <w:p w14:paraId="1CD529F0" w14:textId="77777777" w:rsidR="00C60062" w:rsidRPr="00774BD7" w:rsidRDefault="00C60062" w:rsidP="00F745D3">
            <w:pPr>
              <w:jc w:val="both"/>
            </w:pPr>
            <w:r w:rsidRPr="00774BD7">
              <w:t>3.90</w:t>
            </w:r>
          </w:p>
        </w:tc>
      </w:tr>
      <w:tr w:rsidR="00C60062" w:rsidRPr="00774BD7" w14:paraId="034470EF" w14:textId="77777777" w:rsidTr="00F745D3">
        <w:tc>
          <w:tcPr>
            <w:tcW w:w="5949" w:type="dxa"/>
            <w:tcBorders>
              <w:top w:val="nil"/>
              <w:left w:val="nil"/>
              <w:bottom w:val="nil"/>
              <w:right w:val="nil"/>
            </w:tcBorders>
          </w:tcPr>
          <w:p w14:paraId="4EC65D86" w14:textId="77777777" w:rsidR="00C60062" w:rsidRPr="00774BD7" w:rsidRDefault="00C60062" w:rsidP="00F745D3">
            <w:pPr>
              <w:jc w:val="both"/>
            </w:pPr>
            <w:r w:rsidRPr="00774BD7">
              <w:t>Posterior cingulate cortex</w:t>
            </w:r>
          </w:p>
        </w:tc>
        <w:tc>
          <w:tcPr>
            <w:tcW w:w="567" w:type="dxa"/>
            <w:tcBorders>
              <w:top w:val="nil"/>
              <w:left w:val="nil"/>
              <w:bottom w:val="nil"/>
              <w:right w:val="nil"/>
            </w:tcBorders>
          </w:tcPr>
          <w:p w14:paraId="2AFEC096" w14:textId="77777777" w:rsidR="00C60062" w:rsidRPr="00774BD7" w:rsidRDefault="00C60062" w:rsidP="00F745D3">
            <w:pPr>
              <w:jc w:val="both"/>
            </w:pPr>
            <w:r w:rsidRPr="00774BD7">
              <w:t>7</w:t>
            </w:r>
          </w:p>
        </w:tc>
        <w:tc>
          <w:tcPr>
            <w:tcW w:w="709" w:type="dxa"/>
            <w:tcBorders>
              <w:top w:val="nil"/>
              <w:left w:val="nil"/>
              <w:bottom w:val="nil"/>
              <w:right w:val="nil"/>
            </w:tcBorders>
          </w:tcPr>
          <w:p w14:paraId="0A2F0B58" w14:textId="77777777" w:rsidR="00C60062" w:rsidRPr="00774BD7" w:rsidRDefault="00C60062" w:rsidP="00F745D3">
            <w:pPr>
              <w:jc w:val="both"/>
            </w:pPr>
            <w:r w:rsidRPr="00774BD7">
              <w:t>-58</w:t>
            </w:r>
          </w:p>
        </w:tc>
        <w:tc>
          <w:tcPr>
            <w:tcW w:w="708" w:type="dxa"/>
            <w:tcBorders>
              <w:top w:val="nil"/>
              <w:left w:val="nil"/>
              <w:bottom w:val="nil"/>
              <w:right w:val="nil"/>
            </w:tcBorders>
          </w:tcPr>
          <w:p w14:paraId="49D2E212" w14:textId="77777777" w:rsidR="00C60062" w:rsidRPr="00774BD7" w:rsidRDefault="00C60062" w:rsidP="00F745D3">
            <w:pPr>
              <w:jc w:val="both"/>
            </w:pPr>
            <w:r w:rsidRPr="00774BD7">
              <w:t>17</w:t>
            </w:r>
          </w:p>
        </w:tc>
        <w:tc>
          <w:tcPr>
            <w:tcW w:w="993" w:type="dxa"/>
            <w:tcBorders>
              <w:top w:val="nil"/>
              <w:left w:val="nil"/>
              <w:bottom w:val="nil"/>
              <w:right w:val="nil"/>
            </w:tcBorders>
          </w:tcPr>
          <w:p w14:paraId="3A37A1BC" w14:textId="77777777" w:rsidR="00C60062" w:rsidRPr="00774BD7" w:rsidRDefault="00C60062" w:rsidP="00F745D3">
            <w:pPr>
              <w:jc w:val="both"/>
            </w:pPr>
            <w:r w:rsidRPr="00774BD7">
              <w:t>5.76</w:t>
            </w:r>
          </w:p>
        </w:tc>
      </w:tr>
      <w:tr w:rsidR="00C60062" w:rsidRPr="00774BD7" w14:paraId="505D5F95" w14:textId="77777777" w:rsidTr="00F745D3">
        <w:tc>
          <w:tcPr>
            <w:tcW w:w="5949" w:type="dxa"/>
            <w:tcBorders>
              <w:top w:val="nil"/>
              <w:left w:val="nil"/>
              <w:bottom w:val="nil"/>
              <w:right w:val="nil"/>
            </w:tcBorders>
          </w:tcPr>
          <w:p w14:paraId="73AD26CF" w14:textId="77777777" w:rsidR="00C60062" w:rsidRPr="00774BD7" w:rsidRDefault="00C60062" w:rsidP="00F745D3">
            <w:pPr>
              <w:jc w:val="both"/>
            </w:pPr>
            <w:r w:rsidRPr="00774BD7">
              <w:t>Anterior cingulate cortex</w:t>
            </w:r>
          </w:p>
        </w:tc>
        <w:tc>
          <w:tcPr>
            <w:tcW w:w="567" w:type="dxa"/>
            <w:tcBorders>
              <w:top w:val="nil"/>
              <w:left w:val="nil"/>
              <w:bottom w:val="nil"/>
              <w:right w:val="nil"/>
            </w:tcBorders>
          </w:tcPr>
          <w:p w14:paraId="54B6D6ED" w14:textId="77777777" w:rsidR="00C60062" w:rsidRPr="00774BD7" w:rsidRDefault="00C60062" w:rsidP="00F745D3">
            <w:pPr>
              <w:jc w:val="both"/>
            </w:pPr>
            <w:r w:rsidRPr="00774BD7">
              <w:t>2</w:t>
            </w:r>
          </w:p>
        </w:tc>
        <w:tc>
          <w:tcPr>
            <w:tcW w:w="709" w:type="dxa"/>
            <w:tcBorders>
              <w:top w:val="nil"/>
              <w:left w:val="nil"/>
              <w:bottom w:val="nil"/>
              <w:right w:val="nil"/>
            </w:tcBorders>
          </w:tcPr>
          <w:p w14:paraId="05601918" w14:textId="77777777" w:rsidR="00C60062" w:rsidRPr="00774BD7" w:rsidRDefault="00C60062" w:rsidP="00F745D3">
            <w:pPr>
              <w:jc w:val="both"/>
            </w:pPr>
            <w:r w:rsidRPr="00774BD7">
              <w:t>52</w:t>
            </w:r>
          </w:p>
        </w:tc>
        <w:tc>
          <w:tcPr>
            <w:tcW w:w="708" w:type="dxa"/>
            <w:tcBorders>
              <w:top w:val="nil"/>
              <w:left w:val="nil"/>
              <w:bottom w:val="nil"/>
              <w:right w:val="nil"/>
            </w:tcBorders>
          </w:tcPr>
          <w:p w14:paraId="52AF5CC6" w14:textId="77777777" w:rsidR="00C60062" w:rsidRPr="00774BD7" w:rsidRDefault="00C60062" w:rsidP="00F745D3">
            <w:pPr>
              <w:jc w:val="both"/>
            </w:pPr>
            <w:r w:rsidRPr="00774BD7">
              <w:t>-6</w:t>
            </w:r>
          </w:p>
        </w:tc>
        <w:tc>
          <w:tcPr>
            <w:tcW w:w="993" w:type="dxa"/>
            <w:tcBorders>
              <w:top w:val="nil"/>
              <w:left w:val="nil"/>
              <w:bottom w:val="nil"/>
              <w:right w:val="nil"/>
            </w:tcBorders>
          </w:tcPr>
          <w:p w14:paraId="2C86F478" w14:textId="77777777" w:rsidR="00C60062" w:rsidRPr="00774BD7" w:rsidRDefault="00C60062" w:rsidP="00F745D3">
            <w:pPr>
              <w:jc w:val="both"/>
            </w:pPr>
            <w:r w:rsidRPr="00774BD7">
              <w:t>7.33</w:t>
            </w:r>
          </w:p>
        </w:tc>
      </w:tr>
      <w:tr w:rsidR="00C60062" w:rsidRPr="00774BD7" w14:paraId="23521ECD" w14:textId="77777777" w:rsidTr="00F745D3">
        <w:tc>
          <w:tcPr>
            <w:tcW w:w="5949" w:type="dxa"/>
            <w:tcBorders>
              <w:top w:val="nil"/>
              <w:left w:val="nil"/>
              <w:bottom w:val="nil"/>
              <w:right w:val="nil"/>
            </w:tcBorders>
          </w:tcPr>
          <w:p w14:paraId="2928B59D" w14:textId="77777777" w:rsidR="00C60062" w:rsidRPr="00774BD7" w:rsidRDefault="00C60062" w:rsidP="00F745D3">
            <w:pPr>
              <w:jc w:val="both"/>
            </w:pPr>
            <w:r w:rsidRPr="00774BD7">
              <w:t>Left thalamus</w:t>
            </w:r>
          </w:p>
        </w:tc>
        <w:tc>
          <w:tcPr>
            <w:tcW w:w="567" w:type="dxa"/>
            <w:tcBorders>
              <w:top w:val="nil"/>
              <w:left w:val="nil"/>
              <w:bottom w:val="nil"/>
              <w:right w:val="nil"/>
            </w:tcBorders>
          </w:tcPr>
          <w:p w14:paraId="19CC23C0" w14:textId="77777777" w:rsidR="00C60062" w:rsidRPr="00774BD7" w:rsidRDefault="00C60062" w:rsidP="00F745D3">
            <w:pPr>
              <w:jc w:val="both"/>
            </w:pPr>
            <w:r w:rsidRPr="00774BD7">
              <w:t>-7</w:t>
            </w:r>
          </w:p>
        </w:tc>
        <w:tc>
          <w:tcPr>
            <w:tcW w:w="709" w:type="dxa"/>
            <w:tcBorders>
              <w:top w:val="nil"/>
              <w:left w:val="nil"/>
              <w:bottom w:val="nil"/>
              <w:right w:val="nil"/>
            </w:tcBorders>
          </w:tcPr>
          <w:p w14:paraId="47843CD0" w14:textId="77777777" w:rsidR="00C60062" w:rsidRPr="00774BD7" w:rsidRDefault="00C60062" w:rsidP="00F745D3">
            <w:pPr>
              <w:jc w:val="both"/>
            </w:pPr>
            <w:r w:rsidRPr="00774BD7">
              <w:t>-13</w:t>
            </w:r>
          </w:p>
        </w:tc>
        <w:tc>
          <w:tcPr>
            <w:tcW w:w="708" w:type="dxa"/>
            <w:tcBorders>
              <w:top w:val="nil"/>
              <w:left w:val="nil"/>
              <w:bottom w:val="nil"/>
              <w:right w:val="nil"/>
            </w:tcBorders>
          </w:tcPr>
          <w:p w14:paraId="371DDD04" w14:textId="77777777" w:rsidR="00C60062" w:rsidRPr="00774BD7" w:rsidRDefault="00C60062" w:rsidP="00F745D3">
            <w:pPr>
              <w:jc w:val="both"/>
            </w:pPr>
            <w:r w:rsidRPr="00774BD7">
              <w:t>2</w:t>
            </w:r>
          </w:p>
        </w:tc>
        <w:tc>
          <w:tcPr>
            <w:tcW w:w="993" w:type="dxa"/>
            <w:tcBorders>
              <w:top w:val="nil"/>
              <w:left w:val="nil"/>
              <w:bottom w:val="nil"/>
              <w:right w:val="nil"/>
            </w:tcBorders>
          </w:tcPr>
          <w:p w14:paraId="0FB4BA0C" w14:textId="77777777" w:rsidR="00C60062" w:rsidRPr="00774BD7" w:rsidRDefault="00C60062" w:rsidP="00F745D3">
            <w:pPr>
              <w:jc w:val="both"/>
            </w:pPr>
            <w:r w:rsidRPr="00774BD7">
              <w:t>6.65</w:t>
            </w:r>
          </w:p>
        </w:tc>
      </w:tr>
      <w:tr w:rsidR="00C60062" w:rsidRPr="00774BD7" w14:paraId="468880DD" w14:textId="77777777" w:rsidTr="00F745D3">
        <w:tc>
          <w:tcPr>
            <w:tcW w:w="5949" w:type="dxa"/>
            <w:tcBorders>
              <w:top w:val="nil"/>
              <w:left w:val="nil"/>
              <w:bottom w:val="nil"/>
              <w:right w:val="nil"/>
            </w:tcBorders>
          </w:tcPr>
          <w:p w14:paraId="20745A0B" w14:textId="77777777" w:rsidR="00C60062" w:rsidRPr="00774BD7" w:rsidRDefault="00C60062" w:rsidP="00F745D3">
            <w:pPr>
              <w:jc w:val="both"/>
            </w:pPr>
            <w:r w:rsidRPr="00774BD7">
              <w:t>Right thalamus</w:t>
            </w:r>
          </w:p>
        </w:tc>
        <w:tc>
          <w:tcPr>
            <w:tcW w:w="567" w:type="dxa"/>
            <w:tcBorders>
              <w:top w:val="nil"/>
              <w:left w:val="nil"/>
              <w:bottom w:val="nil"/>
              <w:right w:val="nil"/>
            </w:tcBorders>
          </w:tcPr>
          <w:p w14:paraId="2AAF1AFC" w14:textId="77777777" w:rsidR="00C60062" w:rsidRPr="00774BD7" w:rsidRDefault="00C60062" w:rsidP="00F745D3">
            <w:pPr>
              <w:jc w:val="both"/>
            </w:pPr>
            <w:r w:rsidRPr="00774BD7">
              <w:t>7</w:t>
            </w:r>
          </w:p>
        </w:tc>
        <w:tc>
          <w:tcPr>
            <w:tcW w:w="709" w:type="dxa"/>
            <w:tcBorders>
              <w:top w:val="nil"/>
              <w:left w:val="nil"/>
              <w:bottom w:val="nil"/>
              <w:right w:val="nil"/>
            </w:tcBorders>
          </w:tcPr>
          <w:p w14:paraId="1AAAF7DC" w14:textId="77777777" w:rsidR="00C60062" w:rsidRPr="00774BD7" w:rsidRDefault="00C60062" w:rsidP="00F745D3">
            <w:pPr>
              <w:jc w:val="both"/>
            </w:pPr>
            <w:r w:rsidRPr="00774BD7">
              <w:t>-11</w:t>
            </w:r>
          </w:p>
        </w:tc>
        <w:tc>
          <w:tcPr>
            <w:tcW w:w="708" w:type="dxa"/>
            <w:tcBorders>
              <w:top w:val="nil"/>
              <w:left w:val="nil"/>
              <w:bottom w:val="nil"/>
              <w:right w:val="nil"/>
            </w:tcBorders>
          </w:tcPr>
          <w:p w14:paraId="2BF3833F" w14:textId="77777777" w:rsidR="00C60062" w:rsidRPr="00774BD7" w:rsidRDefault="00C60062" w:rsidP="00F745D3">
            <w:pPr>
              <w:jc w:val="both"/>
            </w:pPr>
            <w:r w:rsidRPr="00774BD7">
              <w:t>0</w:t>
            </w:r>
          </w:p>
        </w:tc>
        <w:tc>
          <w:tcPr>
            <w:tcW w:w="993" w:type="dxa"/>
            <w:tcBorders>
              <w:top w:val="nil"/>
              <w:left w:val="nil"/>
              <w:bottom w:val="nil"/>
              <w:right w:val="nil"/>
            </w:tcBorders>
          </w:tcPr>
          <w:p w14:paraId="37FED6F0" w14:textId="77777777" w:rsidR="00C60062" w:rsidRPr="00774BD7" w:rsidRDefault="00C60062" w:rsidP="00F745D3">
            <w:pPr>
              <w:jc w:val="both"/>
            </w:pPr>
            <w:r w:rsidRPr="00774BD7">
              <w:t>7.42</w:t>
            </w:r>
          </w:p>
        </w:tc>
      </w:tr>
      <w:tr w:rsidR="00C60062" w:rsidRPr="00774BD7" w14:paraId="75F63CA0" w14:textId="77777777" w:rsidTr="00F745D3">
        <w:tc>
          <w:tcPr>
            <w:tcW w:w="5949" w:type="dxa"/>
            <w:tcBorders>
              <w:top w:val="nil"/>
              <w:left w:val="nil"/>
              <w:bottom w:val="nil"/>
              <w:right w:val="nil"/>
            </w:tcBorders>
          </w:tcPr>
          <w:p w14:paraId="7DC489A7" w14:textId="77777777" w:rsidR="00C60062" w:rsidRPr="00774BD7" w:rsidRDefault="00C60062" w:rsidP="00F745D3">
            <w:pPr>
              <w:jc w:val="both"/>
            </w:pPr>
            <w:r w:rsidRPr="00774BD7">
              <w:t>Left insula</w:t>
            </w:r>
          </w:p>
        </w:tc>
        <w:tc>
          <w:tcPr>
            <w:tcW w:w="567" w:type="dxa"/>
            <w:tcBorders>
              <w:top w:val="nil"/>
              <w:left w:val="nil"/>
              <w:bottom w:val="nil"/>
              <w:right w:val="nil"/>
            </w:tcBorders>
          </w:tcPr>
          <w:p w14:paraId="77E1D708" w14:textId="77777777" w:rsidR="00C60062" w:rsidRPr="00774BD7" w:rsidRDefault="00C60062" w:rsidP="00F745D3">
            <w:pPr>
              <w:jc w:val="both"/>
            </w:pPr>
            <w:r w:rsidRPr="00774BD7">
              <w:t>-48</w:t>
            </w:r>
          </w:p>
        </w:tc>
        <w:tc>
          <w:tcPr>
            <w:tcW w:w="709" w:type="dxa"/>
            <w:tcBorders>
              <w:top w:val="nil"/>
              <w:left w:val="nil"/>
              <w:bottom w:val="nil"/>
              <w:right w:val="nil"/>
            </w:tcBorders>
          </w:tcPr>
          <w:p w14:paraId="2E03486A" w14:textId="77777777" w:rsidR="00C60062" w:rsidRPr="00774BD7" w:rsidRDefault="00C60062" w:rsidP="00F745D3">
            <w:pPr>
              <w:jc w:val="both"/>
            </w:pPr>
            <w:r w:rsidRPr="00774BD7">
              <w:t>20</w:t>
            </w:r>
          </w:p>
        </w:tc>
        <w:tc>
          <w:tcPr>
            <w:tcW w:w="708" w:type="dxa"/>
            <w:tcBorders>
              <w:top w:val="nil"/>
              <w:left w:val="nil"/>
              <w:bottom w:val="nil"/>
              <w:right w:val="nil"/>
            </w:tcBorders>
          </w:tcPr>
          <w:p w14:paraId="4EFDE3BF" w14:textId="77777777" w:rsidR="00C60062" w:rsidRPr="00774BD7" w:rsidRDefault="00C60062" w:rsidP="00F745D3">
            <w:pPr>
              <w:jc w:val="both"/>
            </w:pPr>
            <w:r w:rsidRPr="00774BD7">
              <w:t>-12</w:t>
            </w:r>
          </w:p>
        </w:tc>
        <w:tc>
          <w:tcPr>
            <w:tcW w:w="993" w:type="dxa"/>
            <w:tcBorders>
              <w:top w:val="nil"/>
              <w:left w:val="nil"/>
              <w:bottom w:val="nil"/>
              <w:right w:val="nil"/>
            </w:tcBorders>
          </w:tcPr>
          <w:p w14:paraId="7D16FD09" w14:textId="77777777" w:rsidR="00C60062" w:rsidRPr="00774BD7" w:rsidRDefault="00C60062" w:rsidP="00F745D3">
            <w:pPr>
              <w:jc w:val="both"/>
            </w:pPr>
            <w:r w:rsidRPr="00774BD7">
              <w:t>7.50</w:t>
            </w:r>
          </w:p>
        </w:tc>
      </w:tr>
      <w:tr w:rsidR="00C60062" w:rsidRPr="00774BD7" w14:paraId="48E460B9" w14:textId="77777777" w:rsidTr="00F745D3">
        <w:tc>
          <w:tcPr>
            <w:tcW w:w="5949" w:type="dxa"/>
            <w:tcBorders>
              <w:top w:val="nil"/>
              <w:left w:val="nil"/>
              <w:bottom w:val="nil"/>
              <w:right w:val="nil"/>
            </w:tcBorders>
          </w:tcPr>
          <w:p w14:paraId="0280B7CC" w14:textId="77777777" w:rsidR="00C60062" w:rsidRPr="00774BD7" w:rsidRDefault="00C60062" w:rsidP="00F745D3">
            <w:pPr>
              <w:jc w:val="both"/>
            </w:pPr>
            <w:r w:rsidRPr="00774BD7">
              <w:t>Right insula</w:t>
            </w:r>
          </w:p>
        </w:tc>
        <w:tc>
          <w:tcPr>
            <w:tcW w:w="567" w:type="dxa"/>
            <w:tcBorders>
              <w:top w:val="nil"/>
              <w:left w:val="nil"/>
              <w:bottom w:val="nil"/>
              <w:right w:val="nil"/>
            </w:tcBorders>
          </w:tcPr>
          <w:p w14:paraId="1F17AF5B" w14:textId="77777777" w:rsidR="00C60062" w:rsidRPr="00774BD7" w:rsidRDefault="00C60062" w:rsidP="00F745D3">
            <w:pPr>
              <w:jc w:val="both"/>
            </w:pPr>
            <w:r w:rsidRPr="00774BD7">
              <w:t>45</w:t>
            </w:r>
          </w:p>
        </w:tc>
        <w:tc>
          <w:tcPr>
            <w:tcW w:w="709" w:type="dxa"/>
            <w:tcBorders>
              <w:top w:val="nil"/>
              <w:left w:val="nil"/>
              <w:bottom w:val="nil"/>
              <w:right w:val="nil"/>
            </w:tcBorders>
          </w:tcPr>
          <w:p w14:paraId="6AAEE9E9" w14:textId="77777777" w:rsidR="00C60062" w:rsidRPr="00774BD7" w:rsidRDefault="00C60062" w:rsidP="00F745D3">
            <w:pPr>
              <w:jc w:val="both"/>
            </w:pPr>
            <w:r w:rsidRPr="00774BD7">
              <w:t>22</w:t>
            </w:r>
          </w:p>
        </w:tc>
        <w:tc>
          <w:tcPr>
            <w:tcW w:w="708" w:type="dxa"/>
            <w:tcBorders>
              <w:top w:val="nil"/>
              <w:left w:val="nil"/>
              <w:bottom w:val="nil"/>
              <w:right w:val="nil"/>
            </w:tcBorders>
          </w:tcPr>
          <w:p w14:paraId="535074CC" w14:textId="77777777" w:rsidR="00C60062" w:rsidRPr="00774BD7" w:rsidRDefault="00C60062" w:rsidP="00F745D3">
            <w:pPr>
              <w:jc w:val="both"/>
            </w:pPr>
            <w:r w:rsidRPr="00774BD7">
              <w:t>-12</w:t>
            </w:r>
          </w:p>
        </w:tc>
        <w:tc>
          <w:tcPr>
            <w:tcW w:w="993" w:type="dxa"/>
            <w:tcBorders>
              <w:top w:val="nil"/>
              <w:left w:val="nil"/>
              <w:bottom w:val="nil"/>
              <w:right w:val="nil"/>
            </w:tcBorders>
          </w:tcPr>
          <w:p w14:paraId="509D9831" w14:textId="77777777" w:rsidR="00C60062" w:rsidRPr="00774BD7" w:rsidRDefault="00C60062" w:rsidP="00F745D3">
            <w:pPr>
              <w:jc w:val="both"/>
            </w:pPr>
            <w:r w:rsidRPr="00774BD7">
              <w:t>6.94</w:t>
            </w:r>
          </w:p>
        </w:tc>
      </w:tr>
      <w:tr w:rsidR="00C60062" w:rsidRPr="00774BD7" w14:paraId="3067310D" w14:textId="77777777" w:rsidTr="00F745D3">
        <w:tc>
          <w:tcPr>
            <w:tcW w:w="5949" w:type="dxa"/>
            <w:tcBorders>
              <w:top w:val="nil"/>
              <w:left w:val="nil"/>
              <w:bottom w:val="nil"/>
              <w:right w:val="nil"/>
            </w:tcBorders>
          </w:tcPr>
          <w:p w14:paraId="7C5F79A3" w14:textId="77777777" w:rsidR="00C60062" w:rsidRPr="00774BD7" w:rsidRDefault="00C60062" w:rsidP="00F745D3">
            <w:pPr>
              <w:jc w:val="both"/>
            </w:pPr>
            <w:r w:rsidRPr="00774BD7">
              <w:t>Left hippocampus</w:t>
            </w:r>
          </w:p>
        </w:tc>
        <w:tc>
          <w:tcPr>
            <w:tcW w:w="567" w:type="dxa"/>
            <w:tcBorders>
              <w:top w:val="nil"/>
              <w:left w:val="nil"/>
              <w:bottom w:val="nil"/>
              <w:right w:val="nil"/>
            </w:tcBorders>
          </w:tcPr>
          <w:p w14:paraId="75CA59A6" w14:textId="77777777" w:rsidR="00C60062" w:rsidRPr="00774BD7" w:rsidRDefault="00C60062" w:rsidP="00F745D3">
            <w:pPr>
              <w:jc w:val="both"/>
            </w:pPr>
            <w:r w:rsidRPr="00774BD7">
              <w:t>-22</w:t>
            </w:r>
          </w:p>
        </w:tc>
        <w:tc>
          <w:tcPr>
            <w:tcW w:w="709" w:type="dxa"/>
            <w:tcBorders>
              <w:top w:val="nil"/>
              <w:left w:val="nil"/>
              <w:bottom w:val="nil"/>
              <w:right w:val="nil"/>
            </w:tcBorders>
          </w:tcPr>
          <w:p w14:paraId="6EDE23D2" w14:textId="77777777" w:rsidR="00C60062" w:rsidRPr="00774BD7" w:rsidRDefault="00C60062" w:rsidP="00F745D3">
            <w:pPr>
              <w:jc w:val="both"/>
            </w:pPr>
            <w:r w:rsidRPr="00774BD7">
              <w:t>-26</w:t>
            </w:r>
          </w:p>
        </w:tc>
        <w:tc>
          <w:tcPr>
            <w:tcW w:w="708" w:type="dxa"/>
            <w:tcBorders>
              <w:top w:val="nil"/>
              <w:left w:val="nil"/>
              <w:bottom w:val="nil"/>
              <w:right w:val="nil"/>
            </w:tcBorders>
          </w:tcPr>
          <w:p w14:paraId="5B112C7E" w14:textId="77777777" w:rsidR="00C60062" w:rsidRPr="00774BD7" w:rsidRDefault="00C60062" w:rsidP="00F745D3">
            <w:pPr>
              <w:jc w:val="both"/>
            </w:pPr>
            <w:r w:rsidRPr="00774BD7">
              <w:t>-12</w:t>
            </w:r>
          </w:p>
        </w:tc>
        <w:tc>
          <w:tcPr>
            <w:tcW w:w="993" w:type="dxa"/>
            <w:tcBorders>
              <w:top w:val="nil"/>
              <w:left w:val="nil"/>
              <w:bottom w:val="nil"/>
              <w:right w:val="nil"/>
            </w:tcBorders>
          </w:tcPr>
          <w:p w14:paraId="3CE4CBB2" w14:textId="77777777" w:rsidR="00C60062" w:rsidRPr="00774BD7" w:rsidRDefault="00C60062" w:rsidP="00F745D3">
            <w:pPr>
              <w:jc w:val="both"/>
            </w:pPr>
            <w:r w:rsidRPr="00774BD7">
              <w:t>8.01</w:t>
            </w:r>
          </w:p>
        </w:tc>
      </w:tr>
      <w:tr w:rsidR="00C60062" w:rsidRPr="00774BD7" w14:paraId="33B6B41C" w14:textId="77777777" w:rsidTr="00F745D3">
        <w:tc>
          <w:tcPr>
            <w:tcW w:w="5949" w:type="dxa"/>
            <w:tcBorders>
              <w:top w:val="nil"/>
              <w:left w:val="nil"/>
              <w:bottom w:val="nil"/>
              <w:right w:val="nil"/>
            </w:tcBorders>
          </w:tcPr>
          <w:p w14:paraId="01D17AD8" w14:textId="77777777" w:rsidR="00C60062" w:rsidRPr="00774BD7" w:rsidRDefault="00C60062" w:rsidP="00F745D3">
            <w:pPr>
              <w:jc w:val="both"/>
            </w:pPr>
            <w:r w:rsidRPr="00774BD7">
              <w:t>Right hippocampus</w:t>
            </w:r>
          </w:p>
        </w:tc>
        <w:tc>
          <w:tcPr>
            <w:tcW w:w="567" w:type="dxa"/>
            <w:tcBorders>
              <w:top w:val="nil"/>
              <w:left w:val="nil"/>
              <w:bottom w:val="nil"/>
              <w:right w:val="nil"/>
            </w:tcBorders>
          </w:tcPr>
          <w:p w14:paraId="5C627002" w14:textId="77777777" w:rsidR="00C60062" w:rsidRPr="00774BD7" w:rsidRDefault="00C60062" w:rsidP="00F745D3">
            <w:pPr>
              <w:jc w:val="both"/>
            </w:pPr>
            <w:r w:rsidRPr="00774BD7">
              <w:t>29</w:t>
            </w:r>
          </w:p>
        </w:tc>
        <w:tc>
          <w:tcPr>
            <w:tcW w:w="709" w:type="dxa"/>
            <w:tcBorders>
              <w:top w:val="nil"/>
              <w:left w:val="nil"/>
              <w:bottom w:val="nil"/>
              <w:right w:val="nil"/>
            </w:tcBorders>
          </w:tcPr>
          <w:p w14:paraId="476FD7C4" w14:textId="77777777" w:rsidR="00C60062" w:rsidRPr="00774BD7" w:rsidRDefault="00C60062" w:rsidP="00F745D3">
            <w:pPr>
              <w:jc w:val="both"/>
            </w:pPr>
            <w:r w:rsidRPr="00774BD7">
              <w:t>-26</w:t>
            </w:r>
          </w:p>
        </w:tc>
        <w:tc>
          <w:tcPr>
            <w:tcW w:w="708" w:type="dxa"/>
            <w:tcBorders>
              <w:top w:val="nil"/>
              <w:left w:val="nil"/>
              <w:bottom w:val="nil"/>
              <w:right w:val="nil"/>
            </w:tcBorders>
          </w:tcPr>
          <w:p w14:paraId="28B55F48" w14:textId="77777777" w:rsidR="00C60062" w:rsidRPr="00774BD7" w:rsidRDefault="00C60062" w:rsidP="00F745D3">
            <w:pPr>
              <w:jc w:val="both"/>
            </w:pPr>
            <w:r w:rsidRPr="00774BD7">
              <w:t>-20</w:t>
            </w:r>
          </w:p>
        </w:tc>
        <w:tc>
          <w:tcPr>
            <w:tcW w:w="993" w:type="dxa"/>
            <w:tcBorders>
              <w:top w:val="nil"/>
              <w:left w:val="nil"/>
              <w:bottom w:val="nil"/>
              <w:right w:val="nil"/>
            </w:tcBorders>
          </w:tcPr>
          <w:p w14:paraId="51152845" w14:textId="77777777" w:rsidR="00C60062" w:rsidRPr="00774BD7" w:rsidRDefault="00C60062" w:rsidP="00F745D3">
            <w:pPr>
              <w:jc w:val="both"/>
            </w:pPr>
            <w:r w:rsidRPr="00774BD7">
              <w:t>8.25</w:t>
            </w:r>
          </w:p>
        </w:tc>
      </w:tr>
      <w:tr w:rsidR="00C60062" w:rsidRPr="00774BD7" w14:paraId="18B08974" w14:textId="77777777" w:rsidTr="00F745D3">
        <w:tc>
          <w:tcPr>
            <w:tcW w:w="5949" w:type="dxa"/>
            <w:tcBorders>
              <w:top w:val="nil"/>
              <w:left w:val="nil"/>
              <w:bottom w:val="nil"/>
              <w:right w:val="nil"/>
            </w:tcBorders>
          </w:tcPr>
          <w:p w14:paraId="0328763C" w14:textId="77777777" w:rsidR="00C60062" w:rsidRPr="00774BD7" w:rsidRDefault="00C60062" w:rsidP="00F745D3">
            <w:pPr>
              <w:jc w:val="both"/>
            </w:pPr>
            <w:r w:rsidRPr="00774BD7">
              <w:t>Left medial temporal lobe</w:t>
            </w:r>
          </w:p>
        </w:tc>
        <w:tc>
          <w:tcPr>
            <w:tcW w:w="567" w:type="dxa"/>
            <w:tcBorders>
              <w:top w:val="nil"/>
              <w:left w:val="nil"/>
              <w:bottom w:val="nil"/>
              <w:right w:val="nil"/>
            </w:tcBorders>
          </w:tcPr>
          <w:p w14:paraId="424C8A07" w14:textId="77777777" w:rsidR="00C60062" w:rsidRPr="00774BD7" w:rsidRDefault="00C60062" w:rsidP="00F745D3">
            <w:pPr>
              <w:jc w:val="both"/>
            </w:pPr>
            <w:r w:rsidRPr="00774BD7">
              <w:t>-53</w:t>
            </w:r>
          </w:p>
        </w:tc>
        <w:tc>
          <w:tcPr>
            <w:tcW w:w="709" w:type="dxa"/>
            <w:tcBorders>
              <w:top w:val="nil"/>
              <w:left w:val="nil"/>
              <w:bottom w:val="nil"/>
              <w:right w:val="nil"/>
            </w:tcBorders>
          </w:tcPr>
          <w:p w14:paraId="0D580B29" w14:textId="77777777" w:rsidR="00C60062" w:rsidRPr="00774BD7" w:rsidRDefault="00C60062" w:rsidP="00F745D3">
            <w:pPr>
              <w:jc w:val="both"/>
            </w:pPr>
            <w:r w:rsidRPr="00774BD7">
              <w:t>1</w:t>
            </w:r>
          </w:p>
        </w:tc>
        <w:tc>
          <w:tcPr>
            <w:tcW w:w="708" w:type="dxa"/>
            <w:tcBorders>
              <w:top w:val="nil"/>
              <w:left w:val="nil"/>
              <w:bottom w:val="nil"/>
              <w:right w:val="nil"/>
            </w:tcBorders>
          </w:tcPr>
          <w:p w14:paraId="05B0DB7F" w14:textId="77777777" w:rsidR="00C60062" w:rsidRPr="00774BD7" w:rsidRDefault="00C60062" w:rsidP="00F745D3">
            <w:pPr>
              <w:jc w:val="both"/>
            </w:pPr>
            <w:r w:rsidRPr="00774BD7">
              <w:t>-25</w:t>
            </w:r>
          </w:p>
        </w:tc>
        <w:tc>
          <w:tcPr>
            <w:tcW w:w="993" w:type="dxa"/>
            <w:tcBorders>
              <w:top w:val="nil"/>
              <w:left w:val="nil"/>
              <w:bottom w:val="nil"/>
              <w:right w:val="nil"/>
            </w:tcBorders>
          </w:tcPr>
          <w:p w14:paraId="6CE14211" w14:textId="77777777" w:rsidR="00C60062" w:rsidRPr="00774BD7" w:rsidRDefault="00C60062" w:rsidP="00F745D3">
            <w:pPr>
              <w:jc w:val="both"/>
            </w:pPr>
            <w:r w:rsidRPr="00774BD7">
              <w:t>6.71</w:t>
            </w:r>
          </w:p>
        </w:tc>
      </w:tr>
      <w:tr w:rsidR="00C60062" w:rsidRPr="00774BD7" w14:paraId="54F6BE20" w14:textId="77777777" w:rsidTr="00F745D3">
        <w:tc>
          <w:tcPr>
            <w:tcW w:w="5949" w:type="dxa"/>
            <w:tcBorders>
              <w:top w:val="nil"/>
              <w:left w:val="nil"/>
              <w:bottom w:val="nil"/>
              <w:right w:val="nil"/>
            </w:tcBorders>
          </w:tcPr>
          <w:p w14:paraId="4795E39C" w14:textId="77777777" w:rsidR="00C60062" w:rsidRPr="00774BD7" w:rsidRDefault="00C60062" w:rsidP="00F745D3">
            <w:pPr>
              <w:jc w:val="both"/>
            </w:pPr>
            <w:r w:rsidRPr="00774BD7">
              <w:t>Right medial temporal lobe</w:t>
            </w:r>
          </w:p>
        </w:tc>
        <w:tc>
          <w:tcPr>
            <w:tcW w:w="567" w:type="dxa"/>
            <w:tcBorders>
              <w:top w:val="nil"/>
              <w:left w:val="nil"/>
              <w:bottom w:val="nil"/>
              <w:right w:val="nil"/>
            </w:tcBorders>
          </w:tcPr>
          <w:p w14:paraId="5C49A18D" w14:textId="77777777" w:rsidR="00C60062" w:rsidRPr="00774BD7" w:rsidRDefault="00C60062" w:rsidP="00F745D3">
            <w:pPr>
              <w:jc w:val="both"/>
            </w:pPr>
            <w:r w:rsidRPr="00774BD7">
              <w:t>54</w:t>
            </w:r>
          </w:p>
        </w:tc>
        <w:tc>
          <w:tcPr>
            <w:tcW w:w="709" w:type="dxa"/>
            <w:tcBorders>
              <w:top w:val="nil"/>
              <w:left w:val="nil"/>
              <w:bottom w:val="nil"/>
              <w:right w:val="nil"/>
            </w:tcBorders>
          </w:tcPr>
          <w:p w14:paraId="0FC77BD0" w14:textId="77777777" w:rsidR="00C60062" w:rsidRPr="00774BD7" w:rsidRDefault="00C60062" w:rsidP="00F745D3">
            <w:pPr>
              <w:jc w:val="both"/>
            </w:pPr>
            <w:r w:rsidRPr="00774BD7">
              <w:t>-5</w:t>
            </w:r>
          </w:p>
        </w:tc>
        <w:tc>
          <w:tcPr>
            <w:tcW w:w="708" w:type="dxa"/>
            <w:tcBorders>
              <w:top w:val="nil"/>
              <w:left w:val="nil"/>
              <w:bottom w:val="nil"/>
              <w:right w:val="nil"/>
            </w:tcBorders>
          </w:tcPr>
          <w:p w14:paraId="72E58904" w14:textId="77777777" w:rsidR="00C60062" w:rsidRPr="00774BD7" w:rsidRDefault="00C60062" w:rsidP="00F745D3">
            <w:pPr>
              <w:jc w:val="both"/>
            </w:pPr>
            <w:r w:rsidRPr="00774BD7">
              <w:t>-16</w:t>
            </w:r>
          </w:p>
        </w:tc>
        <w:tc>
          <w:tcPr>
            <w:tcW w:w="993" w:type="dxa"/>
            <w:tcBorders>
              <w:top w:val="nil"/>
              <w:left w:val="nil"/>
              <w:bottom w:val="nil"/>
              <w:right w:val="nil"/>
            </w:tcBorders>
          </w:tcPr>
          <w:p w14:paraId="6AC64FF8" w14:textId="77777777" w:rsidR="00C60062" w:rsidRPr="00774BD7" w:rsidRDefault="00C60062" w:rsidP="00F745D3">
            <w:pPr>
              <w:jc w:val="both"/>
            </w:pPr>
            <w:r w:rsidRPr="00774BD7">
              <w:t>7.51</w:t>
            </w:r>
          </w:p>
        </w:tc>
      </w:tr>
      <w:tr w:rsidR="00C60062" w:rsidRPr="00774BD7" w14:paraId="5AE66765" w14:textId="77777777" w:rsidTr="00F745D3">
        <w:tc>
          <w:tcPr>
            <w:tcW w:w="5949" w:type="dxa"/>
            <w:tcBorders>
              <w:top w:val="nil"/>
              <w:left w:val="nil"/>
              <w:bottom w:val="nil"/>
              <w:right w:val="nil"/>
            </w:tcBorders>
          </w:tcPr>
          <w:p w14:paraId="18E8B429" w14:textId="77777777" w:rsidR="00C60062" w:rsidRPr="00774BD7" w:rsidRDefault="00C60062" w:rsidP="00F745D3">
            <w:pPr>
              <w:jc w:val="both"/>
            </w:pPr>
            <w:r w:rsidRPr="00774BD7">
              <w:t>Left lateral occipital cortex</w:t>
            </w:r>
          </w:p>
        </w:tc>
        <w:tc>
          <w:tcPr>
            <w:tcW w:w="567" w:type="dxa"/>
            <w:tcBorders>
              <w:top w:val="nil"/>
              <w:left w:val="nil"/>
              <w:bottom w:val="nil"/>
              <w:right w:val="nil"/>
            </w:tcBorders>
          </w:tcPr>
          <w:p w14:paraId="325436E7" w14:textId="77777777" w:rsidR="00C60062" w:rsidRPr="00774BD7" w:rsidRDefault="00C60062" w:rsidP="00F745D3">
            <w:pPr>
              <w:jc w:val="both"/>
            </w:pPr>
            <w:r w:rsidRPr="00774BD7">
              <w:t>-58</w:t>
            </w:r>
          </w:p>
        </w:tc>
        <w:tc>
          <w:tcPr>
            <w:tcW w:w="709" w:type="dxa"/>
            <w:tcBorders>
              <w:top w:val="nil"/>
              <w:left w:val="nil"/>
              <w:bottom w:val="nil"/>
              <w:right w:val="nil"/>
            </w:tcBorders>
          </w:tcPr>
          <w:p w14:paraId="63CB039F" w14:textId="77777777" w:rsidR="00C60062" w:rsidRPr="00774BD7" w:rsidRDefault="00C60062" w:rsidP="00F745D3">
            <w:pPr>
              <w:jc w:val="both"/>
            </w:pPr>
            <w:r w:rsidRPr="00774BD7">
              <w:t>-22</w:t>
            </w:r>
          </w:p>
        </w:tc>
        <w:tc>
          <w:tcPr>
            <w:tcW w:w="708" w:type="dxa"/>
            <w:tcBorders>
              <w:top w:val="nil"/>
              <w:left w:val="nil"/>
              <w:bottom w:val="nil"/>
              <w:right w:val="nil"/>
            </w:tcBorders>
          </w:tcPr>
          <w:p w14:paraId="7E56E471" w14:textId="77777777" w:rsidR="00C60062" w:rsidRPr="00774BD7" w:rsidRDefault="00C60062" w:rsidP="00F745D3">
            <w:pPr>
              <w:jc w:val="both"/>
            </w:pPr>
            <w:r w:rsidRPr="00774BD7">
              <w:t>-9</w:t>
            </w:r>
          </w:p>
        </w:tc>
        <w:tc>
          <w:tcPr>
            <w:tcW w:w="993" w:type="dxa"/>
            <w:tcBorders>
              <w:top w:val="nil"/>
              <w:left w:val="nil"/>
              <w:bottom w:val="nil"/>
              <w:right w:val="nil"/>
            </w:tcBorders>
          </w:tcPr>
          <w:p w14:paraId="6686C2A7" w14:textId="77777777" w:rsidR="00C60062" w:rsidRPr="00774BD7" w:rsidRDefault="00C60062" w:rsidP="00F745D3">
            <w:pPr>
              <w:jc w:val="both"/>
            </w:pPr>
            <w:r w:rsidRPr="00774BD7">
              <w:t>7.04</w:t>
            </w:r>
          </w:p>
        </w:tc>
      </w:tr>
      <w:tr w:rsidR="00C60062" w:rsidRPr="00774BD7" w14:paraId="05597962" w14:textId="77777777" w:rsidTr="00F745D3">
        <w:tc>
          <w:tcPr>
            <w:tcW w:w="5949" w:type="dxa"/>
            <w:tcBorders>
              <w:top w:val="nil"/>
              <w:left w:val="nil"/>
              <w:bottom w:val="nil"/>
              <w:right w:val="nil"/>
            </w:tcBorders>
          </w:tcPr>
          <w:p w14:paraId="541968A7" w14:textId="77777777" w:rsidR="00C60062" w:rsidRPr="00774BD7" w:rsidRDefault="00C60062" w:rsidP="00F745D3">
            <w:pPr>
              <w:jc w:val="both"/>
            </w:pPr>
            <w:r w:rsidRPr="00774BD7">
              <w:t>Right lateral occipital cortex</w:t>
            </w:r>
          </w:p>
        </w:tc>
        <w:tc>
          <w:tcPr>
            <w:tcW w:w="567" w:type="dxa"/>
            <w:tcBorders>
              <w:top w:val="nil"/>
              <w:left w:val="nil"/>
              <w:bottom w:val="nil"/>
              <w:right w:val="nil"/>
            </w:tcBorders>
          </w:tcPr>
          <w:p w14:paraId="6DD0BC23" w14:textId="77777777" w:rsidR="00C60062" w:rsidRPr="00774BD7" w:rsidRDefault="00C60062" w:rsidP="00F745D3">
            <w:pPr>
              <w:jc w:val="both"/>
            </w:pPr>
            <w:r w:rsidRPr="00774BD7">
              <w:t>60</w:t>
            </w:r>
          </w:p>
        </w:tc>
        <w:tc>
          <w:tcPr>
            <w:tcW w:w="709" w:type="dxa"/>
            <w:tcBorders>
              <w:top w:val="nil"/>
              <w:left w:val="nil"/>
              <w:bottom w:val="nil"/>
              <w:right w:val="nil"/>
            </w:tcBorders>
          </w:tcPr>
          <w:p w14:paraId="7BCE7303" w14:textId="77777777" w:rsidR="00C60062" w:rsidRPr="00774BD7" w:rsidRDefault="00C60062" w:rsidP="00F745D3">
            <w:pPr>
              <w:jc w:val="both"/>
            </w:pPr>
            <w:r w:rsidRPr="00774BD7">
              <w:t>-29</w:t>
            </w:r>
          </w:p>
        </w:tc>
        <w:tc>
          <w:tcPr>
            <w:tcW w:w="708" w:type="dxa"/>
            <w:tcBorders>
              <w:top w:val="nil"/>
              <w:left w:val="nil"/>
              <w:bottom w:val="nil"/>
              <w:right w:val="nil"/>
            </w:tcBorders>
          </w:tcPr>
          <w:p w14:paraId="3A1F344C" w14:textId="77777777" w:rsidR="00C60062" w:rsidRPr="00774BD7" w:rsidRDefault="00C60062" w:rsidP="00F745D3">
            <w:pPr>
              <w:jc w:val="both"/>
            </w:pPr>
            <w:r w:rsidRPr="00774BD7">
              <w:t>-5</w:t>
            </w:r>
          </w:p>
        </w:tc>
        <w:tc>
          <w:tcPr>
            <w:tcW w:w="993" w:type="dxa"/>
            <w:tcBorders>
              <w:top w:val="nil"/>
              <w:left w:val="nil"/>
              <w:bottom w:val="nil"/>
              <w:right w:val="nil"/>
            </w:tcBorders>
          </w:tcPr>
          <w:p w14:paraId="5A262B56" w14:textId="77777777" w:rsidR="00C60062" w:rsidRPr="00774BD7" w:rsidRDefault="00C60062" w:rsidP="00F745D3">
            <w:pPr>
              <w:jc w:val="both"/>
            </w:pPr>
            <w:r w:rsidRPr="00774BD7">
              <w:t>6.73</w:t>
            </w:r>
          </w:p>
        </w:tc>
      </w:tr>
      <w:tr w:rsidR="00C60062" w:rsidRPr="00774BD7" w14:paraId="5BF892B0" w14:textId="77777777" w:rsidTr="00F745D3">
        <w:tc>
          <w:tcPr>
            <w:tcW w:w="5949" w:type="dxa"/>
            <w:tcBorders>
              <w:top w:val="nil"/>
              <w:left w:val="nil"/>
              <w:bottom w:val="nil"/>
              <w:right w:val="nil"/>
            </w:tcBorders>
          </w:tcPr>
          <w:p w14:paraId="549250BC" w14:textId="77777777" w:rsidR="00C60062" w:rsidRPr="00774BD7" w:rsidRDefault="00C60062" w:rsidP="00F745D3">
            <w:pPr>
              <w:jc w:val="both"/>
            </w:pPr>
            <w:r w:rsidRPr="00774BD7">
              <w:t xml:space="preserve">Left nucleus basalis of </w:t>
            </w:r>
            <w:proofErr w:type="spellStart"/>
            <w:r w:rsidRPr="00774BD7">
              <w:t>Meynert</w:t>
            </w:r>
            <w:proofErr w:type="spellEnd"/>
          </w:p>
        </w:tc>
        <w:tc>
          <w:tcPr>
            <w:tcW w:w="567" w:type="dxa"/>
            <w:tcBorders>
              <w:top w:val="nil"/>
              <w:left w:val="nil"/>
              <w:bottom w:val="nil"/>
              <w:right w:val="nil"/>
            </w:tcBorders>
          </w:tcPr>
          <w:p w14:paraId="0C30159D" w14:textId="77777777" w:rsidR="00C60062" w:rsidRPr="00774BD7" w:rsidRDefault="00C60062" w:rsidP="00F745D3">
            <w:pPr>
              <w:jc w:val="both"/>
            </w:pPr>
            <w:r w:rsidRPr="00774BD7">
              <w:t>-21</w:t>
            </w:r>
          </w:p>
        </w:tc>
        <w:tc>
          <w:tcPr>
            <w:tcW w:w="709" w:type="dxa"/>
            <w:tcBorders>
              <w:top w:val="nil"/>
              <w:left w:val="nil"/>
              <w:bottom w:val="nil"/>
              <w:right w:val="nil"/>
            </w:tcBorders>
          </w:tcPr>
          <w:p w14:paraId="2BB9EF4B" w14:textId="77777777" w:rsidR="00C60062" w:rsidRPr="00774BD7" w:rsidRDefault="00C60062" w:rsidP="00F745D3">
            <w:pPr>
              <w:jc w:val="both"/>
            </w:pPr>
            <w:r w:rsidRPr="00774BD7">
              <w:t>-1</w:t>
            </w:r>
          </w:p>
        </w:tc>
        <w:tc>
          <w:tcPr>
            <w:tcW w:w="708" w:type="dxa"/>
            <w:tcBorders>
              <w:top w:val="nil"/>
              <w:left w:val="nil"/>
              <w:bottom w:val="nil"/>
              <w:right w:val="nil"/>
            </w:tcBorders>
          </w:tcPr>
          <w:p w14:paraId="171DE01F" w14:textId="77777777" w:rsidR="00C60062" w:rsidRPr="00774BD7" w:rsidRDefault="00C60062" w:rsidP="00F745D3">
            <w:pPr>
              <w:jc w:val="both"/>
            </w:pPr>
            <w:r w:rsidRPr="00774BD7">
              <w:t>-19</w:t>
            </w:r>
          </w:p>
        </w:tc>
        <w:tc>
          <w:tcPr>
            <w:tcW w:w="993" w:type="dxa"/>
            <w:tcBorders>
              <w:top w:val="nil"/>
              <w:left w:val="nil"/>
              <w:bottom w:val="nil"/>
              <w:right w:val="nil"/>
            </w:tcBorders>
          </w:tcPr>
          <w:p w14:paraId="702BD0DD" w14:textId="77777777" w:rsidR="00C60062" w:rsidRPr="00774BD7" w:rsidRDefault="00C60062" w:rsidP="00F745D3">
            <w:pPr>
              <w:jc w:val="both"/>
            </w:pPr>
            <w:r w:rsidRPr="00774BD7">
              <w:t>11.97</w:t>
            </w:r>
          </w:p>
        </w:tc>
      </w:tr>
      <w:tr w:rsidR="00C60062" w:rsidRPr="00774BD7" w14:paraId="0706930B" w14:textId="77777777" w:rsidTr="00F745D3">
        <w:tc>
          <w:tcPr>
            <w:tcW w:w="5949" w:type="dxa"/>
            <w:tcBorders>
              <w:top w:val="nil"/>
              <w:left w:val="nil"/>
              <w:bottom w:val="single" w:sz="18" w:space="0" w:color="auto"/>
              <w:right w:val="nil"/>
            </w:tcBorders>
          </w:tcPr>
          <w:p w14:paraId="6A20530F" w14:textId="77777777" w:rsidR="00C60062" w:rsidRPr="00774BD7" w:rsidRDefault="00C60062" w:rsidP="00F745D3">
            <w:pPr>
              <w:jc w:val="both"/>
            </w:pPr>
            <w:r w:rsidRPr="00774BD7">
              <w:t xml:space="preserve">Right nucleus basalis of </w:t>
            </w:r>
            <w:proofErr w:type="spellStart"/>
            <w:r w:rsidRPr="00774BD7">
              <w:t>Meynert</w:t>
            </w:r>
            <w:proofErr w:type="spellEnd"/>
          </w:p>
        </w:tc>
        <w:tc>
          <w:tcPr>
            <w:tcW w:w="567" w:type="dxa"/>
            <w:tcBorders>
              <w:top w:val="nil"/>
              <w:left w:val="nil"/>
              <w:bottom w:val="single" w:sz="18" w:space="0" w:color="auto"/>
              <w:right w:val="nil"/>
            </w:tcBorders>
          </w:tcPr>
          <w:p w14:paraId="751F6094" w14:textId="77777777" w:rsidR="00C60062" w:rsidRPr="00774BD7" w:rsidRDefault="00C60062" w:rsidP="00F745D3">
            <w:pPr>
              <w:jc w:val="both"/>
            </w:pPr>
            <w:r w:rsidRPr="00774BD7">
              <w:t>17</w:t>
            </w:r>
          </w:p>
        </w:tc>
        <w:tc>
          <w:tcPr>
            <w:tcW w:w="709" w:type="dxa"/>
            <w:tcBorders>
              <w:top w:val="nil"/>
              <w:left w:val="nil"/>
              <w:bottom w:val="single" w:sz="18" w:space="0" w:color="auto"/>
              <w:right w:val="nil"/>
            </w:tcBorders>
          </w:tcPr>
          <w:p w14:paraId="4FC910D1" w14:textId="77777777" w:rsidR="00C60062" w:rsidRPr="00774BD7" w:rsidRDefault="00C60062" w:rsidP="00F745D3">
            <w:pPr>
              <w:jc w:val="both"/>
            </w:pPr>
            <w:r w:rsidRPr="00774BD7">
              <w:t>-1</w:t>
            </w:r>
          </w:p>
        </w:tc>
        <w:tc>
          <w:tcPr>
            <w:tcW w:w="708" w:type="dxa"/>
            <w:tcBorders>
              <w:top w:val="nil"/>
              <w:left w:val="nil"/>
              <w:bottom w:val="single" w:sz="18" w:space="0" w:color="auto"/>
              <w:right w:val="nil"/>
            </w:tcBorders>
          </w:tcPr>
          <w:p w14:paraId="6F96EFEC" w14:textId="77777777" w:rsidR="00C60062" w:rsidRPr="00774BD7" w:rsidRDefault="00C60062" w:rsidP="00F745D3">
            <w:pPr>
              <w:jc w:val="both"/>
            </w:pPr>
            <w:r w:rsidRPr="00774BD7">
              <w:t>-17</w:t>
            </w:r>
          </w:p>
        </w:tc>
        <w:tc>
          <w:tcPr>
            <w:tcW w:w="993" w:type="dxa"/>
            <w:tcBorders>
              <w:top w:val="nil"/>
              <w:left w:val="nil"/>
              <w:bottom w:val="single" w:sz="18" w:space="0" w:color="auto"/>
              <w:right w:val="nil"/>
            </w:tcBorders>
          </w:tcPr>
          <w:p w14:paraId="0C7F3450" w14:textId="77777777" w:rsidR="00C60062" w:rsidRPr="00774BD7" w:rsidRDefault="00C60062" w:rsidP="00F745D3">
            <w:pPr>
              <w:jc w:val="both"/>
            </w:pPr>
            <w:r w:rsidRPr="00774BD7">
              <w:t>10.77</w:t>
            </w:r>
          </w:p>
        </w:tc>
      </w:tr>
    </w:tbl>
    <w:p w14:paraId="4332DC18" w14:textId="77777777" w:rsidR="00C60062" w:rsidRDefault="00C60062"/>
    <w:p w14:paraId="563410AB" w14:textId="77777777" w:rsidR="00C60062" w:rsidRDefault="00C60062"/>
    <w:p w14:paraId="0C91A7EB" w14:textId="77777777" w:rsidR="00712D02" w:rsidRPr="00712D02" w:rsidRDefault="00C60062" w:rsidP="00712D02">
      <w:pPr>
        <w:pStyle w:val="EndNoteBibliography"/>
      </w:pPr>
      <w:r>
        <w:fldChar w:fldCharType="begin"/>
      </w:r>
      <w:r>
        <w:instrText xml:space="preserve"> ADDIN EN.REFLIST </w:instrText>
      </w:r>
      <w:r>
        <w:fldChar w:fldCharType="separate"/>
      </w:r>
      <w:r w:rsidR="00712D02" w:rsidRPr="00712D02">
        <w:t>1.</w:t>
      </w:r>
      <w:r w:rsidR="00712D02" w:rsidRPr="00712D02">
        <w:tab/>
        <w:t xml:space="preserve">Ali-Reza Mohammadi-Nejad SP, Dorothee Auer, Stamatios Sotiropoulos. Multi-modal neuroimaging pipelines for data preprocessing. </w:t>
      </w:r>
      <w:r w:rsidR="00712D02" w:rsidRPr="00712D02">
        <w:rPr>
          <w:i/>
        </w:rPr>
        <w:t>Zenodo</w:t>
      </w:r>
      <w:r w:rsidR="00712D02" w:rsidRPr="00712D02">
        <w:t>. 2020;doi:10.5281/zenodo.3971663</w:t>
      </w:r>
    </w:p>
    <w:p w14:paraId="754516AB" w14:textId="77777777" w:rsidR="00712D02" w:rsidRPr="00712D02" w:rsidRDefault="00712D02" w:rsidP="00712D02">
      <w:pPr>
        <w:pStyle w:val="EndNoteBibliography"/>
      </w:pPr>
      <w:r w:rsidRPr="00712D02">
        <w:t>2.</w:t>
      </w:r>
      <w:r w:rsidRPr="00712D02">
        <w:tab/>
        <w:t xml:space="preserve">Zaborszky L, Hoemke L, Mohlberg H, Schleicher A, Amunts K, Zilles K. Stereotaxic probabilistic maps of the magnocellular cell groups in human basal forebrain. </w:t>
      </w:r>
      <w:r w:rsidRPr="00712D02">
        <w:rPr>
          <w:i/>
        </w:rPr>
        <w:t>Neuroimage</w:t>
      </w:r>
      <w:r w:rsidRPr="00712D02">
        <w:t>. Sep 1 2008;42(3):1127-41. doi:10.1016/j.neuroimage.2008.05.055</w:t>
      </w:r>
    </w:p>
    <w:p w14:paraId="66471109" w14:textId="77777777" w:rsidR="00712D02" w:rsidRPr="00712D02" w:rsidRDefault="00712D02" w:rsidP="00712D02">
      <w:pPr>
        <w:pStyle w:val="EndNoteBibliography"/>
      </w:pPr>
      <w:r w:rsidRPr="00712D02">
        <w:t>3.</w:t>
      </w:r>
      <w:r w:rsidRPr="00712D02">
        <w:tab/>
        <w:t xml:space="preserve">Zhang YY, Brady M, Smith S. Segmentation of brain MR images through a hidden Markov random field model and the expectation-maximization algorithm. </w:t>
      </w:r>
      <w:r w:rsidRPr="00712D02">
        <w:rPr>
          <w:i/>
        </w:rPr>
        <w:t>Ieee T Med Imaging</w:t>
      </w:r>
      <w:r w:rsidRPr="00712D02">
        <w:t>. Jan 2001;20(1):45-57. doi:Doi 10.1109/42.906424</w:t>
      </w:r>
    </w:p>
    <w:p w14:paraId="0BCEAFFA" w14:textId="77777777" w:rsidR="00712D02" w:rsidRPr="00712D02" w:rsidRDefault="00712D02" w:rsidP="00712D02">
      <w:pPr>
        <w:pStyle w:val="EndNoteBibliography"/>
      </w:pPr>
      <w:r w:rsidRPr="00712D02">
        <w:t>4.</w:t>
      </w:r>
      <w:r w:rsidRPr="00712D02">
        <w:tab/>
        <w:t xml:space="preserve">Woolrich MW, Ripley BD, Brady M, Smith SM. Temporal autocorrelation in univariate linear modeling of FMRI data. </w:t>
      </w:r>
      <w:r w:rsidRPr="00712D02">
        <w:rPr>
          <w:i/>
        </w:rPr>
        <w:t>Neuroimage</w:t>
      </w:r>
      <w:r w:rsidRPr="00712D02">
        <w:t>. Dec 2001;14(6):1370-86. doi:10.1006/nimg.2001.0931</w:t>
      </w:r>
    </w:p>
    <w:p w14:paraId="45D7A635" w14:textId="77777777" w:rsidR="00712D02" w:rsidRPr="00712D02" w:rsidRDefault="00712D02" w:rsidP="00712D02">
      <w:pPr>
        <w:pStyle w:val="EndNoteBibliography"/>
      </w:pPr>
      <w:r w:rsidRPr="00712D02">
        <w:t>5.</w:t>
      </w:r>
      <w:r w:rsidRPr="00712D02">
        <w:tab/>
        <w:t xml:space="preserve">Woolrich MW, Behrens TEJ, Beckmann CF, Jenkinson M, Smith SM. Multilevel linear modelling for FMRI group analysis using Bayesian inference. </w:t>
      </w:r>
      <w:r w:rsidRPr="00712D02">
        <w:rPr>
          <w:i/>
        </w:rPr>
        <w:t>Neuroimage</w:t>
      </w:r>
      <w:r w:rsidRPr="00712D02">
        <w:t>. Apr 2004;21(4):1732-1747. doi:10.1016/j.neuroimage.2003.12.023</w:t>
      </w:r>
    </w:p>
    <w:p w14:paraId="6ADF3F13" w14:textId="77777777" w:rsidR="00712D02" w:rsidRPr="00712D02" w:rsidRDefault="00712D02" w:rsidP="00712D02">
      <w:pPr>
        <w:pStyle w:val="EndNoteBibliography"/>
      </w:pPr>
      <w:r w:rsidRPr="00712D02">
        <w:t>6.</w:t>
      </w:r>
      <w:r w:rsidRPr="00712D02">
        <w:tab/>
        <w:t>Cottam WJ, Auer DP. Group differences in default mode network connectivity not just anti-correlation depend on choice of nuisance regressor model. 2017:</w:t>
      </w:r>
    </w:p>
    <w:p w14:paraId="39EC9FA6" w14:textId="77777777" w:rsidR="00712D02" w:rsidRPr="00712D02" w:rsidRDefault="00712D02" w:rsidP="00712D02">
      <w:pPr>
        <w:pStyle w:val="EndNoteBibliography"/>
      </w:pPr>
      <w:r w:rsidRPr="00712D02">
        <w:t>7.</w:t>
      </w:r>
      <w:r w:rsidRPr="00712D02">
        <w:tab/>
        <w:t xml:space="preserve">Jezzard P, Matthews PM, Smith SM. </w:t>
      </w:r>
      <w:r w:rsidRPr="00712D02">
        <w:rPr>
          <w:i/>
        </w:rPr>
        <w:t>Functional MRI : an introduction to methods</w:t>
      </w:r>
      <w:r w:rsidRPr="00712D02">
        <w:t>. Oxford University Press; 2001:xiii, 390 p., 22 p. of col. plates.</w:t>
      </w:r>
    </w:p>
    <w:p w14:paraId="503493F4" w14:textId="01DA9757" w:rsidR="00C214C6" w:rsidRDefault="00C60062">
      <w:r>
        <w:fldChar w:fldCharType="end"/>
      </w:r>
    </w:p>
    <w:sectPr w:rsidR="00C21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D405E"/>
    <w:multiLevelType w:val="hybridMultilevel"/>
    <w:tmpl w:val="54F0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02B44"/>
    <w:multiLevelType w:val="hybridMultilevel"/>
    <w:tmpl w:val="16C8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05B20"/>
    <w:multiLevelType w:val="hybridMultilevel"/>
    <w:tmpl w:val="161E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506A1"/>
    <w:multiLevelType w:val="hybridMultilevel"/>
    <w:tmpl w:val="17A6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6204E"/>
    <w:multiLevelType w:val="hybridMultilevel"/>
    <w:tmpl w:val="4D4E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ex5d20t02s26ex222p5rezp52atvwf9aff&quot;&gt;My EndNote Library&lt;record-ids&gt;&lt;item&gt;223&lt;/item&gt;&lt;/record-ids&gt;&lt;/item&gt;&lt;/Libraries&gt;"/>
  </w:docVars>
  <w:rsids>
    <w:rsidRoot w:val="00C60062"/>
    <w:rsid w:val="00712D02"/>
    <w:rsid w:val="00C214C6"/>
    <w:rsid w:val="00C60062"/>
    <w:rsid w:val="00C935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2D42"/>
  <w15:chartTrackingRefBased/>
  <w15:docId w15:val="{99C920A0-2967-43AF-BB95-F31ED64D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6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60062"/>
    <w:pPr>
      <w:keepNext/>
      <w:keepLines/>
      <w:spacing w:before="360" w:after="120"/>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iPriority w:val="9"/>
    <w:unhideWhenUsed/>
    <w:qFormat/>
    <w:rsid w:val="00C60062"/>
    <w:pPr>
      <w:keepNext/>
      <w:keepLines/>
      <w:spacing w:before="160" w:after="120"/>
      <w:outlineLvl w:val="1"/>
    </w:pPr>
    <w:rPr>
      <w:rFonts w:asciiTheme="minorHAnsi" w:eastAsiaTheme="majorEastAsia" w:hAnsiTheme="minorHAnsi"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062"/>
    <w:rPr>
      <w:rFonts w:eastAsiaTheme="majorEastAsia" w:cstheme="majorBidi"/>
      <w:b/>
      <w:sz w:val="28"/>
      <w:szCs w:val="32"/>
      <w:lang w:eastAsia="en-GB"/>
    </w:rPr>
  </w:style>
  <w:style w:type="character" w:customStyle="1" w:styleId="Heading2Char">
    <w:name w:val="Heading 2 Char"/>
    <w:basedOn w:val="DefaultParagraphFont"/>
    <w:link w:val="Heading2"/>
    <w:uiPriority w:val="9"/>
    <w:rsid w:val="00C60062"/>
    <w:rPr>
      <w:rFonts w:eastAsiaTheme="majorEastAsia" w:cstheme="majorBidi"/>
      <w:b/>
      <w:sz w:val="24"/>
      <w:szCs w:val="26"/>
      <w:lang w:eastAsia="en-GB"/>
    </w:rPr>
  </w:style>
  <w:style w:type="paragraph" w:styleId="ListParagraph">
    <w:name w:val="List Paragraph"/>
    <w:basedOn w:val="Normal"/>
    <w:uiPriority w:val="34"/>
    <w:qFormat/>
    <w:rsid w:val="00C60062"/>
    <w:pPr>
      <w:spacing w:after="160" w:line="259" w:lineRule="auto"/>
      <w:ind w:left="720"/>
      <w:contextualSpacing/>
    </w:pPr>
    <w:rPr>
      <w:rFonts w:ascii="Verdana" w:hAnsi="Verdana" w:cstheme="minorBidi"/>
      <w:sz w:val="20"/>
      <w:szCs w:val="22"/>
      <w:lang w:eastAsia="zh-CN"/>
    </w:rPr>
  </w:style>
  <w:style w:type="character" w:styleId="Hyperlink">
    <w:name w:val="Hyperlink"/>
    <w:basedOn w:val="DefaultParagraphFont"/>
    <w:uiPriority w:val="99"/>
    <w:unhideWhenUsed/>
    <w:rsid w:val="00C60062"/>
    <w:rPr>
      <w:color w:val="0563C1" w:themeColor="hyperlink"/>
      <w:u w:val="single"/>
    </w:rPr>
  </w:style>
  <w:style w:type="table" w:styleId="TableGrid">
    <w:name w:val="Table Grid"/>
    <w:basedOn w:val="TableNormal"/>
    <w:uiPriority w:val="39"/>
    <w:rsid w:val="00C6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60062"/>
    <w:pPr>
      <w:jc w:val="center"/>
    </w:pPr>
    <w:rPr>
      <w:noProof/>
    </w:rPr>
  </w:style>
  <w:style w:type="character" w:customStyle="1" w:styleId="EndNoteBibliographyTitleChar">
    <w:name w:val="EndNote Bibliography Title Char"/>
    <w:basedOn w:val="DefaultParagraphFont"/>
    <w:link w:val="EndNoteBibliographyTitle"/>
    <w:rsid w:val="00C60062"/>
    <w:rPr>
      <w:rFonts w:ascii="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C60062"/>
    <w:rPr>
      <w:noProof/>
    </w:rPr>
  </w:style>
  <w:style w:type="character" w:customStyle="1" w:styleId="EndNoteBibliographyChar">
    <w:name w:val="EndNote Bibliography Char"/>
    <w:basedOn w:val="DefaultParagraphFont"/>
    <w:link w:val="EndNoteBibliography"/>
    <w:rsid w:val="00C60062"/>
    <w:rPr>
      <w:rFonts w:ascii="Times New Roman" w:hAnsi="Times New Roman" w:cs="Times New Roman"/>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fmrib.ox.ac.uk/fs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thub.com/SPMIC-UoN/BRC_Pipel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mrib.ox.ac.uk/fs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0D20-643D-4D31-8D53-2E62ED3A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dewen meng</dc:creator>
  <cp:keywords/>
  <dc:description/>
  <cp:lastModifiedBy>dewen meng</cp:lastModifiedBy>
  <cp:revision>2</cp:revision>
  <dcterms:created xsi:type="dcterms:W3CDTF">2020-11-16T16:12:00Z</dcterms:created>
  <dcterms:modified xsi:type="dcterms:W3CDTF">2020-11-16T17:55:00Z</dcterms:modified>
</cp:coreProperties>
</file>