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73" w:rsidRPr="0087240C" w:rsidRDefault="00E71B51" w:rsidP="00E93273">
      <w:pPr>
        <w:pStyle w:val="BasicParagraph"/>
        <w:ind w:right="-710"/>
        <w:jc w:val="right"/>
        <w:rPr>
          <w:rFonts w:ascii="MetaBold-Roman Regular" w:hAnsi="MetaBold-Roman Regular" w:cs="MetaBold-Roman Regular"/>
          <w:color w:val="6FC323"/>
          <w:sz w:val="44"/>
          <w:szCs w:val="44"/>
        </w:rPr>
      </w:pPr>
      <w:r>
        <w:rPr>
          <w:rFonts w:ascii="MetaBold-Roman Regular" w:hAnsi="MetaBold-Roman Regular" w:cs="MetaBold-Roman Regular"/>
          <w:color w:val="EAF1DD"/>
          <w:sz w:val="44"/>
          <w:szCs w:val="44"/>
        </w:rPr>
        <w:t xml:space="preserve">Apheresis procedure: </w:t>
      </w:r>
      <w:bookmarkStart w:id="0" w:name="_GoBack"/>
      <w:bookmarkEnd w:id="0"/>
      <w:r>
        <w:rPr>
          <w:rFonts w:ascii="MetaBold-Roman Regular" w:hAnsi="MetaBold-Roman Regular" w:cs="MetaBold-Roman Regular"/>
          <w:color w:val="EAF1DD"/>
          <w:sz w:val="44"/>
          <w:szCs w:val="44"/>
        </w:rPr>
        <w:t>QIMR study cohort 3</w:t>
      </w:r>
    </w:p>
    <w:p w:rsidR="00363479" w:rsidRPr="00D70414" w:rsidRDefault="00363479" w:rsidP="00F01329">
      <w:pPr>
        <w:rPr>
          <w:rFonts w:ascii="Arial" w:hAnsi="Arial" w:cs="Arial"/>
          <w:b/>
          <w:color w:val="215868"/>
          <w:sz w:val="28"/>
          <w:szCs w:val="28"/>
        </w:rPr>
      </w:pPr>
    </w:p>
    <w:p w:rsidR="00E93273" w:rsidRPr="00D70414" w:rsidRDefault="00E93273" w:rsidP="00F01329">
      <w:pPr>
        <w:rPr>
          <w:rFonts w:ascii="Arial" w:hAnsi="Arial" w:cs="Arial"/>
          <w:b/>
          <w:color w:val="215868"/>
          <w:sz w:val="28"/>
          <w:szCs w:val="28"/>
        </w:rPr>
      </w:pPr>
    </w:p>
    <w:p w:rsidR="00363479" w:rsidRPr="00D70414" w:rsidRDefault="00363479" w:rsidP="00F01329">
      <w:pPr>
        <w:rPr>
          <w:rFonts w:ascii="Arial" w:hAnsi="Arial" w:cs="Arial"/>
          <w:b/>
          <w:color w:val="215868"/>
          <w:sz w:val="28"/>
          <w:szCs w:val="28"/>
        </w:rPr>
      </w:pPr>
      <w:r w:rsidRPr="00D70414">
        <w:rPr>
          <w:rFonts w:ascii="Arial" w:hAnsi="Arial" w:cs="Arial"/>
          <w:b/>
          <w:color w:val="215868"/>
          <w:sz w:val="28"/>
          <w:szCs w:val="28"/>
        </w:rPr>
        <w:t>Bone Marrow Transplant Program</w:t>
      </w:r>
    </w:p>
    <w:p w:rsidR="00363479" w:rsidRPr="00D70414" w:rsidRDefault="00363479" w:rsidP="00F01329">
      <w:pPr>
        <w:rPr>
          <w:rFonts w:ascii="Arial" w:hAnsi="Arial" w:cs="Arial"/>
          <w:b/>
          <w:color w:val="215868"/>
          <w:szCs w:val="22"/>
        </w:rPr>
      </w:pPr>
      <w:smartTag w:uri="urn:schemas-microsoft-com:office:smarttags" w:element="PlaceName">
        <w:smartTag w:uri="urn:schemas-microsoft-com:office:smarttags" w:element="place">
          <w:r w:rsidRPr="00D70414">
            <w:rPr>
              <w:rFonts w:ascii="Arial" w:hAnsi="Arial" w:cs="Arial"/>
              <w:b/>
              <w:color w:val="215868"/>
              <w:szCs w:val="22"/>
            </w:rPr>
            <w:t>Metro</w:t>
          </w:r>
        </w:smartTag>
        <w:r w:rsidRPr="00D70414">
          <w:rPr>
            <w:rFonts w:ascii="Arial" w:hAnsi="Arial" w:cs="Arial"/>
            <w:b/>
            <w:color w:val="215868"/>
            <w:szCs w:val="22"/>
          </w:rPr>
          <w:t xml:space="preserve"> </w:t>
        </w:r>
        <w:smartTag w:uri="urn:schemas-microsoft-com:office:smarttags" w:element="PlaceName">
          <w:r w:rsidRPr="00D70414">
            <w:rPr>
              <w:rFonts w:ascii="Arial" w:hAnsi="Arial" w:cs="Arial"/>
              <w:b/>
              <w:color w:val="215868"/>
              <w:szCs w:val="22"/>
            </w:rPr>
            <w:t>North</w:t>
          </w:r>
        </w:smartTag>
        <w:r w:rsidRPr="00D70414">
          <w:rPr>
            <w:rFonts w:ascii="Arial" w:hAnsi="Arial" w:cs="Arial"/>
            <w:b/>
            <w:color w:val="215868"/>
            <w:szCs w:val="22"/>
          </w:rPr>
          <w:t xml:space="preserve"> </w:t>
        </w:r>
        <w:smartTag w:uri="urn:schemas-microsoft-com:office:smarttags" w:element="PlaceName">
          <w:r w:rsidRPr="00D70414">
            <w:rPr>
              <w:rFonts w:ascii="Arial" w:hAnsi="Arial" w:cs="Arial"/>
              <w:b/>
              <w:color w:val="215868"/>
              <w:szCs w:val="22"/>
            </w:rPr>
            <w:t>Health</w:t>
          </w:r>
        </w:smartTag>
        <w:r w:rsidRPr="00D70414">
          <w:rPr>
            <w:rFonts w:ascii="Arial" w:hAnsi="Arial" w:cs="Arial"/>
            <w:b/>
            <w:color w:val="215868"/>
            <w:szCs w:val="22"/>
          </w:rPr>
          <w:t xml:space="preserve"> </w:t>
        </w:r>
        <w:smartTag w:uri="urn:schemas-microsoft-com:office:smarttags" w:element="PlaceType">
          <w:r w:rsidRPr="00D70414">
            <w:rPr>
              <w:rFonts w:ascii="Arial" w:hAnsi="Arial" w:cs="Arial"/>
              <w:b/>
              <w:color w:val="215868"/>
              <w:szCs w:val="22"/>
            </w:rPr>
            <w:t>Hospital</w:t>
          </w:r>
        </w:smartTag>
      </w:smartTag>
      <w:r w:rsidRPr="00D70414">
        <w:rPr>
          <w:rFonts w:ascii="Arial" w:hAnsi="Arial" w:cs="Arial"/>
          <w:b/>
          <w:color w:val="215868"/>
          <w:szCs w:val="22"/>
        </w:rPr>
        <w:t xml:space="preserve"> and Health Service </w:t>
      </w:r>
    </w:p>
    <w:p w:rsidR="00363479" w:rsidRPr="00D70414" w:rsidRDefault="00363479" w:rsidP="00F01329">
      <w:pPr>
        <w:ind w:firstLine="720"/>
        <w:rPr>
          <w:rFonts w:ascii="Arial" w:hAnsi="Arial" w:cs="Arial"/>
          <w:color w:val="215868"/>
          <w:sz w:val="22"/>
          <w:szCs w:val="22"/>
        </w:rPr>
      </w:pPr>
      <w:r w:rsidRPr="00D70414">
        <w:rPr>
          <w:rFonts w:ascii="Arial" w:hAnsi="Arial" w:cs="Arial"/>
          <w:b/>
          <w:color w:val="215868"/>
          <w:sz w:val="22"/>
          <w:szCs w:val="22"/>
        </w:rPr>
        <w:t>Royal Brisbane &amp; Women’s Hospital</w:t>
      </w:r>
    </w:p>
    <w:p w:rsidR="00363479" w:rsidRPr="00D70414" w:rsidRDefault="00363479" w:rsidP="00F01329">
      <w:pPr>
        <w:rPr>
          <w:rFonts w:ascii="Arial" w:hAnsi="Arial" w:cs="Arial"/>
          <w:b/>
          <w:color w:val="215868"/>
          <w:szCs w:val="22"/>
        </w:rPr>
      </w:pPr>
      <w:r w:rsidRPr="00D70414">
        <w:rPr>
          <w:rFonts w:ascii="Arial" w:hAnsi="Arial" w:cs="Arial"/>
          <w:b/>
          <w:color w:val="215868"/>
          <w:szCs w:val="22"/>
        </w:rPr>
        <w:t xml:space="preserve">Children's </w:t>
      </w:r>
      <w:smartTag w:uri="urn:schemas-microsoft-com:office:smarttags" w:element="PlaceName">
        <w:smartTag w:uri="urn:schemas-microsoft-com:office:smarttags" w:element="place">
          <w:r w:rsidRPr="00D70414">
            <w:rPr>
              <w:rFonts w:ascii="Arial" w:hAnsi="Arial" w:cs="Arial"/>
              <w:b/>
              <w:color w:val="215868"/>
              <w:szCs w:val="22"/>
            </w:rPr>
            <w:t>Health</w:t>
          </w:r>
        </w:smartTag>
        <w:r w:rsidRPr="00D70414">
          <w:rPr>
            <w:rFonts w:ascii="Arial" w:hAnsi="Arial" w:cs="Arial"/>
            <w:b/>
            <w:color w:val="215868"/>
            <w:szCs w:val="22"/>
          </w:rPr>
          <w:t xml:space="preserve"> </w:t>
        </w:r>
        <w:smartTag w:uri="urn:schemas-microsoft-com:office:smarttags" w:element="PlaceType">
          <w:smartTag w:uri="urn:schemas-microsoft-com:office:smarttags" w:element="PlaceName">
            <w:r w:rsidRPr="00D70414">
              <w:rPr>
                <w:rFonts w:ascii="Arial" w:hAnsi="Arial" w:cs="Arial"/>
                <w:b/>
                <w:color w:val="215868"/>
                <w:szCs w:val="22"/>
              </w:rPr>
              <w:t>Queensland</w:t>
            </w:r>
          </w:smartTag>
        </w:smartTag>
        <w:r w:rsidRPr="00D70414">
          <w:rPr>
            <w:rFonts w:ascii="Arial" w:hAnsi="Arial" w:cs="Arial"/>
            <w:b/>
            <w:color w:val="215868"/>
            <w:szCs w:val="22"/>
          </w:rPr>
          <w:t xml:space="preserve"> </w:t>
        </w:r>
        <w:smartTag w:uri="urn:schemas-microsoft-com:office:smarttags" w:element="PlaceType">
          <w:r w:rsidRPr="00D70414">
            <w:rPr>
              <w:rFonts w:ascii="Arial" w:hAnsi="Arial" w:cs="Arial"/>
              <w:b/>
              <w:color w:val="215868"/>
              <w:szCs w:val="22"/>
            </w:rPr>
            <w:t>Hospital</w:t>
          </w:r>
        </w:smartTag>
      </w:smartTag>
      <w:r w:rsidRPr="00D70414">
        <w:rPr>
          <w:rFonts w:ascii="Arial" w:hAnsi="Arial" w:cs="Arial"/>
          <w:b/>
          <w:color w:val="215868"/>
          <w:szCs w:val="22"/>
        </w:rPr>
        <w:t xml:space="preserve"> and Health Service </w:t>
      </w:r>
    </w:p>
    <w:p w:rsidR="00363479" w:rsidRPr="00D70414" w:rsidRDefault="00363479" w:rsidP="00F01329">
      <w:pPr>
        <w:ind w:firstLine="720"/>
        <w:rPr>
          <w:rFonts w:ascii="Arial" w:hAnsi="Arial" w:cs="Arial"/>
          <w:b/>
          <w:color w:val="215868"/>
          <w:sz w:val="22"/>
          <w:szCs w:val="22"/>
        </w:rPr>
      </w:pPr>
      <w:r w:rsidRPr="00D70414">
        <w:rPr>
          <w:rFonts w:ascii="Arial" w:hAnsi="Arial" w:cs="Arial"/>
          <w:b/>
          <w:color w:val="215868"/>
          <w:sz w:val="22"/>
          <w:szCs w:val="22"/>
        </w:rPr>
        <w:t xml:space="preserve">Lady Cilento Children’s Hospital </w:t>
      </w:r>
    </w:p>
    <w:p w:rsidR="00363479" w:rsidRPr="00D70414" w:rsidRDefault="00363479" w:rsidP="00F01329">
      <w:pPr>
        <w:pStyle w:val="Heading1"/>
      </w:pPr>
      <w:r w:rsidRPr="00D70414">
        <w:t>Purpose</w:t>
      </w:r>
    </w:p>
    <w:p w:rsidR="00363479" w:rsidRPr="00D70414" w:rsidRDefault="00363479" w:rsidP="00F01329">
      <w:pPr>
        <w:pStyle w:val="Heading2"/>
        <w:tabs>
          <w:tab w:val="clear" w:pos="792"/>
          <w:tab w:val="num" w:pos="993"/>
        </w:tabs>
        <w:ind w:left="993" w:hanging="633"/>
      </w:pPr>
      <w:r w:rsidRPr="00D70414">
        <w:t xml:space="preserve">This SOP describes how to perform a </w:t>
      </w:r>
      <w:r w:rsidR="0087240C">
        <w:t>continuous mononuclear cell (CMNC) procedure</w:t>
      </w:r>
      <w:r w:rsidRPr="00D70414">
        <w:t>. It is intended to be used in conjunction with:</w:t>
      </w:r>
    </w:p>
    <w:p w:rsidR="00363479" w:rsidRPr="00D70414" w:rsidRDefault="00363479" w:rsidP="00F01329">
      <w:pPr>
        <w:pStyle w:val="Heading3"/>
        <w:tabs>
          <w:tab w:val="clear" w:pos="1224"/>
          <w:tab w:val="num" w:pos="1560"/>
        </w:tabs>
        <w:ind w:left="1560" w:hanging="851"/>
      </w:pPr>
      <w:r w:rsidRPr="00D70414">
        <w:t xml:space="preserve">Spectra </w:t>
      </w:r>
      <w:proofErr w:type="spellStart"/>
      <w:r w:rsidRPr="00D70414">
        <w:t>Optia</w:t>
      </w:r>
      <w:proofErr w:type="spellEnd"/>
      <w:r w:rsidRPr="00D70414">
        <w:t xml:space="preserve"> Essentials</w:t>
      </w:r>
    </w:p>
    <w:p w:rsidR="00363479" w:rsidRPr="00D70414" w:rsidRDefault="00363479" w:rsidP="00F01329">
      <w:pPr>
        <w:pStyle w:val="Heading3"/>
        <w:tabs>
          <w:tab w:val="clear" w:pos="1224"/>
          <w:tab w:val="num" w:pos="1560"/>
        </w:tabs>
        <w:ind w:left="1560" w:hanging="851"/>
      </w:pPr>
      <w:r w:rsidRPr="00D70414">
        <w:t xml:space="preserve">Spectra </w:t>
      </w:r>
      <w:proofErr w:type="spellStart"/>
      <w:r w:rsidRPr="00D70414">
        <w:t>Optia</w:t>
      </w:r>
      <w:proofErr w:type="spellEnd"/>
      <w:r w:rsidRPr="00D70414">
        <w:t xml:space="preserve"> Continuous Mononuclear Cell Collection (CMNC) Procedure Guide</w:t>
      </w:r>
    </w:p>
    <w:p w:rsidR="007424DC" w:rsidRPr="00D70414" w:rsidRDefault="007424DC" w:rsidP="00F01329"/>
    <w:p w:rsidR="00363479" w:rsidRPr="00D70414" w:rsidRDefault="00363479" w:rsidP="00F01329">
      <w:pPr>
        <w:pStyle w:val="Heading1"/>
      </w:pPr>
      <w:r w:rsidRPr="00D70414">
        <w:t>Scope</w:t>
      </w:r>
    </w:p>
    <w:p w:rsidR="00363479" w:rsidRPr="00D70414" w:rsidRDefault="00363479" w:rsidP="00F01329">
      <w:pPr>
        <w:pStyle w:val="Heading2"/>
        <w:tabs>
          <w:tab w:val="clear" w:pos="792"/>
          <w:tab w:val="num" w:pos="993"/>
        </w:tabs>
        <w:ind w:left="993" w:hanging="633"/>
      </w:pPr>
      <w:r w:rsidRPr="00D70414">
        <w:t>The target audience for this resource are the registered nurses and medical officers who care for patients in the Apheresis Unit, Royal Brisbane &amp; Women’s Hospital (RBWH), who are involved and trained in apheresis.</w:t>
      </w:r>
    </w:p>
    <w:p w:rsidR="00363479" w:rsidRPr="00D70414" w:rsidRDefault="00363479" w:rsidP="00F01329">
      <w:pPr>
        <w:pStyle w:val="Heading2"/>
        <w:tabs>
          <w:tab w:val="clear" w:pos="792"/>
          <w:tab w:val="num" w:pos="993"/>
        </w:tabs>
        <w:ind w:left="993" w:hanging="633"/>
      </w:pPr>
      <w:r w:rsidRPr="00D70414">
        <w:t xml:space="preserve">Patient safety takes priority during a CMNC collection, therefore only competent nurses can perform this procedure. </w:t>
      </w:r>
    </w:p>
    <w:p w:rsidR="00363479" w:rsidRPr="00D70414" w:rsidRDefault="00363479" w:rsidP="00F01329">
      <w:pPr>
        <w:pStyle w:val="Heading2"/>
        <w:tabs>
          <w:tab w:val="clear" w:pos="792"/>
          <w:tab w:val="num" w:pos="993"/>
        </w:tabs>
        <w:ind w:left="993" w:hanging="633"/>
      </w:pPr>
      <w:r w:rsidRPr="00D70414">
        <w:t xml:space="preserve">All apheresis procedures will comply with 05009/WUG: Apheresis </w:t>
      </w:r>
    </w:p>
    <w:p w:rsidR="00363479" w:rsidRDefault="00363479" w:rsidP="00F01329">
      <w:pPr>
        <w:pStyle w:val="Heading2"/>
        <w:tabs>
          <w:tab w:val="clear" w:pos="792"/>
          <w:tab w:val="num" w:pos="993"/>
        </w:tabs>
        <w:ind w:left="993" w:hanging="633"/>
      </w:pPr>
      <w:r w:rsidRPr="00D70414">
        <w:t xml:space="preserve">All deviations and associated corrective actions shall </w:t>
      </w:r>
      <w:r w:rsidR="0087240C">
        <w:t xml:space="preserve">be </w:t>
      </w:r>
      <w:r w:rsidRPr="00D70414">
        <w:t xml:space="preserve">documented </w:t>
      </w:r>
      <w:r w:rsidR="0087240C">
        <w:t>in the patient medical record.</w:t>
      </w:r>
    </w:p>
    <w:p w:rsidR="00644240" w:rsidRPr="00644240" w:rsidRDefault="00644240" w:rsidP="00644240"/>
    <w:p w:rsidR="00363479" w:rsidRPr="00D70414" w:rsidRDefault="00363479" w:rsidP="00F01329">
      <w:pPr>
        <w:pStyle w:val="Heading1"/>
      </w:pPr>
      <w:r w:rsidRPr="00D70414">
        <w:t>Principle / Background</w:t>
      </w:r>
    </w:p>
    <w:p w:rsidR="00363479" w:rsidRPr="00D70414" w:rsidRDefault="00363479" w:rsidP="0087240C">
      <w:pPr>
        <w:pStyle w:val="Heading2"/>
        <w:tabs>
          <w:tab w:val="clear" w:pos="792"/>
          <w:tab w:val="num" w:pos="993"/>
        </w:tabs>
        <w:ind w:left="993" w:hanging="633"/>
      </w:pPr>
      <w:r w:rsidRPr="00D70414">
        <w:t xml:space="preserve">Apheresis refers to a number of procedures involving the removal of whole blood, separating it into the various blood components through centrifugation, removing a desired component (white/red cells, platelets and plasma with or without replacement fluids) and returning the rest of the components. Access to the intravascular compartment is required and efficacy of the treatment will depend on the volume of blood processed. </w:t>
      </w:r>
    </w:p>
    <w:p w:rsidR="00363479" w:rsidRPr="00D70414" w:rsidRDefault="0087240C" w:rsidP="0087240C">
      <w:pPr>
        <w:pStyle w:val="Heading2"/>
        <w:tabs>
          <w:tab w:val="clear" w:pos="792"/>
          <w:tab w:val="num" w:pos="993"/>
        </w:tabs>
        <w:ind w:left="993" w:hanging="633"/>
      </w:pPr>
      <w:r>
        <w:t xml:space="preserve">All patients requiring a CMNC collection are under the direct care of a Haematologist. </w:t>
      </w:r>
    </w:p>
    <w:p w:rsidR="0087240C" w:rsidRDefault="00363479" w:rsidP="00F01329">
      <w:pPr>
        <w:pStyle w:val="Heading2"/>
      </w:pPr>
      <w:r w:rsidRPr="00D70414">
        <w:t>The RBWH Apheresis Unit is accredited by</w:t>
      </w:r>
      <w:r w:rsidR="0087240C">
        <w:t>:</w:t>
      </w:r>
    </w:p>
    <w:p w:rsidR="0087240C" w:rsidRDefault="00363479" w:rsidP="0087240C">
      <w:pPr>
        <w:pStyle w:val="Heading3"/>
      </w:pPr>
      <w:r w:rsidRPr="00D70414">
        <w:t>Australian Bone Marrow Donor Registry (ABMDR)</w:t>
      </w:r>
    </w:p>
    <w:p w:rsidR="0087240C" w:rsidRDefault="0087240C" w:rsidP="0087240C">
      <w:pPr>
        <w:pStyle w:val="Heading3"/>
      </w:pPr>
      <w:r>
        <w:t>National Association of Testing Authorities (NATA)</w:t>
      </w:r>
    </w:p>
    <w:p w:rsidR="0087240C" w:rsidRDefault="0087240C" w:rsidP="0087240C">
      <w:pPr>
        <w:pStyle w:val="Heading3"/>
      </w:pPr>
      <w:r>
        <w:lastRenderedPageBreak/>
        <w:t>Foundation for the Accreditation of Cellular Therapies (FACT)</w:t>
      </w:r>
    </w:p>
    <w:p w:rsidR="0078197D" w:rsidRDefault="0078197D" w:rsidP="0078197D">
      <w:pPr>
        <w:pStyle w:val="Heading2"/>
      </w:pPr>
      <w:r>
        <w:t>The Royal Brisbane &amp; Women’s Hospital (RBWH) is accredited by the Australian Council on Healthcare Standards (ACHS)</w:t>
      </w:r>
    </w:p>
    <w:p w:rsidR="00363479" w:rsidRPr="00D70414" w:rsidRDefault="00363479" w:rsidP="00F01329">
      <w:pPr>
        <w:pStyle w:val="Heading2"/>
      </w:pPr>
      <w:r w:rsidRPr="00D70414">
        <w:t>The Disaster Plan (Section 11) addresses those elements most considered to be at risk and provides guidelines to cover some of the potential serious emergencies that may arise. All staff involved in apheresis procedures are responsible for following this plan as directed by senior personnel.</w:t>
      </w:r>
    </w:p>
    <w:p w:rsidR="007424DC" w:rsidRPr="00D70414" w:rsidRDefault="007424DC" w:rsidP="00F01329"/>
    <w:p w:rsidR="00363479" w:rsidRPr="00D70414" w:rsidRDefault="00363479" w:rsidP="00F01329">
      <w:pPr>
        <w:pStyle w:val="Heading1"/>
      </w:pPr>
      <w:r w:rsidRPr="00D70414">
        <w:t>Objectives / Endpoints</w:t>
      </w:r>
    </w:p>
    <w:p w:rsidR="007424DC" w:rsidRDefault="00363479" w:rsidP="00F01329">
      <w:pPr>
        <w:pStyle w:val="Heading2"/>
        <w:tabs>
          <w:tab w:val="clear" w:pos="792"/>
          <w:tab w:val="num" w:pos="993"/>
        </w:tabs>
        <w:ind w:left="993" w:hanging="633"/>
      </w:pPr>
      <w:r w:rsidRPr="00D70414">
        <w:t xml:space="preserve">All apheresis procedures shall be performed safely and appropriately. </w:t>
      </w:r>
    </w:p>
    <w:p w:rsidR="00644240" w:rsidRPr="00644240" w:rsidRDefault="00644240" w:rsidP="00644240"/>
    <w:p w:rsidR="00363479" w:rsidRPr="00D70414" w:rsidRDefault="00363479" w:rsidP="00F01329">
      <w:pPr>
        <w:pStyle w:val="Heading1"/>
      </w:pPr>
      <w:r w:rsidRPr="00D70414">
        <w:t>Documentation</w:t>
      </w:r>
    </w:p>
    <w:p w:rsidR="00363479" w:rsidRPr="00D70414" w:rsidRDefault="00363479" w:rsidP="00F01329">
      <w:pPr>
        <w:pStyle w:val="Heading2"/>
        <w:rPr>
          <w:b/>
          <w:color w:val="215868"/>
        </w:rPr>
      </w:pPr>
      <w:r w:rsidRPr="00D70414">
        <w:rPr>
          <w:b/>
          <w:color w:val="215868"/>
        </w:rPr>
        <w:t>Policy and Standard/s</w:t>
      </w:r>
    </w:p>
    <w:p w:rsidR="00363479" w:rsidRPr="00D70414" w:rsidRDefault="00363479" w:rsidP="00F01329">
      <w:pPr>
        <w:pStyle w:val="Heading3"/>
        <w:tabs>
          <w:tab w:val="clear" w:pos="1224"/>
          <w:tab w:val="num" w:pos="1560"/>
        </w:tabs>
        <w:ind w:left="1560" w:hanging="851"/>
      </w:pPr>
      <w:r w:rsidRPr="00D70414">
        <w:t xml:space="preserve">ACHS </w:t>
      </w:r>
      <w:proofErr w:type="spellStart"/>
      <w:r w:rsidRPr="00D70414">
        <w:t>EQUiP</w:t>
      </w:r>
      <w:proofErr w:type="spellEnd"/>
      <w:r w:rsidRPr="00D70414">
        <w:t xml:space="preserve"> National</w:t>
      </w:r>
    </w:p>
    <w:p w:rsidR="00363479" w:rsidRPr="00D70414" w:rsidRDefault="00A033A7" w:rsidP="00F01329">
      <w:pPr>
        <w:pStyle w:val="Heading3"/>
        <w:tabs>
          <w:tab w:val="clear" w:pos="1224"/>
          <w:tab w:val="num" w:pos="1560"/>
        </w:tabs>
        <w:ind w:left="1560" w:hanging="851"/>
      </w:pPr>
      <w:r w:rsidRPr="00D70414">
        <w:t xml:space="preserve">Blood and Blood Products, Management of PROC103 Doc 110/15 </w:t>
      </w:r>
      <w:r w:rsidR="00363479" w:rsidRPr="00D70414">
        <w:t>(MNHHS)</w:t>
      </w:r>
    </w:p>
    <w:p w:rsidR="00363479" w:rsidRPr="00D70414" w:rsidRDefault="00363479" w:rsidP="00F01329">
      <w:pPr>
        <w:pStyle w:val="Heading3"/>
        <w:tabs>
          <w:tab w:val="clear" w:pos="1224"/>
          <w:tab w:val="num" w:pos="1560"/>
        </w:tabs>
        <w:ind w:left="1560" w:hanging="851"/>
      </w:pPr>
      <w:r w:rsidRPr="00D70414">
        <w:t xml:space="preserve">Clinical Incident and Disclosure </w:t>
      </w:r>
      <w:r w:rsidR="00A033A7" w:rsidRPr="00D70414">
        <w:t xml:space="preserve">Management PROC007 Document 13/14 </w:t>
      </w:r>
      <w:r w:rsidRPr="00D70414">
        <w:t>(MNHHS)</w:t>
      </w:r>
    </w:p>
    <w:p w:rsidR="007424DC" w:rsidRPr="00D70414" w:rsidRDefault="007424DC" w:rsidP="00F01329"/>
    <w:p w:rsidR="00363479" w:rsidRPr="00D70414" w:rsidRDefault="00363479" w:rsidP="00F01329">
      <w:pPr>
        <w:pStyle w:val="Heading2"/>
        <w:rPr>
          <w:b/>
          <w:iCs w:val="0"/>
          <w:color w:val="215868"/>
        </w:rPr>
      </w:pPr>
      <w:r w:rsidRPr="00D70414">
        <w:rPr>
          <w:b/>
          <w:iCs w:val="0"/>
          <w:color w:val="215868"/>
        </w:rPr>
        <w:t>Procedures, Guidelines, Protocols</w:t>
      </w:r>
    </w:p>
    <w:p w:rsidR="00363479" w:rsidRPr="00D70414" w:rsidRDefault="00363479" w:rsidP="00F01329">
      <w:pPr>
        <w:pStyle w:val="Heading3"/>
        <w:tabs>
          <w:tab w:val="clear" w:pos="1224"/>
          <w:tab w:val="num" w:pos="1560"/>
        </w:tabs>
        <w:ind w:left="1560" w:hanging="851"/>
      </w:pPr>
      <w:r w:rsidRPr="00D70414">
        <w:t>Australian Guidelines for the Prevention and Control of Infection in Healthcare (2010)</w:t>
      </w:r>
    </w:p>
    <w:p w:rsidR="00363479" w:rsidRPr="00D70414" w:rsidRDefault="00363479" w:rsidP="00F01329">
      <w:pPr>
        <w:pStyle w:val="Heading3"/>
        <w:tabs>
          <w:tab w:val="clear" w:pos="1224"/>
          <w:tab w:val="num" w:pos="1560"/>
        </w:tabs>
        <w:ind w:left="1560" w:hanging="851"/>
      </w:pPr>
      <w:r w:rsidRPr="00D70414">
        <w:t>COLGDE001: RBWH Guidelines in the Management of Potential Adverse Events in Apheresis</w:t>
      </w:r>
    </w:p>
    <w:p w:rsidR="00363479" w:rsidRPr="00D70414" w:rsidRDefault="00363479" w:rsidP="00F01329">
      <w:pPr>
        <w:pStyle w:val="Heading3"/>
        <w:tabs>
          <w:tab w:val="clear" w:pos="1224"/>
          <w:tab w:val="num" w:pos="1560"/>
        </w:tabs>
        <w:ind w:left="1560" w:hanging="851"/>
      </w:pPr>
      <w:r w:rsidRPr="00D70414">
        <w:t>02002/Proc: Medications Management</w:t>
      </w:r>
    </w:p>
    <w:p w:rsidR="00363479" w:rsidRPr="00D70414" w:rsidRDefault="00363479" w:rsidP="00F01329">
      <w:pPr>
        <w:pStyle w:val="Heading3"/>
        <w:tabs>
          <w:tab w:val="clear" w:pos="1224"/>
          <w:tab w:val="num" w:pos="1560"/>
        </w:tabs>
        <w:ind w:left="1560" w:hanging="851"/>
      </w:pPr>
      <w:r w:rsidRPr="00D70414">
        <w:t>21605/Proc: Blood collection (Adult)</w:t>
      </w:r>
    </w:p>
    <w:p w:rsidR="00363479" w:rsidRPr="00D70414" w:rsidRDefault="00363479" w:rsidP="00F01329">
      <w:pPr>
        <w:pStyle w:val="Heading3"/>
        <w:tabs>
          <w:tab w:val="clear" w:pos="1224"/>
          <w:tab w:val="num" w:pos="1560"/>
        </w:tabs>
        <w:ind w:left="1560" w:hanging="851"/>
      </w:pPr>
      <w:r w:rsidRPr="00D70414">
        <w:t>05009/</w:t>
      </w:r>
      <w:r w:rsidR="007424DC" w:rsidRPr="00D70414">
        <w:t>Proc</w:t>
      </w:r>
      <w:r w:rsidRPr="00D70414">
        <w:t>: Apheresis</w:t>
      </w:r>
    </w:p>
    <w:p w:rsidR="00363479" w:rsidRPr="00D70414" w:rsidRDefault="00363479" w:rsidP="00F01329">
      <w:pPr>
        <w:pStyle w:val="Heading3"/>
        <w:tabs>
          <w:tab w:val="clear" w:pos="1224"/>
          <w:tab w:val="num" w:pos="1560"/>
        </w:tabs>
        <w:ind w:left="1560" w:hanging="851"/>
      </w:pPr>
      <w:r w:rsidRPr="00D70414">
        <w:t xml:space="preserve">05450/Proc: Peripheral Intravenous </w:t>
      </w:r>
      <w:r w:rsidR="007424DC" w:rsidRPr="00D70414">
        <w:t>Cannulation, Venepuncture and Infusions – Adult and Paediatrics</w:t>
      </w:r>
    </w:p>
    <w:p w:rsidR="00363479" w:rsidRPr="00D70414" w:rsidRDefault="00363479" w:rsidP="00F01329">
      <w:pPr>
        <w:pStyle w:val="Heading3"/>
        <w:tabs>
          <w:tab w:val="clear" w:pos="1224"/>
          <w:tab w:val="num" w:pos="1560"/>
        </w:tabs>
        <w:ind w:left="1560" w:hanging="851"/>
      </w:pPr>
      <w:r w:rsidRPr="00D70414">
        <w:t>74100/Proc: Documentation in the Patient Record</w:t>
      </w:r>
    </w:p>
    <w:p w:rsidR="00363479" w:rsidRPr="00D70414" w:rsidRDefault="00363479" w:rsidP="00F01329">
      <w:pPr>
        <w:pStyle w:val="Heading3"/>
        <w:tabs>
          <w:tab w:val="clear" w:pos="1224"/>
          <w:tab w:val="num" w:pos="1560"/>
        </w:tabs>
        <w:ind w:left="1560" w:hanging="851"/>
      </w:pPr>
      <w:r w:rsidRPr="00D70414">
        <w:t>81000/Proc: Aseptic Non Touch Technique</w:t>
      </w:r>
    </w:p>
    <w:p w:rsidR="00363479" w:rsidRPr="00D70414" w:rsidRDefault="007424DC" w:rsidP="00F01329">
      <w:pPr>
        <w:pStyle w:val="Heading3"/>
        <w:tabs>
          <w:tab w:val="clear" w:pos="1224"/>
          <w:tab w:val="num" w:pos="1560"/>
        </w:tabs>
        <w:ind w:left="1560" w:hanging="851"/>
      </w:pPr>
      <w:r w:rsidRPr="00D70414">
        <w:t>000342/Proc: Standard Precautions</w:t>
      </w:r>
    </w:p>
    <w:p w:rsidR="00363479" w:rsidRPr="00D70414" w:rsidRDefault="007424DC" w:rsidP="00F01329">
      <w:pPr>
        <w:pStyle w:val="Heading3"/>
        <w:tabs>
          <w:tab w:val="clear" w:pos="1224"/>
          <w:tab w:val="num" w:pos="1560"/>
        </w:tabs>
        <w:ind w:left="1560" w:hanging="851"/>
      </w:pPr>
      <w:r w:rsidRPr="00D70414">
        <w:t>003139/Proc: Cleaning and Decontamination – patient environment and clinical equipment</w:t>
      </w:r>
    </w:p>
    <w:p w:rsidR="007424DC" w:rsidRPr="00D70414" w:rsidRDefault="007424DC" w:rsidP="00F01329"/>
    <w:p w:rsidR="0078197D" w:rsidRDefault="0078197D">
      <w:pPr>
        <w:rPr>
          <w:rFonts w:ascii="Arial" w:hAnsi="Arial"/>
          <w:b/>
          <w:bCs/>
          <w:color w:val="215868"/>
        </w:rPr>
      </w:pPr>
      <w:r>
        <w:rPr>
          <w:b/>
          <w:iCs/>
          <w:color w:val="215868"/>
        </w:rPr>
        <w:br w:type="page"/>
      </w:r>
    </w:p>
    <w:p w:rsidR="00363479" w:rsidRPr="00D70414" w:rsidRDefault="00363479" w:rsidP="00F01329">
      <w:pPr>
        <w:pStyle w:val="Heading2"/>
        <w:rPr>
          <w:b/>
          <w:iCs w:val="0"/>
          <w:color w:val="215868"/>
        </w:rPr>
      </w:pPr>
      <w:r w:rsidRPr="00D70414">
        <w:rPr>
          <w:b/>
          <w:iCs w:val="0"/>
          <w:color w:val="215868"/>
        </w:rPr>
        <w:lastRenderedPageBreak/>
        <w:t>Forms and Templates</w:t>
      </w:r>
    </w:p>
    <w:p w:rsidR="00363479" w:rsidRPr="00D70414" w:rsidRDefault="00363479">
      <w:pPr>
        <w:pStyle w:val="Heading3"/>
        <w:tabs>
          <w:tab w:val="clear" w:pos="1224"/>
          <w:tab w:val="num" w:pos="1560"/>
        </w:tabs>
        <w:ind w:left="1560" w:hanging="851"/>
      </w:pPr>
      <w:r w:rsidRPr="00D70414">
        <w:t>CLIFRM013: RBWH Donor Consent for Bone Marrow Harvest or Apheresis Procedure</w:t>
      </w:r>
    </w:p>
    <w:p w:rsidR="00363479" w:rsidRPr="00D70414" w:rsidRDefault="00363479">
      <w:pPr>
        <w:pStyle w:val="Heading3"/>
        <w:tabs>
          <w:tab w:val="clear" w:pos="1224"/>
          <w:tab w:val="num" w:pos="1560"/>
        </w:tabs>
        <w:ind w:left="1560" w:hanging="851"/>
      </w:pPr>
      <w:r w:rsidRPr="00D70414">
        <w:t>COLFRM009: RBWH Apheresis Patient Checklist label</w:t>
      </w:r>
    </w:p>
    <w:p w:rsidR="00363479" w:rsidRPr="00D70414" w:rsidRDefault="00363479">
      <w:pPr>
        <w:pStyle w:val="Heading3"/>
        <w:tabs>
          <w:tab w:val="clear" w:pos="1224"/>
          <w:tab w:val="num" w:pos="1560"/>
        </w:tabs>
        <w:ind w:left="1560" w:hanging="851"/>
      </w:pPr>
      <w:r w:rsidRPr="00D70414">
        <w:t>COLFRM028: RBWH Apheresis Service Request</w:t>
      </w:r>
    </w:p>
    <w:p w:rsidR="00363479" w:rsidRPr="00D70414" w:rsidRDefault="00363479">
      <w:pPr>
        <w:pStyle w:val="Heading3"/>
        <w:tabs>
          <w:tab w:val="clear" w:pos="1224"/>
          <w:tab w:val="num" w:pos="1560"/>
        </w:tabs>
        <w:ind w:left="1560" w:hanging="851"/>
      </w:pPr>
      <w:r w:rsidRPr="00D70414">
        <w:t>COLFRM030: RBWH Apheresis Product Collection Form</w:t>
      </w:r>
    </w:p>
    <w:p w:rsidR="00363479" w:rsidRDefault="00363479">
      <w:pPr>
        <w:pStyle w:val="Heading3"/>
        <w:tabs>
          <w:tab w:val="clear" w:pos="1224"/>
          <w:tab w:val="num" w:pos="1560"/>
        </w:tabs>
        <w:ind w:left="1560" w:hanging="851"/>
      </w:pPr>
      <w:r w:rsidRPr="00D70414">
        <w:t xml:space="preserve">COLFRM053: RBWH Apheresis Procedure Run Sheet: Spectra </w:t>
      </w:r>
      <w:proofErr w:type="spellStart"/>
      <w:r w:rsidRPr="00D70414">
        <w:t>Optia</w:t>
      </w:r>
      <w:proofErr w:type="spellEnd"/>
    </w:p>
    <w:p w:rsidR="00644240" w:rsidRPr="00644240" w:rsidRDefault="00644240" w:rsidP="00644240"/>
    <w:p w:rsidR="00363479" w:rsidRPr="00D70414" w:rsidRDefault="00363479">
      <w:pPr>
        <w:pStyle w:val="Heading1"/>
      </w:pPr>
      <w:r w:rsidRPr="00D70414">
        <w:t>Definitions and Abbreviations</w:t>
      </w:r>
    </w:p>
    <w:p w:rsidR="00363479" w:rsidRPr="00D70414" w:rsidRDefault="00363479" w:rsidP="0078197D">
      <w:pPr>
        <w:pStyle w:val="Heading2"/>
        <w:tabs>
          <w:tab w:val="clear" w:pos="792"/>
          <w:tab w:val="num" w:pos="1134"/>
        </w:tabs>
        <w:ind w:left="1134" w:hanging="774"/>
      </w:pPr>
      <w:r w:rsidRPr="00D70414">
        <w:t>AIM</w:t>
      </w:r>
      <w:r w:rsidRPr="00D70414">
        <w:tab/>
      </w:r>
      <w:r w:rsidRPr="00D70414">
        <w:tab/>
        <w:t>Automated interface management</w:t>
      </w:r>
    </w:p>
    <w:p w:rsidR="00363479" w:rsidRPr="00D70414" w:rsidRDefault="00363479" w:rsidP="00485743">
      <w:pPr>
        <w:pStyle w:val="Heading2"/>
        <w:tabs>
          <w:tab w:val="clear" w:pos="792"/>
          <w:tab w:val="num" w:pos="1134"/>
        </w:tabs>
        <w:ind w:left="1134" w:hanging="774"/>
      </w:pPr>
      <w:r w:rsidRPr="00D70414">
        <w:t>ABMDR</w:t>
      </w:r>
      <w:r w:rsidRPr="00D70414">
        <w:tab/>
      </w:r>
      <w:r w:rsidRPr="00D70414">
        <w:tab/>
        <w:t>Australian Bone Marrow Donor Registry</w:t>
      </w:r>
    </w:p>
    <w:p w:rsidR="00363479" w:rsidRPr="00D70414" w:rsidRDefault="00363479" w:rsidP="00485743">
      <w:pPr>
        <w:pStyle w:val="Heading2"/>
        <w:tabs>
          <w:tab w:val="clear" w:pos="792"/>
          <w:tab w:val="num" w:pos="1134"/>
        </w:tabs>
        <w:ind w:left="1134" w:hanging="774"/>
      </w:pPr>
      <w:r w:rsidRPr="00D70414">
        <w:t>ACD-A</w:t>
      </w:r>
      <w:r w:rsidRPr="00D70414">
        <w:tab/>
      </w:r>
      <w:r w:rsidRPr="00D70414">
        <w:tab/>
        <w:t>Acid citrate dextrose - solution A</w:t>
      </w:r>
    </w:p>
    <w:p w:rsidR="00363479" w:rsidRPr="00D70414" w:rsidRDefault="00363479" w:rsidP="00485743">
      <w:pPr>
        <w:pStyle w:val="Heading2"/>
        <w:tabs>
          <w:tab w:val="clear" w:pos="792"/>
          <w:tab w:val="num" w:pos="1134"/>
        </w:tabs>
        <w:ind w:left="1134" w:hanging="774"/>
      </w:pPr>
      <w:r w:rsidRPr="00D70414">
        <w:t>BTS</w:t>
      </w:r>
      <w:r w:rsidRPr="00D70414">
        <w:tab/>
      </w:r>
      <w:r w:rsidRPr="00D70414">
        <w:tab/>
        <w:t>Biomedical Technical Services</w:t>
      </w:r>
    </w:p>
    <w:p w:rsidR="00363479" w:rsidRPr="00D70414" w:rsidRDefault="00363479" w:rsidP="00485743">
      <w:pPr>
        <w:pStyle w:val="Heading2"/>
        <w:tabs>
          <w:tab w:val="clear" w:pos="792"/>
          <w:tab w:val="num" w:pos="1134"/>
        </w:tabs>
        <w:ind w:left="1134" w:hanging="774"/>
      </w:pPr>
      <w:r w:rsidRPr="00D70414">
        <w:t>CMNC</w:t>
      </w:r>
      <w:r w:rsidRPr="00D70414">
        <w:tab/>
      </w:r>
      <w:r w:rsidRPr="00D70414">
        <w:tab/>
        <w:t>Continuous mononuclear cell</w:t>
      </w:r>
    </w:p>
    <w:p w:rsidR="00363479" w:rsidRPr="00D70414" w:rsidRDefault="00363479" w:rsidP="00485743">
      <w:pPr>
        <w:pStyle w:val="Heading2"/>
        <w:tabs>
          <w:tab w:val="clear" w:pos="792"/>
          <w:tab w:val="num" w:pos="1134"/>
        </w:tabs>
        <w:ind w:left="1134" w:hanging="774"/>
      </w:pPr>
      <w:r w:rsidRPr="00D70414">
        <w:t>CMV</w:t>
      </w:r>
      <w:r w:rsidRPr="00D70414">
        <w:tab/>
      </w:r>
      <w:r w:rsidRPr="00D70414">
        <w:tab/>
        <w:t>Cytomegalovirus</w:t>
      </w:r>
    </w:p>
    <w:p w:rsidR="00363479" w:rsidRPr="00D70414" w:rsidRDefault="00363479" w:rsidP="00485743">
      <w:pPr>
        <w:pStyle w:val="Heading2"/>
        <w:tabs>
          <w:tab w:val="clear" w:pos="792"/>
          <w:tab w:val="num" w:pos="1134"/>
        </w:tabs>
        <w:ind w:left="1134" w:hanging="774"/>
      </w:pPr>
      <w:r w:rsidRPr="00D70414">
        <w:t>CP</w:t>
      </w:r>
      <w:r w:rsidRPr="00D70414">
        <w:tab/>
      </w:r>
      <w:r w:rsidRPr="00D70414">
        <w:tab/>
        <w:t>Collection preference</w:t>
      </w:r>
    </w:p>
    <w:p w:rsidR="00363479" w:rsidRPr="00D70414" w:rsidRDefault="00363479" w:rsidP="00485743">
      <w:pPr>
        <w:pStyle w:val="Heading2"/>
        <w:tabs>
          <w:tab w:val="clear" w:pos="792"/>
          <w:tab w:val="num" w:pos="1134"/>
        </w:tabs>
        <w:ind w:left="1134" w:hanging="774"/>
      </w:pPr>
      <w:r w:rsidRPr="00D70414">
        <w:t>ELFT</w:t>
      </w:r>
      <w:r w:rsidRPr="00D70414">
        <w:tab/>
      </w:r>
      <w:r w:rsidRPr="00D70414">
        <w:tab/>
        <w:t>Electrolyte &amp; liver function tests</w:t>
      </w:r>
    </w:p>
    <w:p w:rsidR="00363479" w:rsidRPr="00D70414" w:rsidRDefault="00363479" w:rsidP="00485743">
      <w:pPr>
        <w:pStyle w:val="Heading2"/>
        <w:tabs>
          <w:tab w:val="clear" w:pos="792"/>
          <w:tab w:val="num" w:pos="1134"/>
        </w:tabs>
        <w:ind w:left="1134" w:hanging="774"/>
      </w:pPr>
      <w:r w:rsidRPr="00D70414">
        <w:t>FBC</w:t>
      </w:r>
      <w:r w:rsidRPr="00D70414">
        <w:tab/>
      </w:r>
      <w:r w:rsidRPr="00D70414">
        <w:tab/>
        <w:t>Full blood count</w:t>
      </w:r>
    </w:p>
    <w:p w:rsidR="00363479" w:rsidRPr="00D70414" w:rsidRDefault="00363479" w:rsidP="00485743">
      <w:pPr>
        <w:pStyle w:val="Heading2"/>
        <w:tabs>
          <w:tab w:val="clear" w:pos="792"/>
          <w:tab w:val="num" w:pos="1134"/>
        </w:tabs>
        <w:ind w:left="1134" w:hanging="774"/>
      </w:pPr>
      <w:r w:rsidRPr="00D70414">
        <w:t>Hb</w:t>
      </w:r>
      <w:r w:rsidRPr="00D70414">
        <w:tab/>
      </w:r>
      <w:r w:rsidRPr="00D70414">
        <w:tab/>
        <w:t>Haemoglobin</w:t>
      </w:r>
    </w:p>
    <w:p w:rsidR="006013D2" w:rsidRPr="00D70414" w:rsidRDefault="006013D2" w:rsidP="00485743">
      <w:pPr>
        <w:pStyle w:val="Heading2"/>
        <w:tabs>
          <w:tab w:val="clear" w:pos="792"/>
          <w:tab w:val="num" w:pos="1134"/>
        </w:tabs>
        <w:ind w:left="1134" w:hanging="774"/>
      </w:pPr>
      <w:r w:rsidRPr="00D70414">
        <w:t>HBV</w:t>
      </w:r>
      <w:r w:rsidRPr="00D70414">
        <w:tab/>
      </w:r>
      <w:r w:rsidRPr="00D70414">
        <w:tab/>
        <w:t>Hepatitis B virus</w:t>
      </w:r>
    </w:p>
    <w:p w:rsidR="006013D2" w:rsidRPr="00D70414" w:rsidRDefault="006013D2" w:rsidP="00485743">
      <w:pPr>
        <w:pStyle w:val="Heading2"/>
        <w:tabs>
          <w:tab w:val="clear" w:pos="792"/>
          <w:tab w:val="num" w:pos="1134"/>
        </w:tabs>
        <w:ind w:left="1134" w:hanging="774"/>
      </w:pPr>
      <w:r w:rsidRPr="00D70414">
        <w:t>HCV</w:t>
      </w:r>
      <w:r w:rsidRPr="00D70414">
        <w:tab/>
      </w:r>
      <w:r w:rsidRPr="00D70414">
        <w:tab/>
        <w:t>Hepatitis C virus</w:t>
      </w:r>
    </w:p>
    <w:p w:rsidR="00363479" w:rsidRPr="00D70414" w:rsidRDefault="00363479" w:rsidP="00E032C0">
      <w:pPr>
        <w:pStyle w:val="Heading2"/>
        <w:tabs>
          <w:tab w:val="clear" w:pos="792"/>
          <w:tab w:val="num" w:pos="1134"/>
        </w:tabs>
        <w:ind w:left="1134" w:hanging="774"/>
      </w:pPr>
      <w:r w:rsidRPr="00D70414">
        <w:t>HIV</w:t>
      </w:r>
      <w:r w:rsidRPr="00D70414">
        <w:tab/>
      </w:r>
      <w:r w:rsidRPr="00D70414">
        <w:tab/>
        <w:t>Human immunodeficiency virus</w:t>
      </w:r>
    </w:p>
    <w:p w:rsidR="00363479" w:rsidRPr="00D70414" w:rsidRDefault="00363479" w:rsidP="00485743">
      <w:pPr>
        <w:pStyle w:val="Heading2"/>
        <w:tabs>
          <w:tab w:val="clear" w:pos="792"/>
          <w:tab w:val="num" w:pos="1134"/>
        </w:tabs>
        <w:ind w:left="1134" w:hanging="774"/>
      </w:pPr>
      <w:r w:rsidRPr="00D70414">
        <w:t>IDM</w:t>
      </w:r>
      <w:r w:rsidRPr="00D70414">
        <w:tab/>
      </w:r>
      <w:r w:rsidRPr="00D70414">
        <w:tab/>
        <w:t>Infectious disease marker</w:t>
      </w:r>
    </w:p>
    <w:p w:rsidR="00363479" w:rsidRPr="00D70414" w:rsidRDefault="00363479" w:rsidP="00485743">
      <w:pPr>
        <w:pStyle w:val="Heading2"/>
        <w:tabs>
          <w:tab w:val="clear" w:pos="792"/>
          <w:tab w:val="num" w:pos="1134"/>
        </w:tabs>
        <w:ind w:left="1134" w:hanging="774"/>
      </w:pPr>
      <w:r w:rsidRPr="00D70414">
        <w:t>IV</w:t>
      </w:r>
      <w:r w:rsidRPr="00D70414">
        <w:tab/>
      </w:r>
      <w:r w:rsidRPr="00D70414">
        <w:tab/>
      </w:r>
      <w:r w:rsidRPr="00D70414">
        <w:tab/>
        <w:t>Intravenous</w:t>
      </w:r>
    </w:p>
    <w:p w:rsidR="00D567E8" w:rsidRPr="00D70414" w:rsidRDefault="00D567E8" w:rsidP="00485743">
      <w:pPr>
        <w:pStyle w:val="Heading2"/>
        <w:tabs>
          <w:tab w:val="clear" w:pos="792"/>
          <w:tab w:val="num" w:pos="1134"/>
        </w:tabs>
        <w:ind w:left="1134" w:hanging="774"/>
      </w:pPr>
      <w:r w:rsidRPr="00D70414">
        <w:t>MNC</w:t>
      </w:r>
      <w:r w:rsidRPr="00D70414">
        <w:tab/>
      </w:r>
      <w:r w:rsidRPr="00D70414">
        <w:tab/>
        <w:t>Mononuclear cell</w:t>
      </w:r>
    </w:p>
    <w:p w:rsidR="00363479" w:rsidRPr="00D70414" w:rsidRDefault="00363479" w:rsidP="00485743">
      <w:pPr>
        <w:pStyle w:val="Heading2"/>
        <w:tabs>
          <w:tab w:val="clear" w:pos="792"/>
          <w:tab w:val="num" w:pos="1134"/>
        </w:tabs>
        <w:ind w:left="1134" w:hanging="774"/>
      </w:pPr>
      <w:r w:rsidRPr="00D70414">
        <w:t>MNHHS</w:t>
      </w:r>
      <w:r w:rsidRPr="00D70414">
        <w:tab/>
      </w:r>
      <w:r w:rsidRPr="00D70414">
        <w:tab/>
        <w:t>Metro North Hospital and Health Service</w:t>
      </w:r>
    </w:p>
    <w:p w:rsidR="00363479" w:rsidRPr="00D70414" w:rsidRDefault="00363479" w:rsidP="00485743">
      <w:pPr>
        <w:pStyle w:val="Heading2"/>
        <w:tabs>
          <w:tab w:val="clear" w:pos="792"/>
          <w:tab w:val="num" w:pos="1134"/>
        </w:tabs>
        <w:ind w:left="1134" w:hanging="774"/>
      </w:pPr>
      <w:r w:rsidRPr="00D70414">
        <w:t>NUM</w:t>
      </w:r>
      <w:r w:rsidRPr="00D70414">
        <w:tab/>
      </w:r>
      <w:r w:rsidRPr="00D70414">
        <w:tab/>
        <w:t xml:space="preserve">Nurse </w:t>
      </w:r>
      <w:r w:rsidR="00D567E8" w:rsidRPr="00D70414">
        <w:t>U</w:t>
      </w:r>
      <w:r w:rsidRPr="00D70414">
        <w:t xml:space="preserve">nit </w:t>
      </w:r>
      <w:r w:rsidR="00D567E8" w:rsidRPr="00D70414">
        <w:t>M</w:t>
      </w:r>
      <w:r w:rsidRPr="00D70414">
        <w:t>anager</w:t>
      </w:r>
    </w:p>
    <w:p w:rsidR="00363479" w:rsidRPr="00D70414" w:rsidRDefault="00363479" w:rsidP="00485743">
      <w:pPr>
        <w:pStyle w:val="Heading2"/>
        <w:tabs>
          <w:tab w:val="clear" w:pos="792"/>
          <w:tab w:val="num" w:pos="1134"/>
        </w:tabs>
        <w:ind w:left="1134" w:hanging="774"/>
      </w:pPr>
      <w:r w:rsidRPr="00D70414">
        <w:t>ODTU</w:t>
      </w:r>
      <w:r w:rsidRPr="00D70414">
        <w:tab/>
      </w:r>
      <w:r w:rsidRPr="00D70414">
        <w:tab/>
        <w:t>Oncology Day Therapy Unit</w:t>
      </w:r>
    </w:p>
    <w:p w:rsidR="00E032C0" w:rsidRPr="003932E1" w:rsidRDefault="00E032C0" w:rsidP="00485743">
      <w:pPr>
        <w:pStyle w:val="Heading2"/>
        <w:tabs>
          <w:tab w:val="clear" w:pos="792"/>
          <w:tab w:val="num" w:pos="1134"/>
        </w:tabs>
        <w:ind w:left="1134" w:hanging="774"/>
      </w:pPr>
      <w:r w:rsidRPr="003932E1">
        <w:t>QIMR</w:t>
      </w:r>
      <w:r w:rsidRPr="003932E1">
        <w:tab/>
      </w:r>
      <w:r w:rsidRPr="003932E1">
        <w:tab/>
        <w:t>Queensland Institute of Medical Research</w:t>
      </w:r>
    </w:p>
    <w:p w:rsidR="00363479" w:rsidRPr="00D70414" w:rsidRDefault="00363479" w:rsidP="00485743">
      <w:pPr>
        <w:pStyle w:val="Heading2"/>
        <w:tabs>
          <w:tab w:val="clear" w:pos="792"/>
          <w:tab w:val="num" w:pos="1134"/>
        </w:tabs>
        <w:ind w:left="1134" w:hanging="774"/>
      </w:pPr>
      <w:r w:rsidRPr="00D70414">
        <w:t>RBWH</w:t>
      </w:r>
      <w:r w:rsidRPr="00D70414">
        <w:tab/>
      </w:r>
      <w:r w:rsidRPr="00D70414">
        <w:tab/>
        <w:t>Royal Brisbane &amp; Women’s Hospital</w:t>
      </w:r>
    </w:p>
    <w:p w:rsidR="00363479" w:rsidRPr="00D70414" w:rsidRDefault="00363479" w:rsidP="00485743">
      <w:pPr>
        <w:pStyle w:val="Heading2"/>
        <w:tabs>
          <w:tab w:val="clear" w:pos="792"/>
          <w:tab w:val="num" w:pos="1134"/>
        </w:tabs>
        <w:ind w:left="1134" w:hanging="774"/>
      </w:pPr>
      <w:r w:rsidRPr="00D70414">
        <w:t>RN</w:t>
      </w:r>
      <w:r w:rsidRPr="00D70414">
        <w:tab/>
      </w:r>
      <w:r w:rsidRPr="00D70414">
        <w:tab/>
        <w:t>Registered nurse</w:t>
      </w:r>
    </w:p>
    <w:p w:rsidR="00363479" w:rsidRPr="00D70414" w:rsidRDefault="00363479" w:rsidP="00485743">
      <w:pPr>
        <w:pStyle w:val="Heading2"/>
        <w:tabs>
          <w:tab w:val="clear" w:pos="792"/>
          <w:tab w:val="num" w:pos="1134"/>
        </w:tabs>
        <w:ind w:left="1134" w:hanging="774"/>
      </w:pPr>
      <w:r w:rsidRPr="00D70414">
        <w:t>SOP</w:t>
      </w:r>
      <w:r w:rsidRPr="00D70414">
        <w:tab/>
      </w:r>
      <w:r w:rsidRPr="00D70414">
        <w:tab/>
        <w:t>Standard operating procedure</w:t>
      </w:r>
    </w:p>
    <w:p w:rsidR="00363479" w:rsidRPr="00D70414" w:rsidRDefault="00363479" w:rsidP="00485743">
      <w:pPr>
        <w:pStyle w:val="Heading2"/>
        <w:tabs>
          <w:tab w:val="clear" w:pos="792"/>
          <w:tab w:val="num" w:pos="1134"/>
        </w:tabs>
        <w:ind w:left="1134" w:hanging="774"/>
      </w:pPr>
      <w:r w:rsidRPr="00D70414">
        <w:t>TBV</w:t>
      </w:r>
      <w:r w:rsidRPr="00D70414">
        <w:tab/>
      </w:r>
      <w:r w:rsidRPr="00D70414">
        <w:tab/>
        <w:t>Total blood volume</w:t>
      </w:r>
    </w:p>
    <w:p w:rsidR="00363479" w:rsidRPr="00D70414" w:rsidRDefault="00363479">
      <w:pPr>
        <w:pStyle w:val="Heading1"/>
        <w:rPr>
          <w:b w:val="0"/>
          <w:iCs/>
        </w:rPr>
      </w:pPr>
      <w:r w:rsidRPr="00D70414">
        <w:lastRenderedPageBreak/>
        <w:t>Materials</w:t>
      </w:r>
    </w:p>
    <w:p w:rsidR="00363479" w:rsidRPr="00D70414" w:rsidRDefault="00363479">
      <w:pPr>
        <w:pStyle w:val="Heading2"/>
        <w:rPr>
          <w:b/>
          <w:iCs w:val="0"/>
          <w:color w:val="215868"/>
        </w:rPr>
      </w:pPr>
      <w:r w:rsidRPr="00D70414">
        <w:rPr>
          <w:b/>
          <w:iCs w:val="0"/>
          <w:color w:val="215868"/>
        </w:rPr>
        <w:t>Equipment</w:t>
      </w:r>
    </w:p>
    <w:p w:rsidR="00363479" w:rsidRPr="00D70414" w:rsidRDefault="00363479">
      <w:pPr>
        <w:pStyle w:val="Heading3"/>
        <w:tabs>
          <w:tab w:val="clear" w:pos="1224"/>
          <w:tab w:val="num" w:pos="1560"/>
        </w:tabs>
        <w:ind w:left="1560" w:hanging="851"/>
      </w:pPr>
      <w:r w:rsidRPr="00D70414">
        <w:t xml:space="preserve">Spectra </w:t>
      </w:r>
      <w:proofErr w:type="spellStart"/>
      <w:r w:rsidRPr="00D70414">
        <w:t>Optia</w:t>
      </w:r>
      <w:proofErr w:type="spellEnd"/>
      <w:r w:rsidRPr="00D70414">
        <w:t xml:space="preserve"> Apheresis System (version 11.3) – CMNC Collection.</w:t>
      </w:r>
    </w:p>
    <w:p w:rsidR="00363479" w:rsidRPr="00D70414" w:rsidRDefault="00363479">
      <w:pPr>
        <w:pStyle w:val="Heading3"/>
        <w:tabs>
          <w:tab w:val="clear" w:pos="1224"/>
          <w:tab w:val="num" w:pos="1560"/>
        </w:tabs>
        <w:ind w:left="1560" w:hanging="851"/>
      </w:pPr>
      <w:r w:rsidRPr="00D70414">
        <w:t>IDL filler</w:t>
      </w:r>
    </w:p>
    <w:p w:rsidR="00363479" w:rsidRPr="00D70414" w:rsidRDefault="00363479">
      <w:pPr>
        <w:pStyle w:val="Heading3"/>
        <w:tabs>
          <w:tab w:val="clear" w:pos="1224"/>
          <w:tab w:val="num" w:pos="1560"/>
        </w:tabs>
        <w:ind w:left="1560" w:hanging="851"/>
      </w:pPr>
      <w:r w:rsidRPr="00D70414">
        <w:t>Electronic blood pressure monitor</w:t>
      </w:r>
    </w:p>
    <w:p w:rsidR="00363479" w:rsidRPr="00D70414" w:rsidRDefault="00363479">
      <w:pPr>
        <w:pStyle w:val="Heading3"/>
        <w:tabs>
          <w:tab w:val="clear" w:pos="1224"/>
          <w:tab w:val="num" w:pos="1560"/>
        </w:tabs>
        <w:ind w:left="1560" w:hanging="851"/>
      </w:pPr>
      <w:r w:rsidRPr="00D70414">
        <w:t>Volumetric infusion pump</w:t>
      </w:r>
    </w:p>
    <w:p w:rsidR="00363479" w:rsidRPr="00D70414" w:rsidRDefault="00363479">
      <w:pPr>
        <w:pStyle w:val="Heading3"/>
        <w:tabs>
          <w:tab w:val="clear" w:pos="1224"/>
          <w:tab w:val="num" w:pos="1560"/>
        </w:tabs>
        <w:ind w:left="1560" w:hanging="851"/>
      </w:pPr>
      <w:r w:rsidRPr="00D70414">
        <w:t>Heat sealer</w:t>
      </w:r>
    </w:p>
    <w:p w:rsidR="00363479" w:rsidRPr="00D70414" w:rsidRDefault="00363479">
      <w:pPr>
        <w:pStyle w:val="Heading2"/>
        <w:rPr>
          <w:b/>
          <w:iCs w:val="0"/>
          <w:color w:val="215868"/>
        </w:rPr>
      </w:pPr>
      <w:r w:rsidRPr="00D70414">
        <w:rPr>
          <w:b/>
          <w:iCs w:val="0"/>
          <w:color w:val="215868"/>
        </w:rPr>
        <w:t>Disposables and Reagents</w:t>
      </w:r>
    </w:p>
    <w:p w:rsidR="00363479" w:rsidRPr="00D70414" w:rsidRDefault="00363479">
      <w:pPr>
        <w:pStyle w:val="Heading3"/>
        <w:tabs>
          <w:tab w:val="clear" w:pos="1224"/>
          <w:tab w:val="num" w:pos="1560"/>
        </w:tabs>
        <w:ind w:left="1560" w:hanging="851"/>
      </w:pPr>
      <w:r w:rsidRPr="00D70414">
        <w:t xml:space="preserve">Spectra </w:t>
      </w:r>
      <w:proofErr w:type="spellStart"/>
      <w:r w:rsidRPr="00D70414">
        <w:t>Optia</w:t>
      </w:r>
      <w:proofErr w:type="spellEnd"/>
      <w:r w:rsidRPr="00D70414">
        <w:t xml:space="preserve"> IDL Set (Ref: 10310).</w:t>
      </w:r>
    </w:p>
    <w:p w:rsidR="00363479" w:rsidRPr="00D70414" w:rsidRDefault="00363479">
      <w:pPr>
        <w:pStyle w:val="Heading3"/>
        <w:tabs>
          <w:tab w:val="clear" w:pos="1224"/>
          <w:tab w:val="num" w:pos="1560"/>
        </w:tabs>
        <w:ind w:left="1560" w:hanging="851"/>
      </w:pPr>
      <w:r w:rsidRPr="00D70414">
        <w:t>ACD-A anticoagulant (750ml)</w:t>
      </w:r>
    </w:p>
    <w:p w:rsidR="00363479" w:rsidRPr="00D70414" w:rsidRDefault="00363479">
      <w:pPr>
        <w:pStyle w:val="Heading3"/>
        <w:tabs>
          <w:tab w:val="clear" w:pos="1224"/>
          <w:tab w:val="num" w:pos="1560"/>
        </w:tabs>
        <w:ind w:left="1560" w:hanging="851"/>
      </w:pPr>
      <w:r w:rsidRPr="00D70414">
        <w:t>0.9% normal saline (1000ml)</w:t>
      </w:r>
    </w:p>
    <w:p w:rsidR="00363479" w:rsidRPr="00D70414" w:rsidRDefault="00363479">
      <w:pPr>
        <w:pStyle w:val="Heading3"/>
        <w:tabs>
          <w:tab w:val="clear" w:pos="1224"/>
          <w:tab w:val="num" w:pos="1560"/>
        </w:tabs>
        <w:ind w:left="1560" w:hanging="851"/>
      </w:pPr>
      <w:r w:rsidRPr="00D70414">
        <w:t>Alcohol swab</w:t>
      </w:r>
    </w:p>
    <w:p w:rsidR="00363479" w:rsidRPr="00D70414" w:rsidRDefault="00363479">
      <w:pPr>
        <w:pStyle w:val="Heading3"/>
        <w:tabs>
          <w:tab w:val="clear" w:pos="1224"/>
          <w:tab w:val="num" w:pos="1560"/>
        </w:tabs>
        <w:ind w:left="1560" w:hanging="851"/>
      </w:pPr>
      <w:r w:rsidRPr="00D70414">
        <w:t>3 way taps (2)</w:t>
      </w:r>
    </w:p>
    <w:p w:rsidR="00363479" w:rsidRPr="00D70414" w:rsidRDefault="00363479">
      <w:pPr>
        <w:pStyle w:val="Heading3"/>
        <w:tabs>
          <w:tab w:val="clear" w:pos="1224"/>
          <w:tab w:val="num" w:pos="1560"/>
        </w:tabs>
        <w:ind w:left="1560" w:hanging="851"/>
      </w:pPr>
      <w:r w:rsidRPr="00D70414">
        <w:t xml:space="preserve">IV cannulation or central line equipment. Refer to procedures: 05450/Proc: </w:t>
      </w:r>
      <w:r w:rsidR="00D567E8" w:rsidRPr="00D70414">
        <w:t>Peripheral Intravenous Cannulation, Venepuncture and Infusions – Adult and Paediatrics</w:t>
      </w:r>
      <w:r w:rsidRPr="00D70414">
        <w:t xml:space="preserve">; 05501/Proc: Cannulation of Haemodialysis Access; 05600/Proc: Central Venous Access Devices (CVADs), Management – Adult. Ensure use of sufficient </w:t>
      </w:r>
      <w:r w:rsidR="00D567E8" w:rsidRPr="00D70414">
        <w:t>gauge</w:t>
      </w:r>
      <w:r w:rsidRPr="00D70414">
        <w:t xml:space="preserve"> cannulas (</w:t>
      </w:r>
      <w:proofErr w:type="spellStart"/>
      <w:r w:rsidRPr="00D70414">
        <w:t>backeye</w:t>
      </w:r>
      <w:proofErr w:type="spellEnd"/>
      <w:r w:rsidRPr="00D70414">
        <w:t xml:space="preserve"> needles are preferable for inlet venous access) to allow for adequate flow required for the procedure (preferably at least 16G for inlet and 18G for return)</w:t>
      </w:r>
    </w:p>
    <w:p w:rsidR="00363479" w:rsidRPr="00D70414" w:rsidRDefault="00363479">
      <w:pPr>
        <w:pStyle w:val="Heading3"/>
        <w:tabs>
          <w:tab w:val="clear" w:pos="1224"/>
          <w:tab w:val="num" w:pos="1560"/>
        </w:tabs>
        <w:ind w:left="1560" w:hanging="851"/>
        <w:rPr>
          <w:bCs w:val="0"/>
        </w:rPr>
      </w:pPr>
      <w:r w:rsidRPr="00D70414">
        <w:rPr>
          <w:bCs w:val="0"/>
        </w:rPr>
        <w:t xml:space="preserve">Blood </w:t>
      </w:r>
      <w:r w:rsidRPr="00D70414">
        <w:t>collection</w:t>
      </w:r>
      <w:r w:rsidRPr="00D70414">
        <w:rPr>
          <w:bCs w:val="0"/>
        </w:rPr>
        <w:t xml:space="preserve"> tubes</w:t>
      </w:r>
    </w:p>
    <w:p w:rsidR="00363479" w:rsidRPr="00D70414" w:rsidRDefault="00363479">
      <w:pPr>
        <w:pStyle w:val="Heading3"/>
        <w:tabs>
          <w:tab w:val="clear" w:pos="1224"/>
          <w:tab w:val="num" w:pos="1560"/>
        </w:tabs>
        <w:ind w:left="1560" w:hanging="851"/>
      </w:pPr>
      <w:r w:rsidRPr="00D70414">
        <w:t>Intravenous giving set</w:t>
      </w:r>
    </w:p>
    <w:p w:rsidR="00363479" w:rsidRPr="00D70414" w:rsidRDefault="00363479">
      <w:pPr>
        <w:pStyle w:val="Heading3"/>
        <w:tabs>
          <w:tab w:val="clear" w:pos="1224"/>
          <w:tab w:val="num" w:pos="1560"/>
        </w:tabs>
        <w:ind w:left="1560" w:hanging="851"/>
      </w:pPr>
      <w:r w:rsidRPr="00D70414">
        <w:t>Burette</w:t>
      </w:r>
    </w:p>
    <w:p w:rsidR="00363479" w:rsidRPr="00D70414" w:rsidRDefault="00363479">
      <w:pPr>
        <w:pStyle w:val="Heading1"/>
      </w:pPr>
      <w:r w:rsidRPr="00D70414">
        <w:t>Special Considerations</w:t>
      </w:r>
    </w:p>
    <w:p w:rsidR="00363479" w:rsidRPr="00D70414" w:rsidRDefault="00363479" w:rsidP="0078197D">
      <w:pPr>
        <w:pStyle w:val="Heading2"/>
        <w:tabs>
          <w:tab w:val="clear" w:pos="792"/>
          <w:tab w:val="num" w:pos="993"/>
        </w:tabs>
        <w:ind w:left="993" w:hanging="633"/>
      </w:pPr>
      <w:r w:rsidRPr="00D70414">
        <w:t xml:space="preserve">This procedure describes how to perform </w:t>
      </w:r>
      <w:r w:rsidR="0078197D">
        <w:t>a</w:t>
      </w:r>
      <w:r w:rsidRPr="00D70414">
        <w:t xml:space="preserve"> CMNC procedure. </w:t>
      </w:r>
    </w:p>
    <w:p w:rsidR="00363479" w:rsidRPr="00D70414" w:rsidRDefault="00363479">
      <w:pPr>
        <w:pStyle w:val="Heading2"/>
        <w:tabs>
          <w:tab w:val="clear" w:pos="792"/>
          <w:tab w:val="num" w:pos="993"/>
        </w:tabs>
        <w:ind w:left="993" w:hanging="633"/>
      </w:pPr>
      <w:r w:rsidRPr="00D70414">
        <w:t>Ensure haematocrit is accurate, as this is used to calculate:</w:t>
      </w:r>
    </w:p>
    <w:p w:rsidR="00363479" w:rsidRPr="00D70414" w:rsidRDefault="0078197D">
      <w:pPr>
        <w:pStyle w:val="Heading3"/>
        <w:tabs>
          <w:tab w:val="clear" w:pos="1224"/>
          <w:tab w:val="num" w:pos="1560"/>
        </w:tabs>
        <w:ind w:left="1560" w:hanging="851"/>
      </w:pPr>
      <w:r>
        <w:t>The limit</w:t>
      </w:r>
      <w:r w:rsidR="00363479" w:rsidRPr="00D70414">
        <w:t xml:space="preserve"> for collect volumes</w:t>
      </w:r>
    </w:p>
    <w:p w:rsidR="00363479" w:rsidRPr="00D70414" w:rsidRDefault="00363479">
      <w:pPr>
        <w:pStyle w:val="Heading3"/>
        <w:tabs>
          <w:tab w:val="clear" w:pos="1224"/>
          <w:tab w:val="num" w:pos="1560"/>
        </w:tabs>
        <w:ind w:left="1560" w:hanging="851"/>
      </w:pPr>
      <w:r w:rsidRPr="00D70414">
        <w:t>The plasma pump flow rate before the AIM system manages the concentration of cells in the collect port</w:t>
      </w:r>
    </w:p>
    <w:p w:rsidR="00363479" w:rsidRPr="00D70414" w:rsidRDefault="00363479">
      <w:pPr>
        <w:pStyle w:val="Heading3"/>
        <w:tabs>
          <w:tab w:val="clear" w:pos="1224"/>
          <w:tab w:val="num" w:pos="1560"/>
        </w:tabs>
        <w:ind w:left="1560" w:hanging="851"/>
      </w:pPr>
      <w:r w:rsidRPr="00D70414">
        <w:t xml:space="preserve">Changing the haematocrit </w:t>
      </w:r>
      <w:r w:rsidR="003D20DB" w:rsidRPr="00D70414">
        <w:rPr>
          <w:b/>
          <w:u w:val="single"/>
        </w:rPr>
        <w:t>after</w:t>
      </w:r>
      <w:r w:rsidR="003D20DB" w:rsidRPr="00D70414">
        <w:t xml:space="preserve"> the interface has been established</w:t>
      </w:r>
      <w:r w:rsidRPr="00D70414">
        <w:t xml:space="preserve"> will not change the interface position </w:t>
      </w:r>
    </w:p>
    <w:p w:rsidR="00363479" w:rsidRPr="00D70414" w:rsidRDefault="00363479">
      <w:pPr>
        <w:pStyle w:val="Heading2"/>
        <w:tabs>
          <w:tab w:val="clear" w:pos="792"/>
          <w:tab w:val="num" w:pos="993"/>
        </w:tabs>
        <w:ind w:left="993" w:hanging="633"/>
      </w:pPr>
      <w:r w:rsidRPr="00D70414">
        <w:t>The packing factor whilst collecting MNC defaults to 4.5</w:t>
      </w:r>
    </w:p>
    <w:p w:rsidR="00363479" w:rsidRPr="00243552" w:rsidRDefault="00243552">
      <w:pPr>
        <w:pStyle w:val="Heading2"/>
        <w:tabs>
          <w:tab w:val="clear" w:pos="792"/>
          <w:tab w:val="num" w:pos="993"/>
        </w:tabs>
        <w:ind w:left="993" w:hanging="633"/>
      </w:pPr>
      <w:r>
        <w:t>No plasma is to be collected</w:t>
      </w:r>
    </w:p>
    <w:p w:rsidR="00363479" w:rsidRPr="00D70414" w:rsidRDefault="00363479">
      <w:pPr>
        <w:pStyle w:val="Heading2"/>
        <w:tabs>
          <w:tab w:val="clear" w:pos="792"/>
          <w:tab w:val="num" w:pos="993"/>
        </w:tabs>
        <w:ind w:left="993" w:hanging="633"/>
      </w:pPr>
      <w:r w:rsidRPr="00D70414">
        <w:t xml:space="preserve">There </w:t>
      </w:r>
      <w:r w:rsidRPr="00D70414">
        <w:rPr>
          <w:b/>
        </w:rPr>
        <w:t>MUST</w:t>
      </w:r>
      <w:r w:rsidRPr="00D70414">
        <w:t xml:space="preserve"> be FBC </w:t>
      </w:r>
      <w:r w:rsidR="00273678">
        <w:t xml:space="preserve">and ELFT blood test results </w:t>
      </w:r>
      <w:r w:rsidRPr="00D70414">
        <w:t xml:space="preserve">available (taken within the previous 24hrs) </w:t>
      </w:r>
      <w:r w:rsidRPr="00D70414">
        <w:rPr>
          <w:b/>
        </w:rPr>
        <w:t xml:space="preserve">PRIOR </w:t>
      </w:r>
      <w:r w:rsidRPr="00D70414">
        <w:t>to commencement of procedure.</w:t>
      </w:r>
    </w:p>
    <w:p w:rsidR="00363479" w:rsidRPr="00D70414" w:rsidRDefault="00363479">
      <w:pPr>
        <w:pStyle w:val="Heading2"/>
        <w:tabs>
          <w:tab w:val="clear" w:pos="792"/>
          <w:tab w:val="num" w:pos="993"/>
        </w:tabs>
        <w:ind w:left="993" w:hanging="633"/>
      </w:pPr>
      <w:r w:rsidRPr="00D70414">
        <w:lastRenderedPageBreak/>
        <w:t xml:space="preserve">The minimum FBC criteria required in order to proceed with the procedure is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10"/>
      </w:tblGrid>
      <w:tr w:rsidR="00363479" w:rsidRPr="00D70414">
        <w:tc>
          <w:tcPr>
            <w:tcW w:w="4927" w:type="dxa"/>
            <w:vMerge w:val="restart"/>
            <w:shd w:val="clear" w:color="auto" w:fill="F2F2F2"/>
          </w:tcPr>
          <w:p w:rsidR="00363479" w:rsidRPr="00D70414" w:rsidRDefault="00363479">
            <w:pPr>
              <w:rPr>
                <w:rFonts w:ascii="Arial" w:hAnsi="Arial" w:cs="Arial"/>
                <w:b/>
              </w:rPr>
            </w:pPr>
          </w:p>
          <w:p w:rsidR="00363479" w:rsidRPr="00D70414" w:rsidRDefault="00243552">
            <w:pPr>
              <w:rPr>
                <w:rFonts w:ascii="Arial" w:hAnsi="Arial" w:cs="Arial"/>
                <w:b/>
              </w:rPr>
            </w:pPr>
            <w:r>
              <w:rPr>
                <w:rFonts w:ascii="Arial" w:hAnsi="Arial" w:cs="Arial"/>
                <w:b/>
              </w:rPr>
              <w:t>QIMR volunteer</w:t>
            </w:r>
          </w:p>
        </w:tc>
        <w:tc>
          <w:tcPr>
            <w:tcW w:w="4927" w:type="dxa"/>
          </w:tcPr>
          <w:p w:rsidR="00363479" w:rsidRPr="00D70414" w:rsidRDefault="00363479">
            <w:pPr>
              <w:rPr>
                <w:rFonts w:ascii="Arial" w:hAnsi="Arial" w:cs="Arial"/>
              </w:rPr>
            </w:pPr>
          </w:p>
          <w:p w:rsidR="00363479" w:rsidRPr="00D70414" w:rsidRDefault="00363479">
            <w:pPr>
              <w:rPr>
                <w:rFonts w:ascii="Arial" w:hAnsi="Arial" w:cs="Arial"/>
              </w:rPr>
            </w:pPr>
            <w:r w:rsidRPr="00D70414">
              <w:rPr>
                <w:rFonts w:ascii="Arial" w:hAnsi="Arial" w:cs="Arial"/>
              </w:rPr>
              <w:t xml:space="preserve">Platelet     </w:t>
            </w:r>
            <w:r w:rsidRPr="00D70414">
              <w:rPr>
                <w:rFonts w:ascii="Arial" w:hAnsi="Arial" w:cs="Arial"/>
                <w:u w:val="single"/>
              </w:rPr>
              <w:t>&gt;</w:t>
            </w:r>
            <w:r w:rsidRPr="00D70414">
              <w:rPr>
                <w:rFonts w:ascii="Arial" w:hAnsi="Arial" w:cs="Arial"/>
              </w:rPr>
              <w:t xml:space="preserve"> 100 x 10</w:t>
            </w:r>
            <w:r w:rsidRPr="00D70414">
              <w:rPr>
                <w:rFonts w:ascii="Arial" w:hAnsi="Arial" w:cs="Arial"/>
                <w:vertAlign w:val="superscript"/>
              </w:rPr>
              <w:t>9</w:t>
            </w:r>
            <w:r w:rsidRPr="00D70414">
              <w:rPr>
                <w:rFonts w:ascii="Arial" w:hAnsi="Arial" w:cs="Arial"/>
              </w:rPr>
              <w:t>/L</w:t>
            </w:r>
          </w:p>
        </w:tc>
      </w:tr>
      <w:tr w:rsidR="00363479" w:rsidRPr="00D70414">
        <w:tc>
          <w:tcPr>
            <w:tcW w:w="4927" w:type="dxa"/>
            <w:vMerge/>
            <w:shd w:val="clear" w:color="auto" w:fill="F2F2F2"/>
          </w:tcPr>
          <w:p w:rsidR="00363479" w:rsidRPr="00D70414" w:rsidRDefault="00363479">
            <w:pPr>
              <w:rPr>
                <w:rFonts w:ascii="Arial" w:hAnsi="Arial" w:cs="Arial"/>
                <w:b/>
              </w:rPr>
            </w:pPr>
          </w:p>
        </w:tc>
        <w:tc>
          <w:tcPr>
            <w:tcW w:w="4927" w:type="dxa"/>
          </w:tcPr>
          <w:p w:rsidR="00363479" w:rsidRPr="00D70414" w:rsidRDefault="00363479">
            <w:pPr>
              <w:rPr>
                <w:rFonts w:ascii="Arial" w:hAnsi="Arial" w:cs="Arial"/>
              </w:rPr>
            </w:pPr>
          </w:p>
          <w:p w:rsidR="00363479" w:rsidRPr="00D70414" w:rsidRDefault="00363479">
            <w:pPr>
              <w:rPr>
                <w:rFonts w:ascii="Arial" w:hAnsi="Arial" w:cs="Arial"/>
              </w:rPr>
            </w:pPr>
            <w:r w:rsidRPr="00D70414">
              <w:rPr>
                <w:rFonts w:ascii="Arial" w:hAnsi="Arial" w:cs="Arial"/>
              </w:rPr>
              <w:t xml:space="preserve">Hb            </w:t>
            </w:r>
            <w:r w:rsidRPr="00D70414">
              <w:rPr>
                <w:rFonts w:ascii="Arial" w:hAnsi="Arial" w:cs="Arial"/>
                <w:u w:val="single"/>
              </w:rPr>
              <w:t>&gt;</w:t>
            </w:r>
            <w:r w:rsidRPr="00D70414">
              <w:rPr>
                <w:rFonts w:ascii="Arial" w:hAnsi="Arial" w:cs="Arial"/>
              </w:rPr>
              <w:t xml:space="preserve"> 100G/L</w:t>
            </w:r>
          </w:p>
        </w:tc>
      </w:tr>
    </w:tbl>
    <w:p w:rsidR="00AE2BE3" w:rsidRPr="00D70414" w:rsidRDefault="00AE2BE3" w:rsidP="00AE2BE3">
      <w:pPr>
        <w:pStyle w:val="Heading2"/>
        <w:tabs>
          <w:tab w:val="clear" w:pos="792"/>
          <w:tab w:val="num" w:pos="993"/>
        </w:tabs>
        <w:ind w:left="993" w:hanging="633"/>
      </w:pPr>
      <w:r w:rsidRPr="00D70414">
        <w:t xml:space="preserve">There is a risk of deranged </w:t>
      </w:r>
      <w:r w:rsidR="00243552">
        <w:t>electrolytes</w:t>
      </w:r>
      <w:r w:rsidRPr="00D70414">
        <w:t xml:space="preserve"> due to the</w:t>
      </w:r>
      <w:r w:rsidR="00243552">
        <w:t xml:space="preserve"> effects of the</w:t>
      </w:r>
      <w:r w:rsidRPr="00D70414">
        <w:t xml:space="preserve"> procedure. This effect is usually transient and resolves quickly upon cessation of CMNC collection. Electrolyte replacement may be required. Calcium gluconate is the most frequently required electrolyte replacement and the amount and rate is dependent on symptoms of hypocalcaemia</w:t>
      </w:r>
      <w:r w:rsidR="004B5A24" w:rsidRPr="00D70414">
        <w:t xml:space="preserve"> during the procedure. Magnesium and potassium replacement can also be required, </w:t>
      </w:r>
      <w:r w:rsidRPr="00D70414">
        <w:t xml:space="preserve">below is a guide for </w:t>
      </w:r>
      <w:r w:rsidR="00E81504" w:rsidRPr="00D70414">
        <w:t>when supplementation may be required</w:t>
      </w:r>
      <w:r w:rsidRPr="00D70414">
        <w:t>:</w:t>
      </w:r>
    </w:p>
    <w:p w:rsidR="00AE2BE3" w:rsidRPr="00D70414" w:rsidRDefault="00AE2BE3" w:rsidP="00AE2BE3"/>
    <w:tbl>
      <w:tblPr>
        <w:tblStyle w:val="TableGrid"/>
        <w:tblW w:w="0" w:type="auto"/>
        <w:tblLook w:val="04A0" w:firstRow="1" w:lastRow="0" w:firstColumn="1" w:lastColumn="0" w:noHBand="0" w:noVBand="1"/>
      </w:tblPr>
      <w:tblGrid>
        <w:gridCol w:w="4810"/>
        <w:gridCol w:w="4818"/>
      </w:tblGrid>
      <w:tr w:rsidR="00AE2BE3" w:rsidRPr="00D70414" w:rsidTr="004B5A24">
        <w:trPr>
          <w:trHeight w:val="610"/>
        </w:trPr>
        <w:tc>
          <w:tcPr>
            <w:tcW w:w="4927" w:type="dxa"/>
            <w:shd w:val="clear" w:color="auto" w:fill="F2F2F2" w:themeFill="background1" w:themeFillShade="F2"/>
            <w:vAlign w:val="center"/>
          </w:tcPr>
          <w:p w:rsidR="00AE2BE3" w:rsidRPr="00D70414" w:rsidRDefault="00AE2BE3" w:rsidP="00AE2BE3">
            <w:pPr>
              <w:jc w:val="center"/>
              <w:rPr>
                <w:rFonts w:ascii="Arial" w:hAnsi="Arial" w:cs="Arial"/>
                <w:b/>
              </w:rPr>
            </w:pPr>
            <w:r w:rsidRPr="00D70414">
              <w:rPr>
                <w:rFonts w:ascii="Arial" w:hAnsi="Arial" w:cs="Arial"/>
                <w:b/>
              </w:rPr>
              <w:t>Pre-Procedure Electrolyte</w:t>
            </w:r>
          </w:p>
        </w:tc>
        <w:tc>
          <w:tcPr>
            <w:tcW w:w="4927" w:type="dxa"/>
            <w:shd w:val="clear" w:color="auto" w:fill="F2F2F2" w:themeFill="background1" w:themeFillShade="F2"/>
            <w:vAlign w:val="center"/>
          </w:tcPr>
          <w:p w:rsidR="00AE2BE3" w:rsidRPr="00D70414" w:rsidRDefault="004B5A24" w:rsidP="00AE2BE3">
            <w:pPr>
              <w:jc w:val="center"/>
              <w:rPr>
                <w:rFonts w:ascii="Arial" w:hAnsi="Arial" w:cs="Arial"/>
                <w:b/>
              </w:rPr>
            </w:pPr>
            <w:r w:rsidRPr="00D70414">
              <w:rPr>
                <w:rFonts w:ascii="Arial" w:hAnsi="Arial" w:cs="Arial"/>
                <w:b/>
              </w:rPr>
              <w:t>Replacement</w:t>
            </w:r>
            <w:r w:rsidR="00E81504" w:rsidRPr="00D70414">
              <w:rPr>
                <w:rFonts w:ascii="Arial" w:hAnsi="Arial" w:cs="Arial"/>
                <w:b/>
              </w:rPr>
              <w:t xml:space="preserve"> guide</w:t>
            </w:r>
          </w:p>
        </w:tc>
      </w:tr>
      <w:tr w:rsidR="00AE2BE3" w:rsidRPr="00D70414" w:rsidTr="00AE2BE3">
        <w:tc>
          <w:tcPr>
            <w:tcW w:w="4927" w:type="dxa"/>
          </w:tcPr>
          <w:p w:rsidR="00AE2BE3" w:rsidRPr="00D70414" w:rsidRDefault="004B5A24" w:rsidP="00F01329">
            <w:pPr>
              <w:rPr>
                <w:rFonts w:ascii="Arial" w:hAnsi="Arial" w:cs="Arial"/>
              </w:rPr>
            </w:pPr>
            <w:r w:rsidRPr="00D70414">
              <w:rPr>
                <w:rFonts w:ascii="Arial" w:hAnsi="Arial" w:cs="Arial"/>
              </w:rPr>
              <w:t xml:space="preserve">Magnesium  &lt; </w:t>
            </w:r>
            <w:r w:rsidR="00F01329" w:rsidRPr="00D70414">
              <w:rPr>
                <w:rFonts w:ascii="Arial" w:hAnsi="Arial" w:cs="Arial"/>
              </w:rPr>
              <w:t>6</w:t>
            </w:r>
            <w:r w:rsidRPr="00D70414">
              <w:rPr>
                <w:rFonts w:ascii="Arial" w:hAnsi="Arial" w:cs="Arial"/>
              </w:rPr>
              <w:t>0 mmol/L</w:t>
            </w:r>
          </w:p>
        </w:tc>
        <w:tc>
          <w:tcPr>
            <w:tcW w:w="4927" w:type="dxa"/>
          </w:tcPr>
          <w:p w:rsidR="00AE2BE3" w:rsidRPr="00D70414" w:rsidRDefault="00E81504" w:rsidP="00E81504">
            <w:pPr>
              <w:rPr>
                <w:rFonts w:ascii="Arial" w:hAnsi="Arial" w:cs="Arial"/>
              </w:rPr>
            </w:pPr>
            <w:r w:rsidRPr="00D70414">
              <w:rPr>
                <w:rFonts w:ascii="Arial" w:hAnsi="Arial" w:cs="Arial"/>
              </w:rPr>
              <w:t>10 – 20</w:t>
            </w:r>
            <w:r w:rsidR="004B5A24" w:rsidRPr="00D70414">
              <w:rPr>
                <w:rFonts w:ascii="Arial" w:hAnsi="Arial" w:cs="Arial"/>
              </w:rPr>
              <w:t xml:space="preserve"> </w:t>
            </w:r>
            <w:proofErr w:type="spellStart"/>
            <w:r w:rsidR="004B5A24" w:rsidRPr="00D70414">
              <w:rPr>
                <w:rFonts w:ascii="Arial" w:hAnsi="Arial" w:cs="Arial"/>
              </w:rPr>
              <w:t>mmols</w:t>
            </w:r>
            <w:proofErr w:type="spellEnd"/>
            <w:r w:rsidR="004B5A24" w:rsidRPr="00D70414">
              <w:rPr>
                <w:rFonts w:ascii="Arial" w:hAnsi="Arial" w:cs="Arial"/>
              </w:rPr>
              <w:t xml:space="preserve"> IV magnesium sulphate </w:t>
            </w:r>
            <w:r w:rsidR="00C5750D" w:rsidRPr="00D70414">
              <w:rPr>
                <w:rFonts w:ascii="Arial" w:hAnsi="Arial" w:cs="Arial"/>
              </w:rPr>
              <w:t xml:space="preserve">may be required </w:t>
            </w:r>
            <w:r w:rsidR="004B5A24" w:rsidRPr="00D70414">
              <w:rPr>
                <w:rFonts w:ascii="Arial" w:hAnsi="Arial" w:cs="Arial"/>
              </w:rPr>
              <w:t>during procedure</w:t>
            </w:r>
          </w:p>
        </w:tc>
      </w:tr>
      <w:tr w:rsidR="00AE2BE3" w:rsidRPr="00D70414" w:rsidTr="00AE2BE3">
        <w:tc>
          <w:tcPr>
            <w:tcW w:w="4927" w:type="dxa"/>
          </w:tcPr>
          <w:p w:rsidR="00AE2BE3" w:rsidRPr="00D70414" w:rsidRDefault="004B5A24" w:rsidP="00AE2BE3">
            <w:pPr>
              <w:rPr>
                <w:rFonts w:ascii="Arial" w:hAnsi="Arial" w:cs="Arial"/>
              </w:rPr>
            </w:pPr>
            <w:r w:rsidRPr="00D70414">
              <w:rPr>
                <w:rFonts w:ascii="Arial" w:hAnsi="Arial" w:cs="Arial"/>
              </w:rPr>
              <w:t>Potassium between 3.0 – 3.5 mmol/L</w:t>
            </w:r>
          </w:p>
        </w:tc>
        <w:tc>
          <w:tcPr>
            <w:tcW w:w="4927" w:type="dxa"/>
          </w:tcPr>
          <w:p w:rsidR="00AE2BE3" w:rsidRPr="00D70414" w:rsidRDefault="00E81504" w:rsidP="004B5A24">
            <w:pPr>
              <w:rPr>
                <w:rFonts w:ascii="Arial" w:hAnsi="Arial" w:cs="Arial"/>
              </w:rPr>
            </w:pPr>
            <w:r w:rsidRPr="00D70414">
              <w:rPr>
                <w:rFonts w:ascii="Arial" w:hAnsi="Arial" w:cs="Arial"/>
              </w:rPr>
              <w:t xml:space="preserve">Oral potassium may be required </w:t>
            </w:r>
            <w:proofErr w:type="spellStart"/>
            <w:r w:rsidRPr="00D70414">
              <w:rPr>
                <w:rFonts w:ascii="Arial" w:hAnsi="Arial" w:cs="Arial"/>
              </w:rPr>
              <w:t>e.g</w:t>
            </w:r>
            <w:proofErr w:type="spellEnd"/>
            <w:r w:rsidRPr="00D70414">
              <w:rPr>
                <w:rFonts w:ascii="Arial" w:hAnsi="Arial" w:cs="Arial"/>
              </w:rPr>
              <w:t xml:space="preserve"> </w:t>
            </w:r>
            <w:r w:rsidR="00F01329" w:rsidRPr="00D70414">
              <w:rPr>
                <w:rFonts w:ascii="Arial" w:hAnsi="Arial" w:cs="Arial"/>
              </w:rPr>
              <w:t>1-</w:t>
            </w:r>
            <w:r w:rsidRPr="00D70414">
              <w:rPr>
                <w:rFonts w:ascii="Arial" w:hAnsi="Arial" w:cs="Arial"/>
              </w:rPr>
              <w:t xml:space="preserve">2 </w:t>
            </w:r>
            <w:proofErr w:type="spellStart"/>
            <w:r w:rsidRPr="00D70414">
              <w:rPr>
                <w:rFonts w:ascii="Arial" w:hAnsi="Arial" w:cs="Arial"/>
              </w:rPr>
              <w:t>chlorvescent</w:t>
            </w:r>
            <w:proofErr w:type="spellEnd"/>
            <w:r w:rsidRPr="00D70414">
              <w:rPr>
                <w:rFonts w:ascii="Arial" w:hAnsi="Arial" w:cs="Arial"/>
              </w:rPr>
              <w:t xml:space="preserve"> tablets</w:t>
            </w:r>
            <w:r w:rsidR="004B5A24" w:rsidRPr="00D70414">
              <w:rPr>
                <w:rFonts w:ascii="Arial" w:hAnsi="Arial" w:cs="Arial"/>
              </w:rPr>
              <w:t xml:space="preserve"> </w:t>
            </w:r>
          </w:p>
        </w:tc>
      </w:tr>
      <w:tr w:rsidR="00AE2BE3" w:rsidRPr="00D70414" w:rsidTr="00AE2BE3">
        <w:tc>
          <w:tcPr>
            <w:tcW w:w="4927" w:type="dxa"/>
          </w:tcPr>
          <w:p w:rsidR="00AE2BE3" w:rsidRPr="00D70414" w:rsidRDefault="004B5A24" w:rsidP="00AE2BE3">
            <w:pPr>
              <w:rPr>
                <w:rFonts w:ascii="Arial" w:hAnsi="Arial" w:cs="Arial"/>
              </w:rPr>
            </w:pPr>
            <w:r w:rsidRPr="00D70414">
              <w:rPr>
                <w:rFonts w:ascii="Arial" w:hAnsi="Arial" w:cs="Arial"/>
              </w:rPr>
              <w:t>Potassium &lt; 3.0</w:t>
            </w:r>
            <w:r w:rsidR="00E81504" w:rsidRPr="00D70414">
              <w:rPr>
                <w:rFonts w:ascii="Arial" w:hAnsi="Arial" w:cs="Arial"/>
              </w:rPr>
              <w:t xml:space="preserve"> mmol</w:t>
            </w:r>
          </w:p>
        </w:tc>
        <w:tc>
          <w:tcPr>
            <w:tcW w:w="4927" w:type="dxa"/>
          </w:tcPr>
          <w:p w:rsidR="00AE2BE3" w:rsidRPr="00D70414" w:rsidRDefault="00E81504" w:rsidP="00F01329">
            <w:pPr>
              <w:rPr>
                <w:rFonts w:ascii="Arial" w:hAnsi="Arial" w:cs="Arial"/>
              </w:rPr>
            </w:pPr>
            <w:r w:rsidRPr="00D70414">
              <w:rPr>
                <w:rFonts w:ascii="Arial" w:hAnsi="Arial" w:cs="Arial"/>
              </w:rPr>
              <w:t xml:space="preserve">IV potassium chloride 20 </w:t>
            </w:r>
            <w:proofErr w:type="spellStart"/>
            <w:r w:rsidRPr="00D70414">
              <w:rPr>
                <w:rFonts w:ascii="Arial" w:hAnsi="Arial" w:cs="Arial"/>
              </w:rPr>
              <w:t>mmols</w:t>
            </w:r>
            <w:proofErr w:type="spellEnd"/>
            <w:r w:rsidRPr="00D70414">
              <w:rPr>
                <w:rFonts w:ascii="Arial" w:hAnsi="Arial" w:cs="Arial"/>
              </w:rPr>
              <w:t xml:space="preserve"> may be required during the procedure</w:t>
            </w:r>
            <w:r w:rsidR="00F01329" w:rsidRPr="00D70414">
              <w:rPr>
                <w:rFonts w:ascii="Arial" w:hAnsi="Arial" w:cs="Arial"/>
              </w:rPr>
              <w:t xml:space="preserve"> and / or </w:t>
            </w:r>
            <w:r w:rsidR="00055EF6" w:rsidRPr="00D70414">
              <w:rPr>
                <w:rFonts w:ascii="Arial" w:hAnsi="Arial" w:cs="Arial"/>
              </w:rPr>
              <w:t xml:space="preserve">3 </w:t>
            </w:r>
            <w:r w:rsidR="00F01329" w:rsidRPr="00D70414">
              <w:rPr>
                <w:rFonts w:ascii="Arial" w:hAnsi="Arial" w:cs="Arial"/>
              </w:rPr>
              <w:t xml:space="preserve">oral </w:t>
            </w:r>
            <w:proofErr w:type="spellStart"/>
            <w:r w:rsidR="00F01329" w:rsidRPr="00D70414">
              <w:rPr>
                <w:rFonts w:ascii="Arial" w:hAnsi="Arial" w:cs="Arial"/>
              </w:rPr>
              <w:t>chlorvescent</w:t>
            </w:r>
            <w:proofErr w:type="spellEnd"/>
            <w:r w:rsidR="00F01329" w:rsidRPr="00D70414">
              <w:rPr>
                <w:rFonts w:ascii="Arial" w:hAnsi="Arial" w:cs="Arial"/>
              </w:rPr>
              <w:t xml:space="preserve"> </w:t>
            </w:r>
          </w:p>
        </w:tc>
      </w:tr>
    </w:tbl>
    <w:p w:rsidR="00AE2BE3" w:rsidRPr="00D70414" w:rsidRDefault="00AE2BE3" w:rsidP="00AE2BE3"/>
    <w:p w:rsidR="00363479" w:rsidRPr="00D70414" w:rsidRDefault="00363479">
      <w:pPr>
        <w:pStyle w:val="Heading1"/>
      </w:pPr>
      <w:r w:rsidRPr="00D70414">
        <w:t>Procedure</w:t>
      </w:r>
    </w:p>
    <w:p w:rsidR="00363479" w:rsidRPr="00D70414" w:rsidRDefault="00363479">
      <w:pPr>
        <w:pStyle w:val="Heading2"/>
        <w:tabs>
          <w:tab w:val="clear" w:pos="792"/>
          <w:tab w:val="num" w:pos="993"/>
        </w:tabs>
        <w:ind w:left="993" w:hanging="633"/>
      </w:pPr>
      <w:r w:rsidRPr="00D70414">
        <w:t>Confirm the following forms are current and valid:</w:t>
      </w:r>
    </w:p>
    <w:p w:rsidR="00363479" w:rsidRPr="00D70414" w:rsidRDefault="00363479">
      <w:pPr>
        <w:pStyle w:val="Heading3"/>
        <w:tabs>
          <w:tab w:val="clear" w:pos="1224"/>
          <w:tab w:val="num" w:pos="1560"/>
        </w:tabs>
        <w:ind w:left="1560" w:hanging="851"/>
      </w:pPr>
      <w:r w:rsidRPr="00D70414">
        <w:t>CLIFRM013: RBWH Donor Consent for Bone Marrow harvest or Apheresis Procedure</w:t>
      </w:r>
    </w:p>
    <w:p w:rsidR="00363479" w:rsidRPr="00D70414" w:rsidRDefault="00363479">
      <w:pPr>
        <w:pStyle w:val="Heading3"/>
        <w:tabs>
          <w:tab w:val="clear" w:pos="1224"/>
          <w:tab w:val="num" w:pos="1560"/>
        </w:tabs>
        <w:ind w:left="1560" w:hanging="851"/>
      </w:pPr>
      <w:r w:rsidRPr="00D70414">
        <w:t>COLFRM028: RBWH Apheresis Service Request</w:t>
      </w:r>
    </w:p>
    <w:p w:rsidR="00AA09D4" w:rsidRPr="00D70414" w:rsidRDefault="00363479" w:rsidP="00F87895">
      <w:pPr>
        <w:pStyle w:val="Heading2"/>
        <w:tabs>
          <w:tab w:val="clear" w:pos="792"/>
          <w:tab w:val="num" w:pos="993"/>
        </w:tabs>
        <w:ind w:left="993" w:hanging="633"/>
      </w:pPr>
      <w:r w:rsidRPr="00D70414">
        <w:t xml:space="preserve">Prior to commencement of procedure, ensure patient has had appropriate IDMs taken. </w:t>
      </w:r>
    </w:p>
    <w:p w:rsidR="00363479" w:rsidRPr="00D70414" w:rsidRDefault="00363479">
      <w:pPr>
        <w:pStyle w:val="Heading3"/>
        <w:tabs>
          <w:tab w:val="clear" w:pos="1224"/>
          <w:tab w:val="num" w:pos="1560"/>
        </w:tabs>
        <w:ind w:left="1560" w:hanging="851"/>
      </w:pPr>
      <w:r w:rsidRPr="00D70414">
        <w:t>HIV</w:t>
      </w:r>
      <w:r w:rsidR="00AA09D4" w:rsidRPr="00D70414">
        <w:t xml:space="preserve"> serology</w:t>
      </w:r>
      <w:r w:rsidR="00F87895" w:rsidRPr="00D70414">
        <w:t xml:space="preserve"> </w:t>
      </w:r>
    </w:p>
    <w:p w:rsidR="00363479" w:rsidRPr="00D70414" w:rsidRDefault="00363479">
      <w:pPr>
        <w:pStyle w:val="Heading3"/>
        <w:tabs>
          <w:tab w:val="clear" w:pos="1224"/>
          <w:tab w:val="num" w:pos="1560"/>
        </w:tabs>
        <w:ind w:left="1560" w:hanging="851"/>
      </w:pPr>
      <w:r w:rsidRPr="00D70414">
        <w:t>Hepatitis B</w:t>
      </w:r>
      <w:r w:rsidR="00AA09D4" w:rsidRPr="00D70414">
        <w:t xml:space="preserve"> serology</w:t>
      </w:r>
      <w:r w:rsidR="00F87895" w:rsidRPr="00D70414">
        <w:t xml:space="preserve"> </w:t>
      </w:r>
    </w:p>
    <w:p w:rsidR="00363479" w:rsidRPr="00D70414" w:rsidRDefault="00363479">
      <w:pPr>
        <w:pStyle w:val="Heading3"/>
        <w:tabs>
          <w:tab w:val="clear" w:pos="1224"/>
          <w:tab w:val="num" w:pos="1560"/>
        </w:tabs>
        <w:ind w:left="1560" w:hanging="851"/>
      </w:pPr>
      <w:r w:rsidRPr="00D70414">
        <w:t>Hepatitis C</w:t>
      </w:r>
      <w:r w:rsidR="00AA09D4" w:rsidRPr="00D70414">
        <w:t xml:space="preserve"> serology</w:t>
      </w:r>
      <w:r w:rsidR="00F87895" w:rsidRPr="00D70414">
        <w:t xml:space="preserve"> </w:t>
      </w:r>
    </w:p>
    <w:p w:rsidR="00363479" w:rsidRPr="00D70414" w:rsidRDefault="00363479">
      <w:pPr>
        <w:pStyle w:val="Heading3"/>
        <w:tabs>
          <w:tab w:val="clear" w:pos="1224"/>
          <w:tab w:val="num" w:pos="1560"/>
        </w:tabs>
        <w:ind w:left="1560" w:hanging="851"/>
      </w:pPr>
      <w:r w:rsidRPr="00D70414">
        <w:t>Syphilis</w:t>
      </w:r>
    </w:p>
    <w:p w:rsidR="00363479" w:rsidRPr="00D70414" w:rsidRDefault="00363479">
      <w:pPr>
        <w:pStyle w:val="Heading2"/>
        <w:tabs>
          <w:tab w:val="clear" w:pos="792"/>
          <w:tab w:val="num" w:pos="993"/>
        </w:tabs>
        <w:ind w:left="993" w:hanging="633"/>
      </w:pPr>
      <w:r w:rsidRPr="00D70414">
        <w:t>All stock used to collect the product must be visually examined prior to use for signs of damage and contamination, as per COLSOP004: Apheresis Inventory Control Procedure. Record expiry date and lot number of all stock used on COLFRM030: RBWH Apheresis Product Collection form. Check expiry dates and lot numbers of procedure kit and intravenous fluid bags with 2</w:t>
      </w:r>
      <w:r w:rsidRPr="00D70414">
        <w:rPr>
          <w:vertAlign w:val="superscript"/>
        </w:rPr>
        <w:t>nd</w:t>
      </w:r>
      <w:r w:rsidRPr="00D70414">
        <w:t xml:space="preserve"> RN and record on COLFRM053: RBWH Apheresis Procedure Run Sheet: Spectra </w:t>
      </w:r>
      <w:proofErr w:type="spellStart"/>
      <w:r w:rsidRPr="00D70414">
        <w:t>Optia</w:t>
      </w:r>
      <w:proofErr w:type="spellEnd"/>
      <w:r w:rsidRPr="00D70414">
        <w:t xml:space="preserve"> </w:t>
      </w:r>
    </w:p>
    <w:p w:rsidR="00363479" w:rsidRPr="00D70414" w:rsidRDefault="00363479" w:rsidP="00107CC7">
      <w:pPr>
        <w:pStyle w:val="Heading3"/>
        <w:tabs>
          <w:tab w:val="clear" w:pos="1224"/>
          <w:tab w:val="num" w:pos="1560"/>
        </w:tabs>
        <w:ind w:left="1560" w:hanging="851"/>
      </w:pPr>
      <w:r w:rsidRPr="00D70414">
        <w:lastRenderedPageBreak/>
        <w:t>Confirm that all consumables and reagents used during the procedure are satisfactory for use; inspect for damage or evidence of contamination and mark the appropriate check box on COLFRM030: RBWH Apheresis Product Collection form</w:t>
      </w:r>
    </w:p>
    <w:p w:rsidR="00363479" w:rsidRPr="00D70414" w:rsidRDefault="00363479">
      <w:pPr>
        <w:pStyle w:val="Heading2"/>
        <w:tabs>
          <w:tab w:val="clear" w:pos="792"/>
          <w:tab w:val="num" w:pos="993"/>
        </w:tabs>
        <w:ind w:left="993" w:hanging="633"/>
      </w:pPr>
      <w:r w:rsidRPr="00D70414">
        <w:t xml:space="preserve">Set up, load and prime Spectra </w:t>
      </w:r>
      <w:proofErr w:type="spellStart"/>
      <w:r w:rsidRPr="00D70414">
        <w:t>Optia</w:t>
      </w:r>
      <w:proofErr w:type="spellEnd"/>
      <w:r w:rsidRPr="00D70414">
        <w:t xml:space="preserve"> IDL Set (Ref: 10310) as per on screen instructions</w:t>
      </w:r>
    </w:p>
    <w:p w:rsidR="00363479" w:rsidRPr="00D70414" w:rsidRDefault="00363479">
      <w:pPr>
        <w:pStyle w:val="Heading2"/>
        <w:tabs>
          <w:tab w:val="clear" w:pos="792"/>
          <w:tab w:val="num" w:pos="993"/>
        </w:tabs>
        <w:ind w:left="993" w:hanging="633"/>
      </w:pPr>
      <w:r w:rsidRPr="00D70414">
        <w:t>Follow machine prompts and enter patient data.</w:t>
      </w:r>
    </w:p>
    <w:p w:rsidR="00363479" w:rsidRPr="00D70414" w:rsidRDefault="00363479">
      <w:pPr>
        <w:pStyle w:val="Heading2"/>
        <w:tabs>
          <w:tab w:val="clear" w:pos="792"/>
          <w:tab w:val="num" w:pos="993"/>
        </w:tabs>
        <w:ind w:left="993" w:hanging="633"/>
      </w:pPr>
      <w:r w:rsidRPr="00D70414">
        <w:t>Educate patient of signs and symptoms of potential adverse reactions, emphasising importance of informing nursing staff if he/she experiences any such reactions</w:t>
      </w:r>
    </w:p>
    <w:p w:rsidR="00363479" w:rsidRPr="00D70414" w:rsidRDefault="00363479">
      <w:pPr>
        <w:pStyle w:val="Heading2"/>
        <w:tabs>
          <w:tab w:val="clear" w:pos="792"/>
          <w:tab w:val="num" w:pos="993"/>
        </w:tabs>
        <w:ind w:left="993" w:hanging="633"/>
      </w:pPr>
      <w:r w:rsidRPr="00D70414">
        <w:t>Perform baseline observations (temperature, pulse, respirations and blood pressure) and record on run sheet</w:t>
      </w:r>
    </w:p>
    <w:p w:rsidR="00363479" w:rsidRPr="00D70414" w:rsidRDefault="00363479">
      <w:pPr>
        <w:pStyle w:val="Heading2"/>
        <w:tabs>
          <w:tab w:val="clear" w:pos="792"/>
          <w:tab w:val="num" w:pos="993"/>
        </w:tabs>
        <w:ind w:left="993" w:hanging="633"/>
      </w:pPr>
      <w:r w:rsidRPr="00D70414">
        <w:t xml:space="preserve">Ensure COLFRM009: RBWH Apheresis Patient Checklist has been completed </w:t>
      </w:r>
    </w:p>
    <w:p w:rsidR="00363479" w:rsidRPr="00D70414" w:rsidRDefault="00363479" w:rsidP="00E10812">
      <w:pPr>
        <w:pStyle w:val="Heading2"/>
        <w:tabs>
          <w:tab w:val="clear" w:pos="792"/>
          <w:tab w:val="num" w:pos="993"/>
        </w:tabs>
        <w:ind w:left="993" w:hanging="633"/>
      </w:pPr>
      <w:r w:rsidRPr="00D70414">
        <w:t xml:space="preserve">Perform Cannulation according to 05450/Proc: </w:t>
      </w:r>
      <w:r w:rsidR="006013D2" w:rsidRPr="00D70414">
        <w:t>Peripheral Intravenous Cannulation, Venepuncture and Infusions – Adult and Paediatrics</w:t>
      </w:r>
    </w:p>
    <w:p w:rsidR="00E10812" w:rsidRDefault="00363479" w:rsidP="00E10812">
      <w:pPr>
        <w:pStyle w:val="Heading2"/>
        <w:tabs>
          <w:tab w:val="clear" w:pos="792"/>
          <w:tab w:val="num" w:pos="993"/>
        </w:tabs>
        <w:ind w:left="993" w:hanging="633"/>
      </w:pPr>
      <w:r w:rsidRPr="00D70414">
        <w:t xml:space="preserve">Collect blood samples </w:t>
      </w:r>
      <w:r w:rsidR="00E10812">
        <w:t>if</w:t>
      </w:r>
      <w:r w:rsidRPr="00D70414">
        <w:t xml:space="preserve"> required. </w:t>
      </w:r>
    </w:p>
    <w:p w:rsidR="00363479" w:rsidRPr="00D70414" w:rsidRDefault="00363479" w:rsidP="00E10812">
      <w:pPr>
        <w:pStyle w:val="Heading2"/>
        <w:tabs>
          <w:tab w:val="clear" w:pos="792"/>
          <w:tab w:val="num" w:pos="993"/>
        </w:tabs>
        <w:ind w:left="993" w:hanging="633"/>
      </w:pPr>
      <w:r w:rsidRPr="00D70414">
        <w:t>Follow machine prompts to commence procedure</w:t>
      </w:r>
    </w:p>
    <w:p w:rsidR="00363479" w:rsidRPr="00D70414" w:rsidRDefault="00363479">
      <w:pPr>
        <w:pStyle w:val="Heading2"/>
        <w:tabs>
          <w:tab w:val="clear" w:pos="792"/>
          <w:tab w:val="num" w:pos="993"/>
        </w:tabs>
        <w:ind w:left="993" w:hanging="633"/>
      </w:pPr>
      <w:r w:rsidRPr="00D70414">
        <w:t>Review run screen to ensure pump flow rates are appropriate for the procedure. Monitor the AC infusion rate, ensuring that it does not exceed 0.9 ml/min</w:t>
      </w:r>
    </w:p>
    <w:p w:rsidR="00363479" w:rsidRPr="00D70414" w:rsidRDefault="00363479">
      <w:pPr>
        <w:pStyle w:val="Heading2"/>
        <w:tabs>
          <w:tab w:val="clear" w:pos="792"/>
          <w:tab w:val="num" w:pos="993"/>
        </w:tabs>
        <w:ind w:left="993" w:hanging="633"/>
      </w:pPr>
      <w:r w:rsidRPr="00D70414">
        <w:t xml:space="preserve">The Spectra </w:t>
      </w:r>
      <w:proofErr w:type="spellStart"/>
      <w:r w:rsidRPr="00D70414">
        <w:t>Optia</w:t>
      </w:r>
      <w:proofErr w:type="spellEnd"/>
      <w:r w:rsidRPr="00D70414">
        <w:t xml:space="preserve"> system will attempt to establish the interface at commencement of the procedure, during this time, the collect valve will remain closed. </w:t>
      </w:r>
    </w:p>
    <w:p w:rsidR="00363479" w:rsidRPr="0040326F" w:rsidRDefault="00363479">
      <w:pPr>
        <w:pStyle w:val="Heading2"/>
        <w:tabs>
          <w:tab w:val="clear" w:pos="792"/>
          <w:tab w:val="num" w:pos="993"/>
        </w:tabs>
        <w:ind w:left="993" w:hanging="633"/>
        <w:rPr>
          <w:b/>
        </w:rPr>
      </w:pPr>
      <w:r w:rsidRPr="00D70414">
        <w:t>The AIM system monitors the collect port and changes the plasma pump flow rate to manage the concentration of cells that flow through the collect port. When the AIM system detects cells in the collect port, the collect valve opens and starts collecting</w:t>
      </w:r>
      <w:r w:rsidR="0040326F">
        <w:t xml:space="preserve">. </w:t>
      </w:r>
      <w:r w:rsidR="0040326F" w:rsidRPr="0040326F">
        <w:rPr>
          <w:b/>
        </w:rPr>
        <w:t>Ensure the collect flow rate is set at 3</w:t>
      </w:r>
      <w:r w:rsidRPr="0040326F">
        <w:rPr>
          <w:b/>
        </w:rPr>
        <w:t>ml/min</w:t>
      </w:r>
    </w:p>
    <w:p w:rsidR="00363479" w:rsidRPr="00D70414" w:rsidRDefault="00363479">
      <w:pPr>
        <w:pStyle w:val="Heading2"/>
        <w:tabs>
          <w:tab w:val="clear" w:pos="792"/>
          <w:tab w:val="num" w:pos="993"/>
        </w:tabs>
        <w:ind w:left="993" w:hanging="633"/>
      </w:pPr>
      <w:r w:rsidRPr="00D70414">
        <w:t>The CP defaults to 50 at commencement of procedure. The apheresis nurse can set the CP to collect lighter or darker from the buffy coat. Use the collection preference tool as a guide for the appropriate CP.</w:t>
      </w:r>
    </w:p>
    <w:p w:rsidR="00363479" w:rsidRPr="00D70414" w:rsidRDefault="00363479">
      <w:pPr>
        <w:pStyle w:val="Heading3"/>
        <w:tabs>
          <w:tab w:val="clear" w:pos="1224"/>
          <w:tab w:val="num" w:pos="1560"/>
        </w:tabs>
        <w:ind w:left="1560" w:hanging="851"/>
        <w:rPr>
          <w:b/>
        </w:rPr>
      </w:pPr>
      <w:r w:rsidRPr="00D70414">
        <w:rPr>
          <w:b/>
        </w:rPr>
        <w:t>See appendix 1 for the appropriate CP, using the collection preference tool</w:t>
      </w:r>
      <w:r w:rsidR="0040326F">
        <w:rPr>
          <w:b/>
        </w:rPr>
        <w:t>.</w:t>
      </w:r>
    </w:p>
    <w:p w:rsidR="00363479" w:rsidRPr="00D70414" w:rsidRDefault="00363479">
      <w:pPr>
        <w:pStyle w:val="Heading3"/>
        <w:tabs>
          <w:tab w:val="clear" w:pos="1224"/>
          <w:tab w:val="num" w:pos="1560"/>
        </w:tabs>
        <w:ind w:left="1560" w:hanging="851"/>
      </w:pPr>
      <w:r w:rsidRPr="00D70414">
        <w:t>A higher CP results in collecting lighter in the buffy coat</w:t>
      </w:r>
    </w:p>
    <w:p w:rsidR="00363479" w:rsidRPr="00D70414" w:rsidRDefault="00363479">
      <w:pPr>
        <w:pStyle w:val="Heading3"/>
        <w:tabs>
          <w:tab w:val="clear" w:pos="1224"/>
          <w:tab w:val="num" w:pos="1560"/>
        </w:tabs>
        <w:ind w:left="1560" w:hanging="851"/>
      </w:pPr>
      <w:r w:rsidRPr="00D70414">
        <w:t>A lower CP results in collecting darker in the buffy coat</w:t>
      </w:r>
    </w:p>
    <w:p w:rsidR="00363479" w:rsidRPr="00D70414" w:rsidRDefault="00363479">
      <w:pPr>
        <w:pStyle w:val="Heading2"/>
        <w:tabs>
          <w:tab w:val="clear" w:pos="792"/>
          <w:tab w:val="num" w:pos="993"/>
        </w:tabs>
        <w:ind w:left="993" w:hanging="633"/>
      </w:pPr>
      <w:r w:rsidRPr="00D70414">
        <w:t>Monitor and record patient’s vital signs and run parameters q30 minutes or as clinically indicated. Monitor for signs of adverse reactions and record on procedure run sheet, reporting adverse events on PRIME.</w:t>
      </w:r>
    </w:p>
    <w:p w:rsidR="00363479" w:rsidRPr="00D70414" w:rsidRDefault="00363479">
      <w:pPr>
        <w:pStyle w:val="Heading2"/>
        <w:tabs>
          <w:tab w:val="clear" w:pos="792"/>
          <w:tab w:val="num" w:pos="993"/>
        </w:tabs>
        <w:ind w:left="993" w:hanging="633"/>
      </w:pPr>
      <w:r w:rsidRPr="00D70414">
        <w:t>Ensure patient comfort and safety throughout the procedure.</w:t>
      </w:r>
    </w:p>
    <w:p w:rsidR="00363479" w:rsidRPr="00D70414" w:rsidRDefault="007A77B1">
      <w:pPr>
        <w:pStyle w:val="Heading2"/>
        <w:tabs>
          <w:tab w:val="clear" w:pos="792"/>
          <w:tab w:val="num" w:pos="993"/>
        </w:tabs>
        <w:ind w:left="993" w:hanging="633"/>
      </w:pPr>
      <w:r>
        <w:t>Apply a patient ID label to the collection bag.</w:t>
      </w:r>
      <w:r w:rsidR="00363479" w:rsidRPr="00D70414">
        <w:t xml:space="preserve"> </w:t>
      </w:r>
      <w:r w:rsidR="00363479" w:rsidRPr="00D70414">
        <w:rPr>
          <w:b/>
          <w:i/>
        </w:rPr>
        <w:t>THE LABELS MUST BE APPLIED TO THE COLLECT BAG BEFORE</w:t>
      </w:r>
      <w:r>
        <w:rPr>
          <w:b/>
          <w:i/>
        </w:rPr>
        <w:t xml:space="preserve"> THE PATIENT OR THE COLLECT BAG</w:t>
      </w:r>
      <w:r w:rsidR="00363479" w:rsidRPr="00D70414">
        <w:rPr>
          <w:b/>
          <w:i/>
        </w:rPr>
        <w:t xml:space="preserve"> ARE DISCONNECTED F</w:t>
      </w:r>
      <w:r>
        <w:rPr>
          <w:b/>
          <w:i/>
        </w:rPr>
        <w:t>ROM</w:t>
      </w:r>
      <w:r w:rsidR="00363479" w:rsidRPr="00D70414">
        <w:rPr>
          <w:b/>
          <w:i/>
        </w:rPr>
        <w:t>THE PROCEDURE KIT.</w:t>
      </w:r>
    </w:p>
    <w:p w:rsidR="00363479" w:rsidRPr="00D70414" w:rsidRDefault="00363479">
      <w:pPr>
        <w:pStyle w:val="Heading2"/>
        <w:tabs>
          <w:tab w:val="clear" w:pos="792"/>
          <w:tab w:val="num" w:pos="993"/>
        </w:tabs>
        <w:ind w:left="993" w:hanging="633"/>
      </w:pPr>
      <w:r w:rsidRPr="00D70414">
        <w:lastRenderedPageBreak/>
        <w:t xml:space="preserve">At the end of the procedure, follow the system prompts to </w:t>
      </w:r>
      <w:proofErr w:type="spellStart"/>
      <w:r w:rsidRPr="00D70414">
        <w:t>rinseback</w:t>
      </w:r>
      <w:proofErr w:type="spellEnd"/>
    </w:p>
    <w:p w:rsidR="00363479" w:rsidRPr="00D70414" w:rsidRDefault="00363479">
      <w:pPr>
        <w:pStyle w:val="Heading2"/>
        <w:tabs>
          <w:tab w:val="clear" w:pos="792"/>
          <w:tab w:val="num" w:pos="993"/>
        </w:tabs>
        <w:ind w:left="993" w:hanging="633"/>
        <w:rPr>
          <w:b/>
          <w:i/>
        </w:rPr>
      </w:pPr>
      <w:r w:rsidRPr="00D70414">
        <w:t xml:space="preserve">Seal the collection bags using a heat sealer prior to disconnection of the patient. </w:t>
      </w:r>
      <w:r w:rsidRPr="00D70414">
        <w:rPr>
          <w:b/>
          <w:i/>
        </w:rPr>
        <w:t xml:space="preserve">Ensure that there is approximately 20cm of sterile </w:t>
      </w:r>
      <w:proofErr w:type="spellStart"/>
      <w:r w:rsidRPr="00D70414">
        <w:rPr>
          <w:b/>
          <w:i/>
        </w:rPr>
        <w:t>dockable</w:t>
      </w:r>
      <w:proofErr w:type="spellEnd"/>
      <w:r w:rsidRPr="00D70414">
        <w:rPr>
          <w:b/>
          <w:i/>
        </w:rPr>
        <w:t xml:space="preserve"> tubing remaining after heat sealing. </w:t>
      </w:r>
    </w:p>
    <w:p w:rsidR="00363479" w:rsidRPr="00D70414" w:rsidRDefault="007A77B1">
      <w:pPr>
        <w:pStyle w:val="Heading2"/>
        <w:tabs>
          <w:tab w:val="clear" w:pos="792"/>
          <w:tab w:val="num" w:pos="993"/>
        </w:tabs>
        <w:ind w:left="993" w:hanging="633"/>
      </w:pPr>
      <w:r>
        <w:t>The RN performing the collections shall r</w:t>
      </w:r>
      <w:r w:rsidR="00363479" w:rsidRPr="00D70414">
        <w:t xml:space="preserve">ecord the </w:t>
      </w:r>
      <w:r>
        <w:t xml:space="preserve">date, </w:t>
      </w:r>
      <w:r w:rsidR="00363479" w:rsidRPr="00D70414">
        <w:t xml:space="preserve">time of completion </w:t>
      </w:r>
      <w:r>
        <w:t>and sign the collection bag label</w:t>
      </w:r>
      <w:r w:rsidR="00363479" w:rsidRPr="00D70414">
        <w:t xml:space="preserve">. </w:t>
      </w:r>
      <w:r>
        <w:t>Verify</w:t>
      </w:r>
      <w:r w:rsidR="00363479" w:rsidRPr="00D70414">
        <w:t xml:space="preserve"> the identity of the patient</w:t>
      </w:r>
      <w:r>
        <w:t xml:space="preserve"> with the patient ID label</w:t>
      </w:r>
      <w:r w:rsidR="00363479" w:rsidRPr="00D70414">
        <w:t>.</w:t>
      </w:r>
    </w:p>
    <w:p w:rsidR="00363479" w:rsidRPr="00D70414" w:rsidRDefault="00363479">
      <w:pPr>
        <w:pStyle w:val="Heading2"/>
        <w:tabs>
          <w:tab w:val="clear" w:pos="792"/>
          <w:tab w:val="num" w:pos="993"/>
        </w:tabs>
        <w:ind w:left="993" w:hanging="633"/>
      </w:pPr>
      <w:r w:rsidRPr="00D70414">
        <w:t xml:space="preserve">Contact </w:t>
      </w:r>
      <w:r w:rsidR="007A77B1">
        <w:t>QIMR</w:t>
      </w:r>
      <w:r w:rsidRPr="00D70414">
        <w:t xml:space="preserve"> to collect the cells. The time of collection completion shall be recorded on COLFRM030: RBWH Apheresis Product Collection form. The collection bags must be placed in a sealed plastic bag for transport to </w:t>
      </w:r>
      <w:r w:rsidR="007A77B1">
        <w:t>QIMR</w:t>
      </w:r>
      <w:r w:rsidRPr="00D70414">
        <w:t>.</w:t>
      </w:r>
    </w:p>
    <w:p w:rsidR="00363479" w:rsidRPr="00D70414" w:rsidRDefault="00363479">
      <w:pPr>
        <w:pStyle w:val="Heading2"/>
        <w:tabs>
          <w:tab w:val="clear" w:pos="792"/>
          <w:tab w:val="num" w:pos="993"/>
        </w:tabs>
        <w:ind w:left="993" w:hanging="633"/>
      </w:pPr>
      <w:r w:rsidRPr="00D70414">
        <w:t xml:space="preserve">Release of the product from the Apheresis nurse to the </w:t>
      </w:r>
      <w:r w:rsidR="00644240">
        <w:t>QIMR</w:t>
      </w:r>
      <w:r w:rsidRPr="00D70414">
        <w:t xml:space="preserve"> scientist is recorded on COLFRM030: RBWH Apheresis Product Collection form. The Apheresis nurse releasing the collected product, must sign (stating time and date) that the product has been released, the </w:t>
      </w:r>
      <w:r w:rsidR="00644240">
        <w:t>QIMR</w:t>
      </w:r>
      <w:r w:rsidRPr="00D70414">
        <w:t xml:space="preserve"> scientist accepting the collected product must sign (stating date and time) that they have accepted product quarantine. Glove must be worn by all staff handling the product. </w:t>
      </w:r>
    </w:p>
    <w:p w:rsidR="00363479" w:rsidRPr="00D70414" w:rsidRDefault="00363479">
      <w:pPr>
        <w:pStyle w:val="Heading2"/>
        <w:tabs>
          <w:tab w:val="clear" w:pos="792"/>
          <w:tab w:val="num" w:pos="993"/>
        </w:tabs>
        <w:ind w:left="993" w:hanging="633"/>
      </w:pPr>
      <w:r w:rsidRPr="00D70414">
        <w:t xml:space="preserve">On completion of </w:t>
      </w:r>
      <w:proofErr w:type="spellStart"/>
      <w:r w:rsidRPr="00D70414">
        <w:t>rinseback</w:t>
      </w:r>
      <w:proofErr w:type="spellEnd"/>
      <w:r w:rsidRPr="00D70414">
        <w:t>, collect routine blood samples (usually FBC and ELFT).</w:t>
      </w:r>
    </w:p>
    <w:p w:rsidR="00363479" w:rsidRPr="00D70414" w:rsidRDefault="00363479">
      <w:pPr>
        <w:pStyle w:val="Heading2"/>
        <w:tabs>
          <w:tab w:val="clear" w:pos="792"/>
          <w:tab w:val="num" w:pos="993"/>
        </w:tabs>
        <w:ind w:left="993" w:hanging="633"/>
      </w:pPr>
      <w:r w:rsidRPr="00D70414">
        <w:t>Perform final set of observations and record on procedure run sheet</w:t>
      </w:r>
    </w:p>
    <w:p w:rsidR="00363479" w:rsidRPr="00D70414" w:rsidRDefault="00363479">
      <w:pPr>
        <w:pStyle w:val="Heading2"/>
        <w:tabs>
          <w:tab w:val="clear" w:pos="792"/>
          <w:tab w:val="num" w:pos="993"/>
        </w:tabs>
        <w:ind w:left="993" w:hanging="633"/>
      </w:pPr>
      <w:r w:rsidRPr="00D70414">
        <w:t>Remove venous access as appropriate</w:t>
      </w:r>
    </w:p>
    <w:p w:rsidR="00363479" w:rsidRPr="00D70414" w:rsidRDefault="00363479">
      <w:pPr>
        <w:pStyle w:val="Heading2"/>
        <w:tabs>
          <w:tab w:val="clear" w:pos="792"/>
          <w:tab w:val="num" w:pos="993"/>
        </w:tabs>
        <w:ind w:left="993" w:hanging="633"/>
      </w:pPr>
      <w:r w:rsidRPr="00D70414">
        <w:t>Record final values on COLFRM053: RBWH Apheresis Procedure Run Sheet and complete COLFRM030: RBWH Apheresis Product Collection form.</w:t>
      </w:r>
    </w:p>
    <w:p w:rsidR="005152E7" w:rsidRPr="00D70414" w:rsidRDefault="005152E7" w:rsidP="005152E7">
      <w:pPr>
        <w:pStyle w:val="Heading2"/>
        <w:tabs>
          <w:tab w:val="clear" w:pos="792"/>
          <w:tab w:val="num" w:pos="993"/>
        </w:tabs>
        <w:ind w:left="993" w:hanging="633"/>
      </w:pPr>
      <w:r w:rsidRPr="00D70414">
        <w:t xml:space="preserve">Once paperwork is complete, scan / photocopy all procedural paperwork and send to </w:t>
      </w:r>
      <w:r w:rsidR="00644240">
        <w:t>QIMR</w:t>
      </w:r>
      <w:r w:rsidRPr="00D70414">
        <w:t>.</w:t>
      </w:r>
    </w:p>
    <w:p w:rsidR="00363479" w:rsidRPr="00D70414" w:rsidRDefault="00363479">
      <w:pPr>
        <w:pStyle w:val="Heading2"/>
        <w:tabs>
          <w:tab w:val="clear" w:pos="792"/>
          <w:tab w:val="num" w:pos="993"/>
        </w:tabs>
        <w:ind w:left="993" w:hanging="633"/>
      </w:pPr>
      <w:r w:rsidRPr="00D70414">
        <w:t xml:space="preserve">Unload set and dispose of </w:t>
      </w:r>
      <w:r w:rsidR="005152E7" w:rsidRPr="00D70414">
        <w:t>waste</w:t>
      </w:r>
      <w:r w:rsidRPr="00D70414">
        <w:t xml:space="preserve"> appropriately</w:t>
      </w:r>
      <w:r w:rsidR="005152E7" w:rsidRPr="00D70414">
        <w:t xml:space="preserve"> </w:t>
      </w:r>
    </w:p>
    <w:p w:rsidR="00363479" w:rsidRPr="00D70414" w:rsidRDefault="00363479" w:rsidP="005152E7">
      <w:pPr>
        <w:pStyle w:val="Heading2"/>
        <w:tabs>
          <w:tab w:val="clear" w:pos="792"/>
          <w:tab w:val="num" w:pos="993"/>
        </w:tabs>
        <w:ind w:left="993" w:hanging="633"/>
      </w:pPr>
      <w:r w:rsidRPr="00D70414">
        <w:t xml:space="preserve">Decontaminate Spectra </w:t>
      </w:r>
      <w:proofErr w:type="spellStart"/>
      <w:r w:rsidRPr="00D70414">
        <w:t>Optia</w:t>
      </w:r>
      <w:proofErr w:type="spellEnd"/>
      <w:r w:rsidRPr="00D70414">
        <w:t xml:space="preserve"> as per protocol (see COLSOP005: RBWH Apheresis Equipment Cleaning Procedure). Decontaminate all other equipment involved in performing the procedure, in accordance with </w:t>
      </w:r>
      <w:r w:rsidR="005152E7" w:rsidRPr="00D70414">
        <w:t xml:space="preserve">003139/Proc: Cleaning and Decontamination – patient environment and clinical equipment. </w:t>
      </w:r>
      <w:r w:rsidRPr="00D70414">
        <w:t>Once all equipment used during the procedure has been cleaned, tick appropriate area at the end of the run sheet, confirming completion of cleaning tasks.</w:t>
      </w:r>
    </w:p>
    <w:p w:rsidR="00363479" w:rsidRPr="00D70414" w:rsidRDefault="00363479">
      <w:pPr>
        <w:pStyle w:val="Heading2"/>
        <w:tabs>
          <w:tab w:val="clear" w:pos="792"/>
          <w:tab w:val="num" w:pos="993"/>
        </w:tabs>
        <w:ind w:left="993" w:hanging="633"/>
      </w:pPr>
      <w:r w:rsidRPr="00D70414">
        <w:t>Document all care given in patient medical notes. Include all completed paperwork with patient’s medical notes</w:t>
      </w:r>
      <w:r w:rsidR="00644240">
        <w:t>.</w:t>
      </w:r>
    </w:p>
    <w:p w:rsidR="00363479" w:rsidRPr="00D70414" w:rsidRDefault="00363479">
      <w:pPr>
        <w:pStyle w:val="Heading2"/>
        <w:tabs>
          <w:tab w:val="clear" w:pos="792"/>
          <w:tab w:val="num" w:pos="993"/>
        </w:tabs>
        <w:ind w:left="993" w:hanging="633"/>
      </w:pPr>
      <w:r w:rsidRPr="00D70414">
        <w:t>Record relevant statistical information in: G:\Oncology\Apheresis\Log and Statistics</w:t>
      </w:r>
    </w:p>
    <w:p w:rsidR="00644240" w:rsidRDefault="00644240">
      <w:pPr>
        <w:rPr>
          <w:rFonts w:ascii="Arial" w:hAnsi="Arial"/>
          <w:b/>
          <w:bCs/>
          <w:color w:val="215868"/>
          <w:kern w:val="32"/>
          <w:sz w:val="28"/>
          <w:szCs w:val="28"/>
        </w:rPr>
      </w:pPr>
      <w:r>
        <w:br w:type="page"/>
      </w:r>
    </w:p>
    <w:p w:rsidR="00363479" w:rsidRPr="00D70414" w:rsidRDefault="00363479">
      <w:pPr>
        <w:pStyle w:val="Heading1"/>
      </w:pPr>
      <w:r w:rsidRPr="00D70414">
        <w:lastRenderedPageBreak/>
        <w:t>End Points</w:t>
      </w:r>
    </w:p>
    <w:p w:rsidR="00644240" w:rsidRPr="003932E1" w:rsidRDefault="00E032C0" w:rsidP="00644240">
      <w:pPr>
        <w:pStyle w:val="Heading2"/>
        <w:tabs>
          <w:tab w:val="clear" w:pos="792"/>
          <w:tab w:val="num" w:pos="993"/>
        </w:tabs>
        <w:ind w:left="993" w:hanging="633"/>
      </w:pPr>
      <w:r w:rsidRPr="003932E1">
        <w:t xml:space="preserve">QIMR will inform the apheresis nursing staff of the target collect volume which will not exceed 450ml </w:t>
      </w:r>
    </w:p>
    <w:p w:rsidR="00E032C0" w:rsidRPr="003932E1" w:rsidRDefault="00E032C0" w:rsidP="00E032C0">
      <w:pPr>
        <w:pStyle w:val="Heading3"/>
        <w:tabs>
          <w:tab w:val="clear" w:pos="1224"/>
          <w:tab w:val="num" w:pos="1560"/>
        </w:tabs>
        <w:ind w:left="1560" w:hanging="851"/>
      </w:pPr>
      <w:r w:rsidRPr="003932E1">
        <w:t xml:space="preserve">QIMR may request a specified volume of red cells be added to collection at end of procedure. The volume of red cells collected must </w:t>
      </w:r>
      <w:r w:rsidR="003932E1">
        <w:t xml:space="preserve">not be more than 162ml and must </w:t>
      </w:r>
      <w:r w:rsidRPr="003932E1">
        <w:t>be included in the maximum target collect volume of 450ml</w:t>
      </w:r>
    </w:p>
    <w:p w:rsidR="00E032C0" w:rsidRPr="003932E1" w:rsidRDefault="00E032C0" w:rsidP="00E032C0">
      <w:pPr>
        <w:pStyle w:val="Heading4Indent"/>
      </w:pPr>
      <w:r w:rsidRPr="003932E1">
        <w:rPr>
          <w:b/>
        </w:rPr>
        <w:t>The total collect volume must not exceed 450ml</w:t>
      </w:r>
    </w:p>
    <w:p w:rsidR="00363479" w:rsidRPr="00D70414" w:rsidRDefault="00363479"/>
    <w:p w:rsidR="00363479" w:rsidRPr="00D70414" w:rsidRDefault="00363479">
      <w:pPr>
        <w:pStyle w:val="Heading1"/>
      </w:pPr>
      <w:r w:rsidRPr="00D70414">
        <w:t>Disaster Plan</w:t>
      </w:r>
    </w:p>
    <w:p w:rsidR="00363479" w:rsidRPr="00D70414" w:rsidRDefault="00363479">
      <w:pPr>
        <w:pStyle w:val="Heading2"/>
        <w:tabs>
          <w:tab w:val="clear" w:pos="792"/>
          <w:tab w:val="num" w:pos="993"/>
        </w:tabs>
        <w:ind w:left="993" w:hanging="633"/>
      </w:pPr>
      <w:r w:rsidRPr="00D70414">
        <w:t xml:space="preserve">This section describes the actions to be taken in the event of serious problems which may arise in the Apheresis Unit which may impact on either: </w:t>
      </w:r>
    </w:p>
    <w:p w:rsidR="00363479" w:rsidRPr="00D70414" w:rsidRDefault="00363479" w:rsidP="00F57036">
      <w:pPr>
        <w:pStyle w:val="Heading3"/>
        <w:tabs>
          <w:tab w:val="clear" w:pos="1224"/>
          <w:tab w:val="num" w:pos="2160"/>
        </w:tabs>
        <w:ind w:left="2160" w:hanging="1440"/>
      </w:pPr>
      <w:r w:rsidRPr="00D70414">
        <w:t xml:space="preserve">The ability to </w:t>
      </w:r>
      <w:r w:rsidR="00644240">
        <w:t>perform the CMNC collection</w:t>
      </w:r>
      <w:r w:rsidRPr="00D70414">
        <w:t xml:space="preserve"> to the required specification</w:t>
      </w:r>
    </w:p>
    <w:p w:rsidR="00363479" w:rsidRPr="00D70414" w:rsidRDefault="00363479">
      <w:pPr>
        <w:pStyle w:val="Heading3"/>
      </w:pPr>
      <w:r w:rsidRPr="00D70414">
        <w:t>The quality of the collected product</w:t>
      </w:r>
    </w:p>
    <w:p w:rsidR="00363479" w:rsidRPr="00D70414" w:rsidRDefault="00363479">
      <w:pPr>
        <w:pStyle w:val="Heading2"/>
        <w:tabs>
          <w:tab w:val="clear" w:pos="792"/>
          <w:tab w:val="num" w:pos="993"/>
        </w:tabs>
        <w:ind w:left="993" w:hanging="633"/>
      </w:pPr>
      <w:r w:rsidRPr="00D70414">
        <w:rPr>
          <w:b/>
        </w:rPr>
        <w:t>Air-Conditioning System Failure</w:t>
      </w:r>
      <w:r w:rsidRPr="00D70414">
        <w:t xml:space="preserve"> – in the event that the air-conditioning system malfunctions, contact hospital maintenance and arrange for urgent repairs (ext. 67963).</w:t>
      </w:r>
    </w:p>
    <w:p w:rsidR="00363479" w:rsidRPr="00D70414" w:rsidRDefault="00363479">
      <w:pPr>
        <w:pStyle w:val="Heading2"/>
        <w:tabs>
          <w:tab w:val="clear" w:pos="792"/>
          <w:tab w:val="num" w:pos="993"/>
        </w:tabs>
        <w:ind w:left="993" w:hanging="633"/>
      </w:pPr>
      <w:r w:rsidRPr="00D70414">
        <w:rPr>
          <w:b/>
        </w:rPr>
        <w:t xml:space="preserve">Loss of Power </w:t>
      </w:r>
      <w:r w:rsidRPr="00D70414">
        <w:t>– All critical equipment used to perform apheresis procedures should be connected to red emergency power points. These power points are supplied with the electricity from the emergency backup power generators, and in the event of a power failure, are automatically activated.</w:t>
      </w:r>
    </w:p>
    <w:p w:rsidR="00363479" w:rsidRPr="00D70414" w:rsidRDefault="00363479">
      <w:pPr>
        <w:pStyle w:val="Heading3"/>
      </w:pPr>
      <w:r w:rsidRPr="00D70414">
        <w:t>Critical equipment used within the apheresis unit includes:</w:t>
      </w:r>
    </w:p>
    <w:p w:rsidR="00363479" w:rsidRPr="00D70414" w:rsidRDefault="00363479">
      <w:pPr>
        <w:pStyle w:val="Heading4Indent"/>
      </w:pPr>
      <w:r w:rsidRPr="00D70414">
        <w:t xml:space="preserve"> Cell separators</w:t>
      </w:r>
    </w:p>
    <w:p w:rsidR="00363479" w:rsidRPr="00D70414" w:rsidRDefault="00363479">
      <w:pPr>
        <w:pStyle w:val="Heading4Indent"/>
      </w:pPr>
      <w:r w:rsidRPr="00D70414">
        <w:t>Blood warmers</w:t>
      </w:r>
    </w:p>
    <w:p w:rsidR="00363479" w:rsidRPr="00D70414" w:rsidRDefault="00363479">
      <w:pPr>
        <w:pStyle w:val="Heading4Indent"/>
      </w:pPr>
      <w:r w:rsidRPr="00D70414">
        <w:t>Electronic blood pressure monitors</w:t>
      </w:r>
    </w:p>
    <w:p w:rsidR="00363479" w:rsidRPr="00D70414" w:rsidRDefault="00363479">
      <w:pPr>
        <w:pStyle w:val="Heading4Indent"/>
      </w:pPr>
      <w:r w:rsidRPr="00D70414">
        <w:t>Intravenous volumetric pumps</w:t>
      </w:r>
    </w:p>
    <w:p w:rsidR="00363479" w:rsidRPr="00D70414" w:rsidRDefault="00363479">
      <w:pPr>
        <w:pStyle w:val="Heading4Indent"/>
      </w:pPr>
      <w:r w:rsidRPr="00D70414">
        <w:t xml:space="preserve">Heat sealers </w:t>
      </w:r>
    </w:p>
    <w:p w:rsidR="00363479" w:rsidRPr="00D70414" w:rsidRDefault="00363479">
      <w:pPr>
        <w:pStyle w:val="Heading3"/>
        <w:tabs>
          <w:tab w:val="clear" w:pos="1224"/>
          <w:tab w:val="num" w:pos="2160"/>
        </w:tabs>
        <w:ind w:left="2160" w:hanging="1440"/>
      </w:pPr>
      <w:r w:rsidRPr="00D70414">
        <w:t>In the event of an interruption to normal power supply, there may be a temporary loss of power before the emergency generator is activated. If there is an interruption of the power supply:</w:t>
      </w:r>
    </w:p>
    <w:p w:rsidR="00363479" w:rsidRPr="00D70414" w:rsidRDefault="00363479">
      <w:pPr>
        <w:pStyle w:val="Heading4Indent"/>
      </w:pPr>
      <w:r w:rsidRPr="00D70414">
        <w:t>Close clamps on collect line immediately</w:t>
      </w:r>
    </w:p>
    <w:p w:rsidR="00363479" w:rsidRPr="00D70414" w:rsidRDefault="00363479">
      <w:pPr>
        <w:pStyle w:val="Heading4Indent"/>
      </w:pPr>
      <w:r w:rsidRPr="00D70414">
        <w:t xml:space="preserve">If the emergency power supply is activated, power will resume, and the Spectra </w:t>
      </w:r>
      <w:proofErr w:type="spellStart"/>
      <w:r w:rsidRPr="00D70414">
        <w:t>Optia</w:t>
      </w:r>
      <w:proofErr w:type="spellEnd"/>
      <w:r w:rsidRPr="00D70414">
        <w:t xml:space="preserve"> system will reset. After system resets, a screen will appear with instructions for how to proceed. </w:t>
      </w:r>
    </w:p>
    <w:p w:rsidR="00363479" w:rsidRPr="00D70414" w:rsidRDefault="00363479">
      <w:pPr>
        <w:pStyle w:val="Heading4Indent"/>
      </w:pPr>
      <w:r w:rsidRPr="00D70414">
        <w:t>To restart the procedure, follow onscreen instructions</w:t>
      </w:r>
    </w:p>
    <w:p w:rsidR="00363479" w:rsidRPr="00D70414" w:rsidRDefault="00363479">
      <w:pPr>
        <w:pStyle w:val="Heading4Indent"/>
      </w:pPr>
      <w:r w:rsidRPr="00D70414">
        <w:t xml:space="preserve">To abort procedure, press </w:t>
      </w:r>
      <w:r w:rsidRPr="00D70414">
        <w:rPr>
          <w:b/>
          <w:i/>
        </w:rPr>
        <w:t>RINSEBACK</w:t>
      </w:r>
      <w:r w:rsidRPr="00D70414">
        <w:t xml:space="preserve"> (if appropriate) or </w:t>
      </w:r>
      <w:r w:rsidRPr="00D70414">
        <w:rPr>
          <w:b/>
          <w:i/>
        </w:rPr>
        <w:t>DISCONNECT</w:t>
      </w:r>
      <w:r w:rsidRPr="00D70414">
        <w:t xml:space="preserve"> and follow on screen instructions</w:t>
      </w:r>
    </w:p>
    <w:p w:rsidR="00363479" w:rsidRPr="00D70414" w:rsidRDefault="00363479">
      <w:pPr>
        <w:pStyle w:val="Heading3"/>
        <w:tabs>
          <w:tab w:val="clear" w:pos="1224"/>
          <w:tab w:val="num" w:pos="2160"/>
        </w:tabs>
        <w:ind w:left="2160" w:hanging="1440"/>
      </w:pPr>
      <w:r w:rsidRPr="00D70414">
        <w:lastRenderedPageBreak/>
        <w:t>In the event of a complete loss of power with no emergency power supply:</w:t>
      </w:r>
    </w:p>
    <w:p w:rsidR="00363479" w:rsidRPr="00D70414" w:rsidRDefault="00363479">
      <w:pPr>
        <w:pStyle w:val="Heading4Indent"/>
      </w:pPr>
      <w:r w:rsidRPr="00D70414">
        <w:t xml:space="preserve">The Spectra </w:t>
      </w:r>
      <w:proofErr w:type="spellStart"/>
      <w:r w:rsidRPr="00D70414">
        <w:t>Optia</w:t>
      </w:r>
      <w:proofErr w:type="spellEnd"/>
      <w:r w:rsidRPr="00D70414">
        <w:t xml:space="preserve"> cell separator will shut down completely. Close clamps on collect line immediately. Seal the collection bags using a heat sealer (these should still be functional if battery charged)</w:t>
      </w:r>
    </w:p>
    <w:p w:rsidR="00363479" w:rsidRPr="00D70414" w:rsidRDefault="00363479">
      <w:pPr>
        <w:pStyle w:val="Heading4Indent"/>
      </w:pPr>
      <w:r w:rsidRPr="00D70414">
        <w:t>Contact the patient physician and inform him of events and that the procedure may be aborted</w:t>
      </w:r>
    </w:p>
    <w:p w:rsidR="00363479" w:rsidRPr="00D70414" w:rsidRDefault="00363479">
      <w:pPr>
        <w:pStyle w:val="Heading4Indent"/>
      </w:pPr>
      <w:r w:rsidRPr="00D70414">
        <w:t xml:space="preserve">Consult with the Director of the </w:t>
      </w:r>
      <w:r w:rsidR="00644240">
        <w:t xml:space="preserve">Haematology &amp; </w:t>
      </w:r>
      <w:r w:rsidRPr="00D70414">
        <w:t xml:space="preserve">BMT </w:t>
      </w:r>
    </w:p>
    <w:p w:rsidR="00363479" w:rsidRPr="00D70414" w:rsidRDefault="00363479">
      <w:pPr>
        <w:pStyle w:val="Heading4Indent"/>
      </w:pPr>
      <w:r w:rsidRPr="00D70414">
        <w:t>The extracorporeal volume in the kit will be 297ml</w:t>
      </w:r>
    </w:p>
    <w:p w:rsidR="00363479" w:rsidRPr="00D70414" w:rsidRDefault="00363479">
      <w:pPr>
        <w:pStyle w:val="Heading4Indent"/>
      </w:pPr>
      <w:r w:rsidRPr="00D70414">
        <w:t xml:space="preserve">The patient may be disconnected without performing </w:t>
      </w:r>
      <w:r w:rsidRPr="00D70414">
        <w:rPr>
          <w:b/>
          <w:i/>
        </w:rPr>
        <w:t>RINSEBACK</w:t>
      </w:r>
      <w:r w:rsidRPr="00D70414">
        <w:t xml:space="preserve"> or perform </w:t>
      </w:r>
      <w:r w:rsidRPr="00D70414">
        <w:rPr>
          <w:b/>
          <w:i/>
        </w:rPr>
        <w:t>MANUAL RINSEBACK</w:t>
      </w:r>
      <w:r w:rsidRPr="00D70414">
        <w:t xml:space="preserve"> as per instructions in </w:t>
      </w:r>
      <w:r w:rsidRPr="00D70414">
        <w:rPr>
          <w:b/>
          <w:i/>
        </w:rPr>
        <w:t xml:space="preserve">Spectra </w:t>
      </w:r>
      <w:proofErr w:type="spellStart"/>
      <w:r w:rsidRPr="00D70414">
        <w:rPr>
          <w:b/>
          <w:i/>
        </w:rPr>
        <w:t>Optia</w:t>
      </w:r>
      <w:proofErr w:type="spellEnd"/>
      <w:r w:rsidRPr="00D70414">
        <w:rPr>
          <w:b/>
          <w:i/>
        </w:rPr>
        <w:t xml:space="preserve"> Essentials Guide, pp.73-76</w:t>
      </w:r>
      <w:r w:rsidRPr="00D70414">
        <w:t xml:space="preserve"> (in the event that a blood prime was performed, </w:t>
      </w:r>
      <w:r w:rsidRPr="00D70414">
        <w:rPr>
          <w:b/>
          <w:i/>
        </w:rPr>
        <w:t xml:space="preserve">RINSEBACK </w:t>
      </w:r>
      <w:r w:rsidRPr="00D70414">
        <w:t>is not necessary)</w:t>
      </w:r>
    </w:p>
    <w:p w:rsidR="00363479" w:rsidRPr="00D70414" w:rsidRDefault="00363479">
      <w:pPr>
        <w:pStyle w:val="Heading2"/>
        <w:tabs>
          <w:tab w:val="clear" w:pos="792"/>
          <w:tab w:val="num" w:pos="993"/>
        </w:tabs>
        <w:ind w:left="993" w:hanging="633"/>
      </w:pPr>
      <w:r w:rsidRPr="00D70414">
        <w:rPr>
          <w:b/>
        </w:rPr>
        <w:t xml:space="preserve">Immediate evacuation </w:t>
      </w:r>
      <w:r w:rsidRPr="00D70414">
        <w:t>– in the event that an immediate evacuation is required:</w:t>
      </w:r>
    </w:p>
    <w:p w:rsidR="00363479" w:rsidRPr="00D70414" w:rsidRDefault="00363479" w:rsidP="00590591">
      <w:pPr>
        <w:pStyle w:val="Heading3"/>
        <w:tabs>
          <w:tab w:val="clear" w:pos="1224"/>
          <w:tab w:val="num" w:pos="2160"/>
        </w:tabs>
        <w:ind w:left="2160" w:hanging="1440"/>
        <w:rPr>
          <w:u w:val="single"/>
        </w:rPr>
      </w:pPr>
      <w:r w:rsidRPr="00D70414">
        <w:t xml:space="preserve"> Close clamps on collect line if possible. NURSE AND PATIENT SAFETY IS PARAMOUNT, </w:t>
      </w:r>
      <w:r w:rsidR="00590591" w:rsidRPr="00D70414">
        <w:rPr>
          <w:u w:val="single"/>
        </w:rPr>
        <w:t>therefore do not complete</w:t>
      </w:r>
      <w:r w:rsidRPr="00D70414">
        <w:rPr>
          <w:u w:val="single"/>
        </w:rPr>
        <w:t xml:space="preserve"> this step if completion may endanger the health and safety of the nurse or the patient</w:t>
      </w:r>
    </w:p>
    <w:p w:rsidR="00363479" w:rsidRPr="00D70414" w:rsidRDefault="00363479">
      <w:pPr>
        <w:pStyle w:val="Heading3"/>
        <w:tabs>
          <w:tab w:val="clear" w:pos="1224"/>
          <w:tab w:val="num" w:pos="2160"/>
        </w:tabs>
        <w:ind w:left="2160" w:hanging="1440"/>
      </w:pPr>
      <w:r w:rsidRPr="00D70414">
        <w:t xml:space="preserve">Disconnect patient immediately and evacuate as per </w:t>
      </w:r>
      <w:hyperlink r:id="rId8" w:history="1">
        <w:r w:rsidRPr="00D70414">
          <w:t>RBWH Code Orange Evacuation procedure</w:t>
        </w:r>
      </w:hyperlink>
      <w:r w:rsidRPr="00D70414">
        <w:t xml:space="preserve">. </w:t>
      </w:r>
      <w:r w:rsidRPr="00D70414">
        <w:rPr>
          <w:b/>
        </w:rPr>
        <w:t>N.B.</w:t>
      </w:r>
      <w:r w:rsidRPr="00D70414">
        <w:t xml:space="preserve"> since RINSEBACK has not been performed, the patient will have a 297ml fluid deficit and may become hypotensive, monitor patient accordingly</w:t>
      </w:r>
    </w:p>
    <w:p w:rsidR="00363479" w:rsidRPr="00D70414" w:rsidRDefault="00363479">
      <w:pPr>
        <w:pStyle w:val="Heading2"/>
        <w:tabs>
          <w:tab w:val="clear" w:pos="792"/>
          <w:tab w:val="num" w:pos="993"/>
        </w:tabs>
        <w:ind w:left="993" w:hanging="633"/>
      </w:pPr>
      <w:r w:rsidRPr="00D70414">
        <w:rPr>
          <w:b/>
        </w:rPr>
        <w:t xml:space="preserve">Structural damage (e.g. fire, water / flood damage) </w:t>
      </w:r>
      <w:r w:rsidRPr="00D70414">
        <w:t>– in the event of structural damage, relocate product, material and patient files as required, to another area of ODTU if possible. Depending on the scale of the problem, a final decision on a temporary location may need to be determined on a case-by-case assessment by a structural engineer and the Director of the BMT program</w:t>
      </w:r>
    </w:p>
    <w:p w:rsidR="00363479" w:rsidRPr="00D70414" w:rsidRDefault="00363479">
      <w:pPr>
        <w:pStyle w:val="Heading3"/>
        <w:tabs>
          <w:tab w:val="clear" w:pos="1224"/>
          <w:tab w:val="num" w:pos="2160"/>
        </w:tabs>
        <w:ind w:left="2160" w:hanging="1440"/>
      </w:pPr>
      <w:r w:rsidRPr="00D70414">
        <w:t>All critical equipment and/or consumables which may have incurred damage should be discarded and replaced as soon as possible</w:t>
      </w:r>
    </w:p>
    <w:p w:rsidR="00363479" w:rsidRPr="00D70414" w:rsidRDefault="00363479">
      <w:pPr>
        <w:pStyle w:val="Heading3"/>
        <w:tabs>
          <w:tab w:val="clear" w:pos="1224"/>
          <w:tab w:val="num" w:pos="2160"/>
        </w:tabs>
        <w:ind w:left="2160" w:hanging="1440"/>
      </w:pPr>
      <w:r w:rsidRPr="00D70414">
        <w:t>Contact hospital maintenance (ext. 67963) and organise for them to inspect critical equipment as soon as possible</w:t>
      </w:r>
    </w:p>
    <w:p w:rsidR="00363479" w:rsidRPr="00D70414" w:rsidRDefault="00363479">
      <w:pPr>
        <w:pStyle w:val="Heading3"/>
        <w:tabs>
          <w:tab w:val="clear" w:pos="1224"/>
          <w:tab w:val="num" w:pos="2160"/>
        </w:tabs>
        <w:ind w:left="2160" w:hanging="1440"/>
      </w:pPr>
      <w:r w:rsidRPr="00D70414">
        <w:t>Suspend all operational activities until repairs are complete and the facility is signed off as safe to reoccupy</w:t>
      </w:r>
    </w:p>
    <w:p w:rsidR="00363479" w:rsidRPr="00D70414" w:rsidRDefault="00363479">
      <w:pPr>
        <w:pStyle w:val="Heading2"/>
        <w:tabs>
          <w:tab w:val="clear" w:pos="792"/>
          <w:tab w:val="num" w:pos="993"/>
        </w:tabs>
        <w:ind w:left="993" w:hanging="633"/>
      </w:pPr>
      <w:r w:rsidRPr="00D70414">
        <w:rPr>
          <w:b/>
        </w:rPr>
        <w:t xml:space="preserve">Critical equipment failure – </w:t>
      </w:r>
      <w:r w:rsidRPr="00D70414">
        <w:t>Perform troubleshooting as per relevant equipment manuals. If unable to resolve problem, contact BTS or manufacturer representative.</w:t>
      </w:r>
    </w:p>
    <w:p w:rsidR="00363479" w:rsidRPr="00D70414" w:rsidRDefault="00363479">
      <w:pPr>
        <w:pStyle w:val="Heading2"/>
        <w:tabs>
          <w:tab w:val="clear" w:pos="792"/>
          <w:tab w:val="num" w:pos="993"/>
        </w:tabs>
        <w:ind w:left="993" w:hanging="633"/>
      </w:pPr>
      <w:r w:rsidRPr="00D70414">
        <w:rPr>
          <w:b/>
        </w:rPr>
        <w:t xml:space="preserve">Critical consumable shortage – </w:t>
      </w:r>
      <w:r w:rsidRPr="00D70414">
        <w:t>if a critical consumable shortage occurs, contact the following Apheresis Units to source consumables:</w:t>
      </w:r>
    </w:p>
    <w:p w:rsidR="00363479" w:rsidRPr="00D70414" w:rsidRDefault="00363479">
      <w:pPr>
        <w:pStyle w:val="Heading3"/>
      </w:pPr>
      <w:r w:rsidRPr="00D70414">
        <w:t>Greenslopes Private Hospital (Speed dial *2521).</w:t>
      </w:r>
    </w:p>
    <w:p w:rsidR="00363479" w:rsidRPr="00D70414" w:rsidRDefault="00363479">
      <w:pPr>
        <w:pStyle w:val="Heading3"/>
        <w:tabs>
          <w:tab w:val="clear" w:pos="1224"/>
          <w:tab w:val="num" w:pos="2160"/>
        </w:tabs>
        <w:ind w:left="2160" w:hanging="1440"/>
      </w:pPr>
      <w:r w:rsidRPr="00D70414">
        <w:lastRenderedPageBreak/>
        <w:t xml:space="preserve">Lady Cilento </w:t>
      </w:r>
      <w:proofErr w:type="spellStart"/>
      <w:r w:rsidRPr="00D70414">
        <w:t>Childrens</w:t>
      </w:r>
      <w:proofErr w:type="spellEnd"/>
      <w:r w:rsidRPr="00D70414">
        <w:t xml:space="preserve">’ Hospital (Jo Ritchie – 3068 5686, or Jill </w:t>
      </w:r>
      <w:proofErr w:type="spellStart"/>
      <w:r w:rsidRPr="00D70414">
        <w:t>Shergold</w:t>
      </w:r>
      <w:proofErr w:type="spellEnd"/>
      <w:r w:rsidRPr="00D70414">
        <w:t xml:space="preserve"> – 3068 5767)</w:t>
      </w:r>
    </w:p>
    <w:p w:rsidR="00363479" w:rsidRPr="00D70414" w:rsidRDefault="00363479">
      <w:pPr>
        <w:pStyle w:val="Heading3"/>
        <w:tabs>
          <w:tab w:val="clear" w:pos="1224"/>
          <w:tab w:val="num" w:pos="2160"/>
        </w:tabs>
        <w:ind w:left="2160" w:hanging="1440"/>
      </w:pPr>
      <w:r w:rsidRPr="00D70414">
        <w:t>Once alternative supply has been sourced, organise transport of the required consumables. Liaise with the NUM, ODTU to organise payment of delivery e.g. courier service</w:t>
      </w:r>
    </w:p>
    <w:p w:rsidR="00363479" w:rsidRPr="00D70414" w:rsidRDefault="00363479">
      <w:pPr>
        <w:pStyle w:val="Heading2"/>
        <w:tabs>
          <w:tab w:val="clear" w:pos="792"/>
          <w:tab w:val="num" w:pos="993"/>
        </w:tabs>
        <w:ind w:left="993" w:hanging="633"/>
      </w:pPr>
      <w:r w:rsidRPr="00D70414">
        <w:rPr>
          <w:b/>
        </w:rPr>
        <w:t xml:space="preserve">Critical staff shortage – </w:t>
      </w:r>
      <w:r w:rsidRPr="00D70414">
        <w:t>The Apheresis Nurse Practitioner shall liaise with the NUM, ODTU regularly to ensure staffing requirements of the apheresis unit are met. In the event that key personnel are unavailable to perform critical procedures:</w:t>
      </w:r>
    </w:p>
    <w:p w:rsidR="00590591" w:rsidRPr="00D70414" w:rsidRDefault="00590591">
      <w:pPr>
        <w:pStyle w:val="Heading3"/>
        <w:tabs>
          <w:tab w:val="clear" w:pos="1224"/>
          <w:tab w:val="num" w:pos="2160"/>
        </w:tabs>
        <w:ind w:left="2160" w:hanging="1440"/>
      </w:pPr>
      <w:r w:rsidRPr="00D70414">
        <w:t>Contact Apheresis Nurse Practitioner (pager# 26299) and NUM, ODTU (ext. 68754 / 73991) informing them of the situation</w:t>
      </w:r>
    </w:p>
    <w:p w:rsidR="00363479" w:rsidRPr="00D70414" w:rsidRDefault="00363479" w:rsidP="00590591">
      <w:pPr>
        <w:pStyle w:val="Heading3"/>
        <w:tabs>
          <w:tab w:val="clear" w:pos="1224"/>
          <w:tab w:val="num" w:pos="2160"/>
        </w:tabs>
        <w:ind w:left="2160" w:hanging="1440"/>
      </w:pPr>
      <w:r w:rsidRPr="00D70414">
        <w:t>The NUM</w:t>
      </w:r>
      <w:r w:rsidR="00590591" w:rsidRPr="00D70414">
        <w:t xml:space="preserve"> / Apheresis Nurse Practitioner</w:t>
      </w:r>
      <w:r w:rsidRPr="00D70414">
        <w:t xml:space="preserve"> will attempt to adequately staff the Apheresis Unit </w:t>
      </w:r>
    </w:p>
    <w:p w:rsidR="00363479" w:rsidRPr="00D70414" w:rsidRDefault="00590591">
      <w:pPr>
        <w:pStyle w:val="Heading3"/>
        <w:tabs>
          <w:tab w:val="clear" w:pos="1224"/>
          <w:tab w:val="num" w:pos="2160"/>
        </w:tabs>
        <w:ind w:left="2160" w:hanging="1440"/>
      </w:pPr>
      <w:r w:rsidRPr="00D70414">
        <w:t xml:space="preserve">If appropriate, the situation can be escalated to the </w:t>
      </w:r>
      <w:r w:rsidR="00363479" w:rsidRPr="00D70414">
        <w:t>Director of the BMT program and the Nursing Director, CCS</w:t>
      </w:r>
    </w:p>
    <w:p w:rsidR="00363479" w:rsidRPr="00D70414" w:rsidRDefault="00363479">
      <w:pPr>
        <w:pStyle w:val="Heading3"/>
        <w:tabs>
          <w:tab w:val="clear" w:pos="1224"/>
          <w:tab w:val="num" w:pos="2160"/>
        </w:tabs>
        <w:ind w:left="2160" w:hanging="1440"/>
      </w:pPr>
      <w:r w:rsidRPr="00D70414">
        <w:t>If adequate staffing cannot be accomplished, the Apheresis Nurse Practitioner shall liaise with the Director of the BMT Program to discuss requesting the assistance of other apheresis units in the area. Alternative units may be affiliated with the RBWH e.g. Greenslopes Private Hospital, or other similarly accredited Apheresis Units e.g. Princess Alexandra Hospital or the Mater Public Hospital</w:t>
      </w:r>
    </w:p>
    <w:p w:rsidR="00D70414" w:rsidRPr="00D70414" w:rsidRDefault="00D70414" w:rsidP="00D70414"/>
    <w:p w:rsidR="00363479" w:rsidRPr="00D70414" w:rsidRDefault="00363479">
      <w:pPr>
        <w:pStyle w:val="Heading1"/>
      </w:pPr>
      <w:r w:rsidRPr="00D70414">
        <w:t>Responsibility</w:t>
      </w:r>
    </w:p>
    <w:tbl>
      <w:tblPr>
        <w:tblW w:w="9540" w:type="dxa"/>
        <w:tblInd w:w="64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1E0" w:firstRow="1" w:lastRow="1" w:firstColumn="1" w:lastColumn="1" w:noHBand="0" w:noVBand="0"/>
      </w:tblPr>
      <w:tblGrid>
        <w:gridCol w:w="2579"/>
        <w:gridCol w:w="1392"/>
        <w:gridCol w:w="1392"/>
        <w:gridCol w:w="1392"/>
        <w:gridCol w:w="1392"/>
        <w:gridCol w:w="1393"/>
      </w:tblGrid>
      <w:tr w:rsidR="00363479" w:rsidRPr="00D70414">
        <w:tc>
          <w:tcPr>
            <w:tcW w:w="2579" w:type="dxa"/>
            <w:shd w:val="clear" w:color="auto" w:fill="215868"/>
            <w:vAlign w:val="center"/>
          </w:tcPr>
          <w:p w:rsidR="00363479" w:rsidRPr="00D70414" w:rsidRDefault="00363479">
            <w:pPr>
              <w:widowControl w:val="0"/>
              <w:jc w:val="center"/>
              <w:rPr>
                <w:rFonts w:ascii="Arial" w:hAnsi="Arial" w:cs="Arial"/>
                <w:color w:val="FFFFFF"/>
                <w:lang w:val="en-US"/>
              </w:rPr>
            </w:pP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Final Approval</w:t>
            </w: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Implement</w:t>
            </w: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Quality Assurance</w:t>
            </w:r>
          </w:p>
        </w:tc>
        <w:tc>
          <w:tcPr>
            <w:tcW w:w="1392" w:type="dxa"/>
            <w:shd w:val="clear" w:color="auto" w:fill="215868"/>
            <w:vAlign w:val="center"/>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Review</w:t>
            </w:r>
          </w:p>
        </w:tc>
        <w:tc>
          <w:tcPr>
            <w:tcW w:w="1393" w:type="dxa"/>
            <w:shd w:val="clear" w:color="auto" w:fill="215868"/>
          </w:tcPr>
          <w:p w:rsidR="00363479" w:rsidRPr="00D70414" w:rsidRDefault="00363479">
            <w:pPr>
              <w:widowControl w:val="0"/>
              <w:jc w:val="center"/>
              <w:rPr>
                <w:rFonts w:ascii="Arial" w:hAnsi="Arial" w:cs="Arial"/>
                <w:color w:val="FFFFFF"/>
                <w:lang w:val="en-US"/>
              </w:rPr>
            </w:pPr>
            <w:r w:rsidRPr="00D70414">
              <w:rPr>
                <w:rFonts w:ascii="Arial" w:hAnsi="Arial" w:cs="Arial"/>
                <w:color w:val="FFFFFF"/>
                <w:sz w:val="22"/>
                <w:szCs w:val="22"/>
                <w:lang w:val="en-US"/>
              </w:rPr>
              <w:t>Perform Procedure</w:t>
            </w:r>
          </w:p>
        </w:tc>
      </w:tr>
      <w:tr w:rsidR="00363479" w:rsidRPr="00D70414">
        <w:tc>
          <w:tcPr>
            <w:tcW w:w="2579" w:type="dxa"/>
            <w:vAlign w:val="center"/>
          </w:tcPr>
          <w:p w:rsidR="00363479" w:rsidRPr="00D70414" w:rsidRDefault="00363479">
            <w:pPr>
              <w:widowControl w:val="0"/>
              <w:spacing w:before="60" w:after="60"/>
              <w:rPr>
                <w:rFonts w:ascii="Arial" w:hAnsi="Arial" w:cs="Arial"/>
                <w:lang w:val="en-US"/>
              </w:rPr>
            </w:pPr>
            <w:r w:rsidRPr="00D70414">
              <w:rPr>
                <w:rFonts w:ascii="Arial" w:hAnsi="Arial" w:cs="Arial"/>
                <w:lang w:val="en-US"/>
              </w:rPr>
              <w:t>Apheresis Nurse Practitioner</w:t>
            </w: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3"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r>
      <w:tr w:rsidR="00363479" w:rsidRPr="00D70414">
        <w:tc>
          <w:tcPr>
            <w:tcW w:w="2579" w:type="dxa"/>
            <w:vAlign w:val="center"/>
          </w:tcPr>
          <w:p w:rsidR="00363479" w:rsidRPr="00D70414" w:rsidRDefault="00363479">
            <w:pPr>
              <w:widowControl w:val="0"/>
              <w:spacing w:before="60" w:after="60"/>
              <w:rPr>
                <w:rFonts w:ascii="Arial" w:hAnsi="Arial" w:cs="Arial"/>
                <w:lang w:val="en-US"/>
              </w:rPr>
            </w:pPr>
            <w:r w:rsidRPr="00D70414">
              <w:rPr>
                <w:rFonts w:ascii="Arial" w:hAnsi="Arial" w:cs="Arial"/>
                <w:lang w:val="en-US"/>
              </w:rPr>
              <w:t>Medical Director</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3" w:type="dxa"/>
            <w:vAlign w:val="center"/>
          </w:tcPr>
          <w:p w:rsidR="00363479" w:rsidRPr="00D70414" w:rsidRDefault="00363479">
            <w:pPr>
              <w:widowControl w:val="0"/>
              <w:spacing w:before="60" w:after="60"/>
              <w:jc w:val="center"/>
              <w:rPr>
                <w:rFonts w:ascii="Arial" w:hAnsi="Arial" w:cs="Arial"/>
                <w:lang w:val="en-US"/>
              </w:rPr>
            </w:pPr>
          </w:p>
        </w:tc>
      </w:tr>
      <w:tr w:rsidR="00363479" w:rsidRPr="00D70414">
        <w:tc>
          <w:tcPr>
            <w:tcW w:w="2579" w:type="dxa"/>
            <w:vAlign w:val="center"/>
          </w:tcPr>
          <w:p w:rsidR="00363479" w:rsidRPr="00D70414" w:rsidRDefault="00363479">
            <w:pPr>
              <w:widowControl w:val="0"/>
              <w:spacing w:before="60" w:after="60"/>
              <w:rPr>
                <w:rFonts w:ascii="Arial" w:hAnsi="Arial" w:cs="Arial"/>
                <w:lang w:val="en-US"/>
              </w:rPr>
            </w:pPr>
            <w:r w:rsidRPr="00D70414">
              <w:rPr>
                <w:rFonts w:ascii="Arial" w:hAnsi="Arial" w:cs="Arial"/>
                <w:lang w:val="en-US"/>
              </w:rPr>
              <w:t>Nursing Staff</w:t>
            </w: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2" w:type="dxa"/>
            <w:vAlign w:val="center"/>
          </w:tcPr>
          <w:p w:rsidR="00363479" w:rsidRPr="00D70414" w:rsidRDefault="00363479">
            <w:pPr>
              <w:widowControl w:val="0"/>
              <w:spacing w:before="60" w:after="60"/>
              <w:jc w:val="center"/>
              <w:rPr>
                <w:rFonts w:ascii="Arial" w:hAnsi="Arial" w:cs="Arial"/>
                <w:lang w:val="en-US"/>
              </w:rPr>
            </w:pPr>
          </w:p>
        </w:tc>
        <w:tc>
          <w:tcPr>
            <w:tcW w:w="1393" w:type="dxa"/>
            <w:vAlign w:val="center"/>
          </w:tcPr>
          <w:p w:rsidR="00363479" w:rsidRPr="00D70414" w:rsidRDefault="00363479">
            <w:pPr>
              <w:widowControl w:val="0"/>
              <w:spacing w:before="60" w:after="60"/>
              <w:jc w:val="center"/>
              <w:rPr>
                <w:rFonts w:ascii="Arial" w:hAnsi="Arial" w:cs="Arial"/>
                <w:lang w:val="en-US"/>
              </w:rPr>
            </w:pPr>
            <w:r w:rsidRPr="00D70414">
              <w:rPr>
                <w:rFonts w:ascii="Arial" w:hAnsi="Arial" w:cs="Arial"/>
                <w:lang w:val="en-US"/>
              </w:rPr>
              <w:t>X</w:t>
            </w:r>
          </w:p>
        </w:tc>
      </w:tr>
    </w:tbl>
    <w:p w:rsidR="00363479" w:rsidRPr="00D70414" w:rsidRDefault="00363479">
      <w:pPr>
        <w:pStyle w:val="Heading1"/>
      </w:pPr>
      <w:r w:rsidRPr="00D70414">
        <w:t>Occupational Health and Safety</w:t>
      </w:r>
    </w:p>
    <w:p w:rsidR="00363479" w:rsidRPr="00D70414" w:rsidRDefault="00363479">
      <w:pPr>
        <w:pStyle w:val="Heading2"/>
        <w:tabs>
          <w:tab w:val="clear" w:pos="792"/>
          <w:tab w:val="num" w:pos="993"/>
        </w:tabs>
        <w:ind w:left="993" w:hanging="633"/>
      </w:pPr>
      <w:r w:rsidRPr="00D70414">
        <w:t xml:space="preserve">Standard precautions shall be maintained throughout the procedure. Refer to </w:t>
      </w:r>
      <w:r w:rsidR="00590591" w:rsidRPr="00D70414">
        <w:t>000342/Proc: Standard Precautions</w:t>
      </w:r>
      <w:r w:rsidRPr="00D70414">
        <w:t>.</w:t>
      </w:r>
    </w:p>
    <w:p w:rsidR="00363479" w:rsidRPr="00D70414" w:rsidRDefault="00363479" w:rsidP="0089692D">
      <w:pPr>
        <w:pStyle w:val="Heading1"/>
      </w:pPr>
      <w:r w:rsidRPr="00D70414">
        <w:t>Risk</w:t>
      </w:r>
    </w:p>
    <w:p w:rsidR="00363479" w:rsidRPr="00D70414" w:rsidRDefault="00363479" w:rsidP="00CF5D34">
      <w:pPr>
        <w:pStyle w:val="Heading2"/>
        <w:tabs>
          <w:tab w:val="clear" w:pos="792"/>
          <w:tab w:val="num" w:pos="993"/>
        </w:tabs>
        <w:ind w:left="993" w:hanging="633"/>
      </w:pPr>
      <w:r w:rsidRPr="00D70414">
        <w:t>Low to Medium (case dependant).</w:t>
      </w:r>
    </w:p>
    <w:p w:rsidR="00363479" w:rsidRPr="00D70414" w:rsidRDefault="00363479">
      <w:pPr>
        <w:pStyle w:val="Heading1"/>
      </w:pPr>
      <w:r w:rsidRPr="00D70414">
        <w:t xml:space="preserve">Consultation </w:t>
      </w:r>
    </w:p>
    <w:p w:rsidR="00363479" w:rsidRPr="00D70414" w:rsidRDefault="00363479">
      <w:pPr>
        <w:pStyle w:val="Heading2"/>
        <w:tabs>
          <w:tab w:val="clear" w:pos="792"/>
          <w:tab w:val="num" w:pos="993"/>
        </w:tabs>
        <w:ind w:left="993" w:hanging="633"/>
      </w:pPr>
      <w:r w:rsidRPr="00D70414">
        <w:t>Director Bone Marrow Transplant – Glen Kennedy</w:t>
      </w:r>
    </w:p>
    <w:p w:rsidR="00363479" w:rsidRPr="00D70414" w:rsidRDefault="00363479">
      <w:pPr>
        <w:pStyle w:val="Heading2"/>
        <w:tabs>
          <w:tab w:val="clear" w:pos="792"/>
          <w:tab w:val="num" w:pos="993"/>
        </w:tabs>
        <w:ind w:left="993" w:hanging="633"/>
      </w:pPr>
      <w:r w:rsidRPr="00D70414">
        <w:t>Apheresis Nurse Practitioner</w:t>
      </w:r>
      <w:r w:rsidRPr="00D70414">
        <w:tab/>
        <w:t xml:space="preserve">Kari </w:t>
      </w:r>
      <w:proofErr w:type="spellStart"/>
      <w:r w:rsidRPr="00D70414">
        <w:t>Mudie</w:t>
      </w:r>
      <w:proofErr w:type="spellEnd"/>
    </w:p>
    <w:p w:rsidR="00644240" w:rsidRDefault="00644240">
      <w:pPr>
        <w:rPr>
          <w:rFonts w:ascii="Arial" w:hAnsi="Arial"/>
          <w:b/>
          <w:bCs/>
          <w:color w:val="215868"/>
          <w:kern w:val="32"/>
          <w:sz w:val="28"/>
          <w:szCs w:val="28"/>
        </w:rPr>
      </w:pPr>
      <w:r>
        <w:br w:type="page"/>
      </w:r>
    </w:p>
    <w:p w:rsidR="00363479" w:rsidRPr="00D70414" w:rsidRDefault="00422195" w:rsidP="00422195">
      <w:pPr>
        <w:pStyle w:val="Heading2"/>
        <w:numPr>
          <w:ilvl w:val="0"/>
          <w:numId w:val="0"/>
        </w:numPr>
        <w:ind w:left="360"/>
      </w:pPr>
      <w:r>
        <w:rPr>
          <w:b/>
          <w:iCs w:val="0"/>
          <w:color w:val="215868"/>
        </w:rPr>
        <w:lastRenderedPageBreak/>
        <w:t>A</w:t>
      </w:r>
      <w:r w:rsidR="00363479" w:rsidRPr="00D70414">
        <w:rPr>
          <w:b/>
          <w:iCs w:val="0"/>
          <w:color w:val="215868"/>
        </w:rPr>
        <w:t>ppendix 1 – Collection preference guide</w:t>
      </w:r>
    </w:p>
    <w:p w:rsidR="00363479" w:rsidRPr="00D70414" w:rsidRDefault="00363479"/>
    <w:p w:rsidR="00363479" w:rsidRPr="00D70414" w:rsidRDefault="00363479"/>
    <w:p w:rsidR="00363479" w:rsidRPr="00D70414" w:rsidRDefault="00363479"/>
    <w:p w:rsidR="00363479" w:rsidRPr="00D70414" w:rsidRDefault="00363479"/>
    <w:p w:rsidR="00363479" w:rsidRPr="00D70414" w:rsidRDefault="003B6D38">
      <w:pPr>
        <w:jc w:val="center"/>
        <w:rPr>
          <w:rFonts w:ascii="Arial" w:hAnsi="Arial" w:cs="Arial"/>
          <w:b/>
          <w:bCs/>
          <w:color w:val="215868"/>
          <w:sz w:val="28"/>
          <w:szCs w:val="28"/>
        </w:rPr>
      </w:pPr>
      <w:r>
        <w:rPr>
          <w:noProof/>
        </w:rPr>
        <mc:AlternateContent>
          <mc:Choice Requires="wps">
            <w:drawing>
              <wp:anchor distT="0" distB="0" distL="114300" distR="114300" simplePos="0" relativeHeight="251665408" behindDoc="0" locked="0" layoutInCell="1" allowOverlap="1" wp14:anchorId="2CA316D5" wp14:editId="07AFB031">
                <wp:simplePos x="0" y="0"/>
                <wp:positionH relativeFrom="column">
                  <wp:posOffset>1007582</wp:posOffset>
                </wp:positionH>
                <wp:positionV relativeFrom="paragraph">
                  <wp:posOffset>1288327</wp:posOffset>
                </wp:positionV>
                <wp:extent cx="457200" cy="339725"/>
                <wp:effectExtent l="0" t="0" r="0" b="3175"/>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6F" w:rsidRDefault="0040326F" w:rsidP="0040326F">
                            <w:pPr>
                              <w:rPr>
                                <w:rFonts w:ascii="Arial" w:hAnsi="Arial" w:cs="Arial"/>
                                <w:b/>
                              </w:rPr>
                            </w:pP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16D5" id="Rectangle 11" o:spid="_x0000_s1026" style="position:absolute;left:0;text-align:left;margin-left:79.35pt;margin-top:101.45pt;width:36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" stroked="f">
                <v:textbox>
                  <w:txbxContent>
                    <w:p w:rsidR="0040326F" w:rsidRDefault="0040326F" w:rsidP="0040326F">
                      <w:pPr>
                        <w:rPr>
                          <w:rFonts w:ascii="Arial" w:hAnsi="Arial" w:cs="Arial"/>
                          <w:b/>
                        </w:rPr>
                      </w:pPr>
                      <w:r>
                        <w:rPr>
                          <w:rFonts w:ascii="Arial" w:hAnsi="Arial" w:cs="Arial"/>
                          <w:b/>
                        </w:rPr>
                        <w:t>1%</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9FD080C" wp14:editId="7B2AAD71">
                <wp:simplePos x="0" y="0"/>
                <wp:positionH relativeFrom="column">
                  <wp:posOffset>1555115</wp:posOffset>
                </wp:positionH>
                <wp:positionV relativeFrom="paragraph">
                  <wp:posOffset>1041400</wp:posOffset>
                </wp:positionV>
                <wp:extent cx="1190625" cy="342900"/>
                <wp:effectExtent l="19050" t="57150" r="28575" b="1905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342900"/>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B58E"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82pt" to="216.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" strokecolor="teal" strokeweight="3pt">
                <v:stroke endarrow="block"/>
              </v:line>
            </w:pict>
          </mc:Fallback>
        </mc:AlternateContent>
      </w:r>
      <w:r>
        <w:rPr>
          <w:noProof/>
        </w:rPr>
        <mc:AlternateContent>
          <mc:Choice Requires="wps">
            <w:drawing>
              <wp:anchor distT="0" distB="0" distL="114300" distR="114300" simplePos="0" relativeHeight="251653120" behindDoc="0" locked="0" layoutInCell="1" allowOverlap="1" wp14:anchorId="2F4CB646" wp14:editId="2CF95666">
                <wp:simplePos x="0" y="0"/>
                <wp:positionH relativeFrom="column">
                  <wp:posOffset>1555115</wp:posOffset>
                </wp:positionH>
                <wp:positionV relativeFrom="paragraph">
                  <wp:posOffset>2192655</wp:posOffset>
                </wp:positionV>
                <wp:extent cx="1188085" cy="541655"/>
                <wp:effectExtent l="19050" t="38100" r="50165" b="2984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541655"/>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8EED" id="Line 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172.65pt" to="3in,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" strokecolor="teal" strokeweight="3pt">
                <v:stroke endarrow="block"/>
              </v:line>
            </w:pict>
          </mc:Fallback>
        </mc:AlternateContent>
      </w:r>
      <w:r>
        <w:rPr>
          <w:noProof/>
        </w:rPr>
        <mc:AlternateContent>
          <mc:Choice Requires="wps">
            <w:drawing>
              <wp:anchor distT="0" distB="0" distL="114300" distR="114300" simplePos="0" relativeHeight="251652096" behindDoc="0" locked="0" layoutInCell="1" allowOverlap="1" wp14:anchorId="74745F05" wp14:editId="2F6E2619">
                <wp:simplePos x="0" y="0"/>
                <wp:positionH relativeFrom="column">
                  <wp:posOffset>1001395</wp:posOffset>
                </wp:positionH>
                <wp:positionV relativeFrom="paragraph">
                  <wp:posOffset>2649855</wp:posOffset>
                </wp:positionV>
                <wp:extent cx="417195" cy="342900"/>
                <wp:effectExtent l="0" t="0" r="1905"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40326F">
                            <w:pP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5F05" id="Rectangle 12" o:spid="_x0000_s1027" style="position:absolute;left:0;text-align:left;margin-left:78.85pt;margin-top:208.65pt;width:32.8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" stroked="f">
                <v:textbox>
                  <w:txbxContent>
                    <w:p w:rsidR="005152E7" w:rsidRDefault="0040326F">
                      <w:pPr>
                        <w:rPr>
                          <w:rFonts w:ascii="Arial" w:hAnsi="Arial" w:cs="Arial"/>
                          <w:b/>
                        </w:rPr>
                      </w:pPr>
                      <w:r>
                        <w:rPr>
                          <w:rFonts w:ascii="Arial" w:hAnsi="Arial" w:cs="Arial"/>
                          <w:b/>
                        </w:rPr>
                        <w:t>3%</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2FB85A7C" wp14:editId="4E7412E0">
                <wp:simplePos x="0" y="0"/>
                <wp:positionH relativeFrom="column">
                  <wp:posOffset>1001749</wp:posOffset>
                </wp:positionH>
                <wp:positionV relativeFrom="paragraph">
                  <wp:posOffset>3735277</wp:posOffset>
                </wp:positionV>
                <wp:extent cx="605790" cy="339725"/>
                <wp:effectExtent l="0" t="0" r="3810" b="3175"/>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6F" w:rsidRDefault="0040326F" w:rsidP="0040326F">
                            <w:pPr>
                              <w:rPr>
                                <w:rFonts w:ascii="Arial" w:hAnsi="Arial" w:cs="Arial"/>
                                <w:b/>
                              </w:rPr>
                            </w:pPr>
                            <w:r>
                              <w:rPr>
                                <w:rFonts w:ascii="Arial" w:hAnsi="Arial" w:cs="Arial"/>
                                <w:b/>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5A7C" id="_x0000_s1028" style="position:absolute;left:0;text-align:left;margin-left:78.9pt;margin-top:294.1pt;width:47.7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" stroked="f">
                <v:textbox>
                  <w:txbxContent>
                    <w:p w:rsidR="0040326F" w:rsidRDefault="0040326F" w:rsidP="0040326F">
                      <w:pPr>
                        <w:rPr>
                          <w:rFonts w:ascii="Arial" w:hAnsi="Arial" w:cs="Arial"/>
                          <w:b/>
                        </w:rPr>
                      </w:pPr>
                      <w:r>
                        <w:rPr>
                          <w:rFonts w:ascii="Arial" w:hAnsi="Arial" w:cs="Arial"/>
                          <w:b/>
                        </w:rPr>
                        <w:t>7.5%</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604EE52" wp14:editId="16379C8E">
                <wp:simplePos x="0" y="0"/>
                <wp:positionH relativeFrom="column">
                  <wp:posOffset>1607820</wp:posOffset>
                </wp:positionH>
                <wp:positionV relativeFrom="paragraph">
                  <wp:posOffset>3447533</wp:posOffset>
                </wp:positionV>
                <wp:extent cx="967563" cy="340596"/>
                <wp:effectExtent l="19050" t="57150" r="4445" b="2159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7563" cy="340596"/>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CF1D" id="Line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271.45pt" to="202.8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" strokecolor="teal" strokeweight="3pt">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6E7DA21D" wp14:editId="64C12B05">
                <wp:simplePos x="0" y="0"/>
                <wp:positionH relativeFrom="column">
                  <wp:posOffset>4159250</wp:posOffset>
                </wp:positionH>
                <wp:positionV relativeFrom="paragraph">
                  <wp:posOffset>1040765</wp:posOffset>
                </wp:positionV>
                <wp:extent cx="457200" cy="339725"/>
                <wp:effectExtent l="0" t="0" r="0" b="317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40326F">
                            <w:pPr>
                              <w:rPr>
                                <w:rFonts w:ascii="Arial" w:hAnsi="Arial" w:cs="Arial"/>
                                <w:b/>
                              </w:rPr>
                            </w:pP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A21D" id="_x0000_s1029" style="position:absolute;left:0;text-align:left;margin-left:327.5pt;margin-top:81.95pt;width:36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" stroked="f">
                <v:textbox>
                  <w:txbxContent>
                    <w:p w:rsidR="005152E7" w:rsidRDefault="0040326F">
                      <w:pPr>
                        <w:rPr>
                          <w:rFonts w:ascii="Arial" w:hAnsi="Arial" w:cs="Arial"/>
                          <w:b/>
                        </w:rPr>
                      </w:pPr>
                      <w:r>
                        <w:rPr>
                          <w:rFonts w:ascii="Arial" w:hAnsi="Arial" w:cs="Arial"/>
                          <w:b/>
                        </w:rPr>
                        <w:t>2%</w:t>
                      </w:r>
                    </w:p>
                  </w:txbxContent>
                </v:textbox>
              </v:rect>
            </w:pict>
          </mc:Fallback>
        </mc:AlternateContent>
      </w:r>
      <w:r>
        <w:rPr>
          <w:noProof/>
        </w:rPr>
        <mc:AlternateContent>
          <mc:Choice Requires="wps">
            <w:drawing>
              <wp:anchor distT="0" distB="0" distL="114300" distR="114300" simplePos="0" relativeHeight="251655168" behindDoc="0" locked="0" layoutInCell="1" allowOverlap="1" wp14:anchorId="619C3BA7" wp14:editId="41A95188">
                <wp:simplePos x="0" y="0"/>
                <wp:positionH relativeFrom="column">
                  <wp:posOffset>3309620</wp:posOffset>
                </wp:positionH>
                <wp:positionV relativeFrom="paragraph">
                  <wp:posOffset>1193165</wp:posOffset>
                </wp:positionV>
                <wp:extent cx="850265" cy="422275"/>
                <wp:effectExtent l="38100" t="19050" r="26035" b="5397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422275"/>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DCE0" id="Line 10"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93.95pt" to="327.5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" strokecolor="teal" strokeweight="3pt">
                <v:stroke endarrow="block"/>
              </v:line>
            </w:pict>
          </mc:Fallback>
        </mc:AlternateContent>
      </w:r>
      <w:r w:rsidR="0040326F">
        <w:rPr>
          <w:noProof/>
        </w:rPr>
        <mc:AlternateContent>
          <mc:Choice Requires="wps">
            <w:drawing>
              <wp:anchor distT="0" distB="0" distL="114300" distR="114300" simplePos="0" relativeHeight="251671552" behindDoc="0" locked="0" layoutInCell="1" allowOverlap="1" wp14:anchorId="17A99C69" wp14:editId="60E21EFE">
                <wp:simplePos x="0" y="0"/>
                <wp:positionH relativeFrom="column">
                  <wp:posOffset>4290695</wp:posOffset>
                </wp:positionH>
                <wp:positionV relativeFrom="paragraph">
                  <wp:posOffset>2206979</wp:posOffset>
                </wp:positionV>
                <wp:extent cx="457200" cy="339725"/>
                <wp:effectExtent l="0" t="0" r="0" b="317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26F" w:rsidRDefault="0040326F" w:rsidP="0040326F">
                            <w:pPr>
                              <w:rPr>
                                <w:rFonts w:ascii="Arial" w:hAnsi="Arial" w:cs="Arial"/>
                                <w:b/>
                              </w:rPr>
                            </w:pPr>
                            <w:r>
                              <w:rPr>
                                <w:rFonts w:ascii="Arial" w:hAnsi="Arial" w:cs="Arial"/>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9C69" id="_x0000_s1030" style="position:absolute;left:0;text-align:left;margin-left:337.85pt;margin-top:173.8pt;width:36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" stroked="f">
                <v:textbox>
                  <w:txbxContent>
                    <w:p w:rsidR="0040326F" w:rsidRDefault="0040326F" w:rsidP="0040326F">
                      <w:pPr>
                        <w:rPr>
                          <w:rFonts w:ascii="Arial" w:hAnsi="Arial" w:cs="Arial"/>
                          <w:b/>
                        </w:rPr>
                      </w:pPr>
                      <w:r>
                        <w:rPr>
                          <w:rFonts w:ascii="Arial" w:hAnsi="Arial" w:cs="Arial"/>
                          <w:b/>
                        </w:rPr>
                        <w:t>5%</w:t>
                      </w:r>
                    </w:p>
                  </w:txbxContent>
                </v:textbox>
              </v:rect>
            </w:pict>
          </mc:Fallback>
        </mc:AlternateContent>
      </w:r>
      <w:r w:rsidR="0040326F">
        <w:rPr>
          <w:noProof/>
        </w:rPr>
        <mc:AlternateContent>
          <mc:Choice Requires="wps">
            <w:drawing>
              <wp:anchor distT="0" distB="0" distL="114300" distR="114300" simplePos="0" relativeHeight="251669504" behindDoc="0" locked="0" layoutInCell="1" allowOverlap="1" wp14:anchorId="5DCBCE9D" wp14:editId="6EC23CCA">
                <wp:simplePos x="0" y="0"/>
                <wp:positionH relativeFrom="column">
                  <wp:posOffset>3384048</wp:posOffset>
                </wp:positionH>
                <wp:positionV relativeFrom="paragraph">
                  <wp:posOffset>2341880</wp:posOffset>
                </wp:positionV>
                <wp:extent cx="903767" cy="467833"/>
                <wp:effectExtent l="38100" t="19050" r="10795" b="4699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767" cy="467833"/>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02C1" id="Line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5pt,184.4pt" to="337.6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" strokecolor="teal" strokeweight="3pt">
                <v:stroke endarrow="block"/>
              </v:line>
            </w:pict>
          </mc:Fallback>
        </mc:AlternateContent>
      </w:r>
      <w:r w:rsidR="00166966">
        <w:rPr>
          <w:noProof/>
        </w:rPr>
        <w:drawing>
          <wp:inline distT="0" distB="0" distL="0" distR="0" wp14:anchorId="20AA93F9" wp14:editId="4AFB88FB">
            <wp:extent cx="1488440" cy="4072255"/>
            <wp:effectExtent l="0" t="0" r="0"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4072255"/>
                    </a:xfrm>
                    <a:prstGeom prst="rect">
                      <a:avLst/>
                    </a:prstGeom>
                    <a:noFill/>
                    <a:ln>
                      <a:noFill/>
                    </a:ln>
                  </pic:spPr>
                </pic:pic>
              </a:graphicData>
            </a:graphic>
          </wp:inline>
        </w:drawing>
      </w:r>
    </w:p>
    <w:p w:rsidR="00363479" w:rsidRPr="00D70414" w:rsidRDefault="00363479">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644240" w:rsidRDefault="00644240" w:rsidP="00644240">
      <w:pPr>
        <w:jc w:val="center"/>
        <w:rPr>
          <w:rFonts w:ascii="Arial" w:hAnsi="Arial" w:cs="Arial"/>
          <w:b/>
          <w:bCs/>
          <w:color w:val="215868"/>
          <w:sz w:val="28"/>
          <w:szCs w:val="28"/>
        </w:rPr>
      </w:pPr>
    </w:p>
    <w:p w:rsidR="00363479" w:rsidRDefault="00644240" w:rsidP="00644240">
      <w:pPr>
        <w:jc w:val="center"/>
        <w:rPr>
          <w:rFonts w:ascii="Arial" w:hAnsi="Arial" w:cs="Arial"/>
          <w:b/>
          <w:color w:val="215868"/>
          <w:sz w:val="28"/>
          <w:szCs w:val="28"/>
        </w:rPr>
      </w:pPr>
      <w:r>
        <w:rPr>
          <w:rFonts w:ascii="Arial" w:hAnsi="Arial" w:cs="Arial"/>
          <w:b/>
          <w:bCs/>
          <w:color w:val="215868"/>
          <w:sz w:val="28"/>
          <w:szCs w:val="28"/>
        </w:rPr>
        <w:t>END OF P</w:t>
      </w:r>
      <w:r w:rsidR="00363479" w:rsidRPr="00D70414">
        <w:rPr>
          <w:rFonts w:ascii="Arial" w:hAnsi="Arial" w:cs="Arial"/>
          <w:b/>
          <w:bCs/>
          <w:color w:val="215868"/>
          <w:sz w:val="28"/>
          <w:szCs w:val="28"/>
        </w:rPr>
        <w:t>ROCEDURE</w:t>
      </w:r>
    </w:p>
    <w:sectPr w:rsidR="00363479" w:rsidSect="00AD2525">
      <w:headerReference w:type="default" r:id="rId10"/>
      <w:footerReference w:type="default" r:id="rId11"/>
      <w:headerReference w:type="first" r:id="rId12"/>
      <w:footerReference w:type="first" r:id="rId13"/>
      <w:pgSz w:w="11906" w:h="16838" w:code="9"/>
      <w:pgMar w:top="993" w:right="1134" w:bottom="0" w:left="1134" w:header="851" w:footer="11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FCC" w:rsidRDefault="00677FCC">
      <w:r>
        <w:separator/>
      </w:r>
    </w:p>
  </w:endnote>
  <w:endnote w:type="continuationSeparator" w:id="0">
    <w:p w:rsidR="00677FCC" w:rsidRDefault="0067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ld-Roman 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166966">
    <w:pPr>
      <w:pStyle w:val="Footer"/>
    </w:pPr>
    <w:r>
      <w:rPr>
        <w:noProof/>
      </w:rPr>
      <mc:AlternateContent>
        <mc:Choice Requires="wps">
          <w:drawing>
            <wp:anchor distT="0" distB="0" distL="114300" distR="114300" simplePos="0" relativeHeight="251659776" behindDoc="0" locked="0" layoutInCell="1" allowOverlap="1">
              <wp:simplePos x="0" y="0"/>
              <wp:positionH relativeFrom="column">
                <wp:posOffset>232410</wp:posOffset>
              </wp:positionH>
              <wp:positionV relativeFrom="paragraph">
                <wp:posOffset>98425</wp:posOffset>
              </wp:positionV>
              <wp:extent cx="5568315" cy="396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D70414">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sidR="005152E7">
                            <w:rPr>
                              <w:rFonts w:ascii="Arial" w:hAnsi="Arial" w:cs="Arial"/>
                              <w:b/>
                              <w:color w:val="215868"/>
                              <w:sz w:val="16"/>
                              <w:szCs w:val="16"/>
                            </w:rPr>
                            <w:tab/>
                            <w:t xml:space="preserve">         Page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PAGE  \* Arabic  \* MERGEFORMAT </w:instrText>
                          </w:r>
                          <w:r w:rsidR="005152E7">
                            <w:rPr>
                              <w:rFonts w:ascii="Arial" w:hAnsi="Arial" w:cs="Arial"/>
                              <w:b/>
                              <w:color w:val="215868"/>
                              <w:sz w:val="16"/>
                              <w:szCs w:val="16"/>
                            </w:rPr>
                            <w:fldChar w:fldCharType="separate"/>
                          </w:r>
                          <w:r w:rsidR="003932E1">
                            <w:rPr>
                              <w:rFonts w:ascii="Arial" w:hAnsi="Arial" w:cs="Arial"/>
                              <w:b/>
                              <w:noProof/>
                              <w:color w:val="215868"/>
                              <w:sz w:val="16"/>
                              <w:szCs w:val="16"/>
                            </w:rPr>
                            <w:t>2</w:t>
                          </w:r>
                          <w:r w:rsidR="005152E7">
                            <w:rPr>
                              <w:rFonts w:ascii="Arial" w:hAnsi="Arial" w:cs="Arial"/>
                              <w:b/>
                              <w:color w:val="215868"/>
                              <w:sz w:val="16"/>
                              <w:szCs w:val="16"/>
                            </w:rPr>
                            <w:fldChar w:fldCharType="end"/>
                          </w:r>
                          <w:r w:rsidR="005152E7">
                            <w:rPr>
                              <w:rFonts w:ascii="Arial" w:hAnsi="Arial" w:cs="Arial"/>
                              <w:b/>
                              <w:color w:val="215868"/>
                              <w:sz w:val="16"/>
                              <w:szCs w:val="16"/>
                            </w:rPr>
                            <w:t xml:space="preserve"> of </w:t>
                          </w:r>
                          <w:fldSimple w:instr=" NUMPAGES  \* Arabic  \* MERGEFORMAT ">
                            <w:r w:rsidR="003932E1" w:rsidRPr="003932E1">
                              <w:rPr>
                                <w:rFonts w:ascii="Arial" w:hAnsi="Arial" w:cs="Arial"/>
                                <w:b/>
                                <w:noProof/>
                                <w:color w:val="215868"/>
                                <w:sz w:val="16"/>
                                <w:szCs w:val="16"/>
                              </w:rPr>
                              <w:t>12</w:t>
                            </w:r>
                          </w:fldSimple>
                          <w:r w:rsidR="005152E7">
                            <w:rPr>
                              <w:rFonts w:ascii="Arial" w:hAnsi="Arial" w:cs="Arial"/>
                              <w:b/>
                              <w:color w:val="215868"/>
                              <w:sz w:val="16"/>
                              <w:szCs w:val="16"/>
                            </w:rPr>
                            <w:tab/>
                          </w:r>
                          <w:r w:rsidR="005152E7">
                            <w:rPr>
                              <w:rFonts w:ascii="Arial" w:hAnsi="Arial" w:cs="Arial"/>
                              <w:b/>
                              <w:color w:val="215868"/>
                              <w:sz w:val="16"/>
                              <w:szCs w:val="16"/>
                            </w:rPr>
                            <w:tab/>
                            <w:t xml:space="preserve">Printed On: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DATE \@ "d/MM/yyyy h:mm:ss am/pm" </w:instrText>
                          </w:r>
                          <w:r w:rsidR="005152E7">
                            <w:rPr>
                              <w:rFonts w:ascii="Arial" w:hAnsi="Arial" w:cs="Arial"/>
                              <w:b/>
                              <w:color w:val="215868"/>
                              <w:sz w:val="16"/>
                              <w:szCs w:val="16"/>
                            </w:rPr>
                            <w:fldChar w:fldCharType="separate"/>
                          </w:r>
                          <w:r w:rsidR="00E71B51">
                            <w:rPr>
                              <w:rFonts w:ascii="Arial" w:hAnsi="Arial" w:cs="Arial"/>
                              <w:b/>
                              <w:noProof/>
                              <w:color w:val="215868"/>
                              <w:sz w:val="16"/>
                              <w:szCs w:val="16"/>
                            </w:rPr>
                            <w:t>28/03/2019 6:38:50 PM</w:t>
                          </w:r>
                          <w:r w:rsidR="005152E7">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8.3pt;margin-top:7.75pt;width:438.4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" stroked="f">
              <v:textbox>
                <w:txbxContent>
                  <w:p w:rsidR="005152E7" w:rsidRDefault="00D70414">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sidR="005152E7">
                      <w:rPr>
                        <w:rFonts w:ascii="Arial" w:hAnsi="Arial" w:cs="Arial"/>
                        <w:b/>
                        <w:color w:val="215868"/>
                        <w:sz w:val="16"/>
                        <w:szCs w:val="16"/>
                      </w:rPr>
                      <w:tab/>
                      <w:t xml:space="preserve">         Page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PAGE  \* Arabic  \* MERGEFORMAT </w:instrText>
                    </w:r>
                    <w:r w:rsidR="005152E7">
                      <w:rPr>
                        <w:rFonts w:ascii="Arial" w:hAnsi="Arial" w:cs="Arial"/>
                        <w:b/>
                        <w:color w:val="215868"/>
                        <w:sz w:val="16"/>
                        <w:szCs w:val="16"/>
                      </w:rPr>
                      <w:fldChar w:fldCharType="separate"/>
                    </w:r>
                    <w:r w:rsidR="003932E1">
                      <w:rPr>
                        <w:rFonts w:ascii="Arial" w:hAnsi="Arial" w:cs="Arial"/>
                        <w:b/>
                        <w:noProof/>
                        <w:color w:val="215868"/>
                        <w:sz w:val="16"/>
                        <w:szCs w:val="16"/>
                      </w:rPr>
                      <w:t>2</w:t>
                    </w:r>
                    <w:r w:rsidR="005152E7">
                      <w:rPr>
                        <w:rFonts w:ascii="Arial" w:hAnsi="Arial" w:cs="Arial"/>
                        <w:b/>
                        <w:color w:val="215868"/>
                        <w:sz w:val="16"/>
                        <w:szCs w:val="16"/>
                      </w:rPr>
                      <w:fldChar w:fldCharType="end"/>
                    </w:r>
                    <w:r w:rsidR="005152E7">
                      <w:rPr>
                        <w:rFonts w:ascii="Arial" w:hAnsi="Arial" w:cs="Arial"/>
                        <w:b/>
                        <w:color w:val="215868"/>
                        <w:sz w:val="16"/>
                        <w:szCs w:val="16"/>
                      </w:rPr>
                      <w:t xml:space="preserve"> of </w:t>
                    </w:r>
                    <w:fldSimple w:instr=" NUMPAGES  \* Arabic  \* MERGEFORMAT ">
                      <w:r w:rsidR="003932E1" w:rsidRPr="003932E1">
                        <w:rPr>
                          <w:rFonts w:ascii="Arial" w:hAnsi="Arial" w:cs="Arial"/>
                          <w:b/>
                          <w:noProof/>
                          <w:color w:val="215868"/>
                          <w:sz w:val="16"/>
                          <w:szCs w:val="16"/>
                        </w:rPr>
                        <w:t>12</w:t>
                      </w:r>
                    </w:fldSimple>
                    <w:r w:rsidR="005152E7">
                      <w:rPr>
                        <w:rFonts w:ascii="Arial" w:hAnsi="Arial" w:cs="Arial"/>
                        <w:b/>
                        <w:color w:val="215868"/>
                        <w:sz w:val="16"/>
                        <w:szCs w:val="16"/>
                      </w:rPr>
                      <w:tab/>
                    </w:r>
                    <w:r w:rsidR="005152E7">
                      <w:rPr>
                        <w:rFonts w:ascii="Arial" w:hAnsi="Arial" w:cs="Arial"/>
                        <w:b/>
                        <w:color w:val="215868"/>
                        <w:sz w:val="16"/>
                        <w:szCs w:val="16"/>
                      </w:rPr>
                      <w:tab/>
                      <w:t xml:space="preserve">Printed On: </w:t>
                    </w:r>
                    <w:r w:rsidR="005152E7">
                      <w:rPr>
                        <w:rFonts w:ascii="Arial" w:hAnsi="Arial" w:cs="Arial"/>
                        <w:b/>
                        <w:color w:val="215868"/>
                        <w:sz w:val="16"/>
                        <w:szCs w:val="16"/>
                      </w:rPr>
                      <w:fldChar w:fldCharType="begin"/>
                    </w:r>
                    <w:r w:rsidR="005152E7">
                      <w:rPr>
                        <w:rFonts w:ascii="Arial" w:hAnsi="Arial" w:cs="Arial"/>
                        <w:b/>
                        <w:color w:val="215868"/>
                        <w:sz w:val="16"/>
                        <w:szCs w:val="16"/>
                      </w:rPr>
                      <w:instrText xml:space="preserve"> DATE \@ "d/MM/yyyy h:mm:ss am/pm" </w:instrText>
                    </w:r>
                    <w:r w:rsidR="005152E7">
                      <w:rPr>
                        <w:rFonts w:ascii="Arial" w:hAnsi="Arial" w:cs="Arial"/>
                        <w:b/>
                        <w:color w:val="215868"/>
                        <w:sz w:val="16"/>
                        <w:szCs w:val="16"/>
                      </w:rPr>
                      <w:fldChar w:fldCharType="separate"/>
                    </w:r>
                    <w:r w:rsidR="00E71B51">
                      <w:rPr>
                        <w:rFonts w:ascii="Arial" w:hAnsi="Arial" w:cs="Arial"/>
                        <w:b/>
                        <w:noProof/>
                        <w:color w:val="215868"/>
                        <w:sz w:val="16"/>
                        <w:szCs w:val="16"/>
                      </w:rPr>
                      <w:t>28/03/2019 6:38:50 PM</w:t>
                    </w:r>
                    <w:r w:rsidR="005152E7">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v:textbox>
            </v:shape>
          </w:pict>
        </mc:Fallback>
      </mc:AlternateContent>
    </w:r>
  </w:p>
  <w:p w:rsidR="005152E7" w:rsidRDefault="005152E7">
    <w:pPr>
      <w:pStyle w:val="Footer"/>
    </w:pPr>
  </w:p>
  <w:p w:rsidR="005152E7" w:rsidRDefault="00166966">
    <w:pPr>
      <w:pStyle w:val="Footer"/>
    </w:pPr>
    <w:r>
      <w:rPr>
        <w:noProof/>
      </w:rPr>
      <w:drawing>
        <wp:anchor distT="0" distB="0" distL="114300" distR="114300" simplePos="0" relativeHeight="251654656" behindDoc="0" locked="0" layoutInCell="1" allowOverlap="1">
          <wp:simplePos x="0" y="0"/>
          <wp:positionH relativeFrom="column">
            <wp:posOffset>-1323975</wp:posOffset>
          </wp:positionH>
          <wp:positionV relativeFrom="paragraph">
            <wp:posOffset>196215</wp:posOffset>
          </wp:positionV>
          <wp:extent cx="8229600" cy="546735"/>
          <wp:effectExtent l="0" t="0" r="0" b="5715"/>
          <wp:wrapNone/>
          <wp:docPr id="3" name="Picture 16" descr="powerpoint-DG_follow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werpoint-DG_follow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46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5152E7"/>
  <w:p w:rsidR="005152E7" w:rsidRDefault="005152E7"/>
  <w:tbl>
    <w:tblPr>
      <w:tblW w:w="0" w:type="auto"/>
      <w:tblInd w:w="108" w:type="dxa"/>
      <w:tblLook w:val="01E0" w:firstRow="1" w:lastRow="1" w:firstColumn="1" w:lastColumn="1" w:noHBand="0" w:noVBand="0"/>
    </w:tblPr>
    <w:tblGrid>
      <w:gridCol w:w="3580"/>
      <w:gridCol w:w="2750"/>
    </w:tblGrid>
    <w:tr w:rsidR="005152E7">
      <w:tc>
        <w:tcPr>
          <w:tcW w:w="3580" w:type="dxa"/>
        </w:tcPr>
        <w:p w:rsidR="005152E7" w:rsidRDefault="005152E7">
          <w:pPr>
            <w:pStyle w:val="Footer"/>
            <w:rPr>
              <w:rFonts w:cs="Arial"/>
              <w:b/>
              <w:color w:val="008080"/>
              <w:sz w:val="16"/>
              <w:szCs w:val="16"/>
            </w:rPr>
          </w:pPr>
          <w:r>
            <w:rPr>
              <w:rFonts w:cs="Arial"/>
              <w:b/>
              <w:color w:val="008080"/>
              <w:sz w:val="16"/>
              <w:szCs w:val="16"/>
            </w:rPr>
            <w:t>Version No.: &lt;</w:t>
          </w:r>
          <w:proofErr w:type="spellStart"/>
          <w:r>
            <w:rPr>
              <w:rFonts w:cs="Arial"/>
              <w:b/>
              <w:color w:val="008080"/>
              <w:sz w:val="16"/>
              <w:szCs w:val="16"/>
            </w:rPr>
            <w:t>no</w:t>
          </w:r>
          <w:proofErr w:type="spellEnd"/>
          <w:r>
            <w:rPr>
              <w:rFonts w:cs="Arial"/>
              <w:b/>
              <w:color w:val="008080"/>
              <w:sz w:val="16"/>
              <w:szCs w:val="16"/>
            </w:rPr>
            <w:t xml:space="preserve">&gt;   </w:t>
          </w:r>
          <w:proofErr w:type="gramStart"/>
          <w:r>
            <w:rPr>
              <w:rFonts w:cs="Arial"/>
              <w:b/>
              <w:color w:val="008080"/>
              <w:sz w:val="16"/>
              <w:szCs w:val="16"/>
            </w:rPr>
            <w:t xml:space="preserve">  ;</w:t>
          </w:r>
          <w:proofErr w:type="gramEnd"/>
          <w:r>
            <w:rPr>
              <w:rFonts w:cs="Arial"/>
              <w:b/>
              <w:color w:val="008080"/>
              <w:sz w:val="16"/>
              <w:szCs w:val="16"/>
            </w:rPr>
            <w:t xml:space="preserve"> </w:t>
          </w:r>
          <w:r>
            <w:rPr>
              <w:rFonts w:cs="Arial"/>
              <w:color w:val="008080"/>
              <w:sz w:val="16"/>
              <w:szCs w:val="16"/>
            </w:rPr>
            <w:t>Effective From:</w:t>
          </w:r>
          <w:r>
            <w:rPr>
              <w:rFonts w:cs="Arial"/>
              <w:b/>
              <w:color w:val="008080"/>
              <w:sz w:val="16"/>
              <w:szCs w:val="16"/>
            </w:rPr>
            <w:t xml:space="preserve"> &lt;date&gt;</w:t>
          </w:r>
        </w:p>
      </w:tc>
      <w:tc>
        <w:tcPr>
          <w:tcW w:w="2750" w:type="dxa"/>
        </w:tcPr>
        <w:p w:rsidR="005152E7" w:rsidRDefault="005152E7">
          <w:pPr>
            <w:pStyle w:val="Footer"/>
            <w:ind w:right="-108"/>
            <w:jc w:val="right"/>
            <w:rPr>
              <w:rFonts w:cs="Arial"/>
              <w:b/>
              <w:color w:val="008080"/>
              <w:sz w:val="16"/>
              <w:szCs w:val="16"/>
            </w:rPr>
          </w:pPr>
          <w:r>
            <w:rPr>
              <w:rFonts w:cs="Arial"/>
              <w:b/>
              <w:snapToGrid w:val="0"/>
              <w:color w:val="008080"/>
              <w:sz w:val="16"/>
              <w:szCs w:val="16"/>
            </w:rPr>
            <w:t xml:space="preserve">Page </w:t>
          </w:r>
          <w:r>
            <w:rPr>
              <w:rFonts w:cs="Arial"/>
              <w:b/>
              <w:snapToGrid w:val="0"/>
              <w:color w:val="008080"/>
              <w:sz w:val="16"/>
              <w:szCs w:val="16"/>
            </w:rPr>
            <w:fldChar w:fldCharType="begin"/>
          </w:r>
          <w:r>
            <w:rPr>
              <w:rFonts w:cs="Arial"/>
              <w:b/>
              <w:snapToGrid w:val="0"/>
              <w:color w:val="008080"/>
              <w:sz w:val="16"/>
              <w:szCs w:val="16"/>
            </w:rPr>
            <w:instrText xml:space="preserve"> PAGE </w:instrText>
          </w:r>
          <w:r>
            <w:rPr>
              <w:rFonts w:cs="Arial"/>
              <w:b/>
              <w:snapToGrid w:val="0"/>
              <w:color w:val="008080"/>
              <w:sz w:val="16"/>
              <w:szCs w:val="16"/>
            </w:rPr>
            <w:fldChar w:fldCharType="separate"/>
          </w:r>
          <w:r w:rsidR="003932E1">
            <w:rPr>
              <w:rFonts w:cs="Arial"/>
              <w:b/>
              <w:noProof/>
              <w:snapToGrid w:val="0"/>
              <w:color w:val="008080"/>
              <w:sz w:val="16"/>
              <w:szCs w:val="16"/>
            </w:rPr>
            <w:t>1</w:t>
          </w:r>
          <w:r>
            <w:rPr>
              <w:rFonts w:cs="Arial"/>
              <w:b/>
              <w:snapToGrid w:val="0"/>
              <w:color w:val="008080"/>
              <w:sz w:val="16"/>
              <w:szCs w:val="16"/>
            </w:rPr>
            <w:fldChar w:fldCharType="end"/>
          </w:r>
          <w:r>
            <w:rPr>
              <w:rFonts w:cs="Arial"/>
              <w:b/>
              <w:snapToGrid w:val="0"/>
              <w:color w:val="008080"/>
              <w:sz w:val="16"/>
              <w:szCs w:val="16"/>
            </w:rPr>
            <w:t xml:space="preserve"> of </w:t>
          </w:r>
          <w:r>
            <w:rPr>
              <w:rFonts w:cs="Arial"/>
              <w:b/>
              <w:snapToGrid w:val="0"/>
              <w:color w:val="008080"/>
              <w:sz w:val="16"/>
              <w:szCs w:val="16"/>
            </w:rPr>
            <w:fldChar w:fldCharType="begin"/>
          </w:r>
          <w:r>
            <w:rPr>
              <w:rFonts w:cs="Arial"/>
              <w:b/>
              <w:snapToGrid w:val="0"/>
              <w:color w:val="008080"/>
              <w:sz w:val="16"/>
              <w:szCs w:val="16"/>
            </w:rPr>
            <w:instrText xml:space="preserve"> NUMPAGES </w:instrText>
          </w:r>
          <w:r>
            <w:rPr>
              <w:rFonts w:cs="Arial"/>
              <w:b/>
              <w:snapToGrid w:val="0"/>
              <w:color w:val="008080"/>
              <w:sz w:val="16"/>
              <w:szCs w:val="16"/>
            </w:rPr>
            <w:fldChar w:fldCharType="separate"/>
          </w:r>
          <w:r w:rsidR="003932E1">
            <w:rPr>
              <w:rFonts w:cs="Arial"/>
              <w:b/>
              <w:noProof/>
              <w:snapToGrid w:val="0"/>
              <w:color w:val="008080"/>
              <w:sz w:val="16"/>
              <w:szCs w:val="16"/>
            </w:rPr>
            <w:t>12</w:t>
          </w:r>
          <w:r>
            <w:rPr>
              <w:rFonts w:cs="Arial"/>
              <w:b/>
              <w:snapToGrid w:val="0"/>
              <w:color w:val="008080"/>
              <w:sz w:val="16"/>
              <w:szCs w:val="16"/>
            </w:rPr>
            <w:fldChar w:fldCharType="end"/>
          </w:r>
        </w:p>
      </w:tc>
    </w:tr>
    <w:tr w:rsidR="005152E7">
      <w:trPr>
        <w:trHeight w:val="100"/>
      </w:trPr>
      <w:tc>
        <w:tcPr>
          <w:tcW w:w="3580" w:type="dxa"/>
        </w:tcPr>
        <w:p w:rsidR="005152E7" w:rsidRDefault="005152E7">
          <w:pPr>
            <w:pStyle w:val="Footer"/>
            <w:rPr>
              <w:rFonts w:cs="Arial"/>
              <w:b/>
              <w:color w:val="008080"/>
              <w:sz w:val="16"/>
              <w:szCs w:val="16"/>
            </w:rPr>
          </w:pPr>
          <w:r>
            <w:rPr>
              <w:rFonts w:cs="Arial"/>
              <w:b/>
              <w:color w:val="008080"/>
              <w:sz w:val="16"/>
              <w:szCs w:val="16"/>
            </w:rPr>
            <w:t>Version No.: &lt;</w:t>
          </w:r>
          <w:proofErr w:type="spellStart"/>
          <w:r>
            <w:rPr>
              <w:rFonts w:cs="Arial"/>
              <w:b/>
              <w:color w:val="008080"/>
              <w:sz w:val="16"/>
              <w:szCs w:val="16"/>
            </w:rPr>
            <w:t>no</w:t>
          </w:r>
          <w:proofErr w:type="spellEnd"/>
          <w:r>
            <w:rPr>
              <w:rFonts w:cs="Arial"/>
              <w:b/>
              <w:color w:val="008080"/>
              <w:sz w:val="16"/>
              <w:szCs w:val="16"/>
            </w:rPr>
            <w:t xml:space="preserve">&gt;   </w:t>
          </w:r>
          <w:proofErr w:type="gramStart"/>
          <w:r>
            <w:rPr>
              <w:rFonts w:cs="Arial"/>
              <w:b/>
              <w:color w:val="008080"/>
              <w:sz w:val="16"/>
              <w:szCs w:val="16"/>
            </w:rPr>
            <w:t xml:space="preserve">  ;</w:t>
          </w:r>
          <w:proofErr w:type="gramEnd"/>
          <w:r>
            <w:rPr>
              <w:rFonts w:cs="Arial"/>
              <w:b/>
              <w:color w:val="008080"/>
              <w:sz w:val="16"/>
              <w:szCs w:val="16"/>
            </w:rPr>
            <w:t xml:space="preserve"> Effective From: &lt;date&gt;</w:t>
          </w:r>
        </w:p>
      </w:tc>
      <w:tc>
        <w:tcPr>
          <w:tcW w:w="2750" w:type="dxa"/>
        </w:tcPr>
        <w:p w:rsidR="005152E7" w:rsidRDefault="005152E7">
          <w:pPr>
            <w:pStyle w:val="Footer"/>
            <w:ind w:right="-108"/>
            <w:jc w:val="right"/>
            <w:rPr>
              <w:rFonts w:cs="Arial"/>
              <w:b/>
              <w:snapToGrid w:val="0"/>
              <w:color w:val="008080"/>
              <w:sz w:val="16"/>
              <w:szCs w:val="16"/>
            </w:rPr>
          </w:pPr>
          <w:r>
            <w:rPr>
              <w:rFonts w:cs="Arial"/>
              <w:b/>
              <w:snapToGrid w:val="0"/>
              <w:color w:val="008080"/>
              <w:sz w:val="16"/>
              <w:szCs w:val="16"/>
            </w:rPr>
            <w:t xml:space="preserve">Page </w:t>
          </w:r>
          <w:r>
            <w:rPr>
              <w:rFonts w:cs="Arial"/>
              <w:b/>
              <w:snapToGrid w:val="0"/>
              <w:color w:val="008080"/>
              <w:sz w:val="16"/>
              <w:szCs w:val="16"/>
            </w:rPr>
            <w:fldChar w:fldCharType="begin"/>
          </w:r>
          <w:r>
            <w:rPr>
              <w:rFonts w:cs="Arial"/>
              <w:b/>
              <w:snapToGrid w:val="0"/>
              <w:color w:val="008080"/>
              <w:sz w:val="16"/>
              <w:szCs w:val="16"/>
            </w:rPr>
            <w:instrText xml:space="preserve"> PAGE </w:instrText>
          </w:r>
          <w:r>
            <w:rPr>
              <w:rFonts w:cs="Arial"/>
              <w:b/>
              <w:snapToGrid w:val="0"/>
              <w:color w:val="008080"/>
              <w:sz w:val="16"/>
              <w:szCs w:val="16"/>
            </w:rPr>
            <w:fldChar w:fldCharType="separate"/>
          </w:r>
          <w:r w:rsidR="003932E1">
            <w:rPr>
              <w:rFonts w:cs="Arial"/>
              <w:b/>
              <w:noProof/>
              <w:snapToGrid w:val="0"/>
              <w:color w:val="008080"/>
              <w:sz w:val="16"/>
              <w:szCs w:val="16"/>
            </w:rPr>
            <w:t>1</w:t>
          </w:r>
          <w:r>
            <w:rPr>
              <w:rFonts w:cs="Arial"/>
              <w:b/>
              <w:snapToGrid w:val="0"/>
              <w:color w:val="008080"/>
              <w:sz w:val="16"/>
              <w:szCs w:val="16"/>
            </w:rPr>
            <w:fldChar w:fldCharType="end"/>
          </w:r>
          <w:r>
            <w:rPr>
              <w:rFonts w:cs="Arial"/>
              <w:b/>
              <w:snapToGrid w:val="0"/>
              <w:color w:val="008080"/>
              <w:sz w:val="16"/>
              <w:szCs w:val="16"/>
            </w:rPr>
            <w:t xml:space="preserve"> of </w:t>
          </w:r>
          <w:r>
            <w:rPr>
              <w:rFonts w:cs="Arial"/>
              <w:b/>
              <w:snapToGrid w:val="0"/>
              <w:color w:val="008080"/>
              <w:sz w:val="16"/>
              <w:szCs w:val="16"/>
            </w:rPr>
            <w:fldChar w:fldCharType="begin"/>
          </w:r>
          <w:r>
            <w:rPr>
              <w:rFonts w:cs="Arial"/>
              <w:b/>
              <w:snapToGrid w:val="0"/>
              <w:color w:val="008080"/>
              <w:sz w:val="16"/>
              <w:szCs w:val="16"/>
            </w:rPr>
            <w:instrText xml:space="preserve"> NUMPAGES </w:instrText>
          </w:r>
          <w:r>
            <w:rPr>
              <w:rFonts w:cs="Arial"/>
              <w:b/>
              <w:snapToGrid w:val="0"/>
              <w:color w:val="008080"/>
              <w:sz w:val="16"/>
              <w:szCs w:val="16"/>
            </w:rPr>
            <w:fldChar w:fldCharType="separate"/>
          </w:r>
          <w:r w:rsidR="003932E1">
            <w:rPr>
              <w:rFonts w:cs="Arial"/>
              <w:b/>
              <w:noProof/>
              <w:snapToGrid w:val="0"/>
              <w:color w:val="008080"/>
              <w:sz w:val="16"/>
              <w:szCs w:val="16"/>
            </w:rPr>
            <w:t>12</w:t>
          </w:r>
          <w:r>
            <w:rPr>
              <w:rFonts w:cs="Arial"/>
              <w:b/>
              <w:snapToGrid w:val="0"/>
              <w:color w:val="008080"/>
              <w:sz w:val="16"/>
              <w:szCs w:val="16"/>
            </w:rPr>
            <w:fldChar w:fldCharType="end"/>
          </w:r>
        </w:p>
      </w:tc>
    </w:tr>
  </w:tbl>
  <w:p w:rsidR="005152E7" w:rsidRDefault="00166966">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384810</wp:posOffset>
              </wp:positionH>
              <wp:positionV relativeFrom="paragraph">
                <wp:posOffset>487045</wp:posOffset>
              </wp:positionV>
              <wp:extent cx="5568315" cy="3962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5152E7">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Pr>
                              <w:rFonts w:ascii="Arial" w:hAnsi="Arial" w:cs="Arial"/>
                              <w:b/>
                              <w:color w:val="215868"/>
                              <w:sz w:val="16"/>
                              <w:szCs w:val="16"/>
                            </w:rPr>
                            <w:tab/>
                            <w:t xml:space="preserve">         Page </w:t>
                          </w:r>
                          <w:r>
                            <w:rPr>
                              <w:rFonts w:ascii="Arial" w:hAnsi="Arial" w:cs="Arial"/>
                              <w:b/>
                              <w:color w:val="215868"/>
                              <w:sz w:val="16"/>
                              <w:szCs w:val="16"/>
                            </w:rPr>
                            <w:fldChar w:fldCharType="begin"/>
                          </w:r>
                          <w:r>
                            <w:rPr>
                              <w:rFonts w:ascii="Arial" w:hAnsi="Arial" w:cs="Arial"/>
                              <w:b/>
                              <w:color w:val="215868"/>
                              <w:sz w:val="16"/>
                              <w:szCs w:val="16"/>
                            </w:rPr>
                            <w:instrText xml:space="preserve"> PAGE  \* Arabic  \* MERGEFORMAT </w:instrText>
                          </w:r>
                          <w:r>
                            <w:rPr>
                              <w:rFonts w:ascii="Arial" w:hAnsi="Arial" w:cs="Arial"/>
                              <w:b/>
                              <w:color w:val="215868"/>
                              <w:sz w:val="16"/>
                              <w:szCs w:val="16"/>
                            </w:rPr>
                            <w:fldChar w:fldCharType="separate"/>
                          </w:r>
                          <w:r w:rsidR="003932E1">
                            <w:rPr>
                              <w:rFonts w:ascii="Arial" w:hAnsi="Arial" w:cs="Arial"/>
                              <w:b/>
                              <w:noProof/>
                              <w:color w:val="215868"/>
                              <w:sz w:val="16"/>
                              <w:szCs w:val="16"/>
                            </w:rPr>
                            <w:t>1</w:t>
                          </w:r>
                          <w:r>
                            <w:rPr>
                              <w:rFonts w:ascii="Arial" w:hAnsi="Arial" w:cs="Arial"/>
                              <w:b/>
                              <w:color w:val="215868"/>
                              <w:sz w:val="16"/>
                              <w:szCs w:val="16"/>
                            </w:rPr>
                            <w:fldChar w:fldCharType="end"/>
                          </w:r>
                          <w:r>
                            <w:rPr>
                              <w:rFonts w:ascii="Arial" w:hAnsi="Arial" w:cs="Arial"/>
                              <w:b/>
                              <w:color w:val="215868"/>
                              <w:sz w:val="16"/>
                              <w:szCs w:val="16"/>
                            </w:rPr>
                            <w:t xml:space="preserve"> of </w:t>
                          </w:r>
                          <w:fldSimple w:instr=" NUMPAGES  \* Arabic  \* MERGEFORMAT ">
                            <w:r w:rsidR="003932E1" w:rsidRPr="003932E1">
                              <w:rPr>
                                <w:rFonts w:ascii="Arial" w:hAnsi="Arial" w:cs="Arial"/>
                                <w:b/>
                                <w:noProof/>
                                <w:color w:val="215868"/>
                                <w:sz w:val="16"/>
                                <w:szCs w:val="16"/>
                              </w:rPr>
                              <w:t>12</w:t>
                            </w:r>
                          </w:fldSimple>
                          <w:r>
                            <w:rPr>
                              <w:rFonts w:ascii="Arial" w:hAnsi="Arial" w:cs="Arial"/>
                              <w:b/>
                              <w:color w:val="215868"/>
                              <w:sz w:val="16"/>
                              <w:szCs w:val="16"/>
                            </w:rPr>
                            <w:tab/>
                          </w:r>
                          <w:r>
                            <w:rPr>
                              <w:rFonts w:ascii="Arial" w:hAnsi="Arial" w:cs="Arial"/>
                              <w:b/>
                              <w:color w:val="215868"/>
                              <w:sz w:val="16"/>
                              <w:szCs w:val="16"/>
                            </w:rPr>
                            <w:tab/>
                            <w:t xml:space="preserve">Printed On: </w:t>
                          </w:r>
                          <w:r>
                            <w:rPr>
                              <w:rFonts w:ascii="Arial" w:hAnsi="Arial" w:cs="Arial"/>
                              <w:b/>
                              <w:color w:val="215868"/>
                              <w:sz w:val="16"/>
                              <w:szCs w:val="16"/>
                            </w:rPr>
                            <w:fldChar w:fldCharType="begin"/>
                          </w:r>
                          <w:r>
                            <w:rPr>
                              <w:rFonts w:ascii="Arial" w:hAnsi="Arial" w:cs="Arial"/>
                              <w:b/>
                              <w:color w:val="215868"/>
                              <w:sz w:val="16"/>
                              <w:szCs w:val="16"/>
                            </w:rPr>
                            <w:instrText xml:space="preserve"> DATE \@ "d/MM/yyyy h:mm:ss am/pm" </w:instrText>
                          </w:r>
                          <w:r>
                            <w:rPr>
                              <w:rFonts w:ascii="Arial" w:hAnsi="Arial" w:cs="Arial"/>
                              <w:b/>
                              <w:color w:val="215868"/>
                              <w:sz w:val="16"/>
                              <w:szCs w:val="16"/>
                            </w:rPr>
                            <w:fldChar w:fldCharType="separate"/>
                          </w:r>
                          <w:r w:rsidR="00E71B51">
                            <w:rPr>
                              <w:rFonts w:ascii="Arial" w:hAnsi="Arial" w:cs="Arial"/>
                              <w:b/>
                              <w:noProof/>
                              <w:color w:val="215868"/>
                              <w:sz w:val="16"/>
                              <w:szCs w:val="16"/>
                            </w:rPr>
                            <w:t>28/03/2019 6:38:50 PM</w:t>
                          </w:r>
                          <w:r>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3pt;margin-top:38.35pt;width:438.4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" stroked="f">
              <v:textbox>
                <w:txbxContent>
                  <w:p w:rsidR="005152E7" w:rsidRDefault="005152E7">
                    <w:pPr>
                      <w:ind w:left="-709" w:firstLine="709"/>
                      <w:jc w:val="center"/>
                      <w:rPr>
                        <w:rFonts w:ascii="Arial" w:hAnsi="Arial" w:cs="Arial"/>
                        <w:b/>
                        <w:color w:val="215868"/>
                        <w:sz w:val="16"/>
                        <w:szCs w:val="16"/>
                      </w:rPr>
                    </w:pPr>
                    <w:r>
                      <w:rPr>
                        <w:rFonts w:ascii="Arial" w:hAnsi="Arial" w:cs="Arial"/>
                        <w:b/>
                        <w:color w:val="215868"/>
                        <w:sz w:val="16"/>
                        <w:szCs w:val="16"/>
                      </w:rPr>
                      <w:t xml:space="preserve">Effective From: </w:t>
                    </w:r>
                    <w:r w:rsidR="0078197D">
                      <w:rPr>
                        <w:rFonts w:ascii="Arial" w:hAnsi="Arial" w:cs="Arial"/>
                        <w:b/>
                        <w:color w:val="215868"/>
                        <w:sz w:val="16"/>
                        <w:szCs w:val="16"/>
                      </w:rPr>
                      <w:t>03/08/2017</w:t>
                    </w:r>
                    <w:r>
                      <w:rPr>
                        <w:rFonts w:ascii="Arial" w:hAnsi="Arial" w:cs="Arial"/>
                        <w:b/>
                        <w:color w:val="215868"/>
                        <w:sz w:val="16"/>
                        <w:szCs w:val="16"/>
                      </w:rPr>
                      <w:tab/>
                      <w:t xml:space="preserve">         Page </w:t>
                    </w:r>
                    <w:r>
                      <w:rPr>
                        <w:rFonts w:ascii="Arial" w:hAnsi="Arial" w:cs="Arial"/>
                        <w:b/>
                        <w:color w:val="215868"/>
                        <w:sz w:val="16"/>
                        <w:szCs w:val="16"/>
                      </w:rPr>
                      <w:fldChar w:fldCharType="begin"/>
                    </w:r>
                    <w:r>
                      <w:rPr>
                        <w:rFonts w:ascii="Arial" w:hAnsi="Arial" w:cs="Arial"/>
                        <w:b/>
                        <w:color w:val="215868"/>
                        <w:sz w:val="16"/>
                        <w:szCs w:val="16"/>
                      </w:rPr>
                      <w:instrText xml:space="preserve"> PAGE  \* Arabic  \* MERGEFORMAT </w:instrText>
                    </w:r>
                    <w:r>
                      <w:rPr>
                        <w:rFonts w:ascii="Arial" w:hAnsi="Arial" w:cs="Arial"/>
                        <w:b/>
                        <w:color w:val="215868"/>
                        <w:sz w:val="16"/>
                        <w:szCs w:val="16"/>
                      </w:rPr>
                      <w:fldChar w:fldCharType="separate"/>
                    </w:r>
                    <w:r w:rsidR="003932E1">
                      <w:rPr>
                        <w:rFonts w:ascii="Arial" w:hAnsi="Arial" w:cs="Arial"/>
                        <w:b/>
                        <w:noProof/>
                        <w:color w:val="215868"/>
                        <w:sz w:val="16"/>
                        <w:szCs w:val="16"/>
                      </w:rPr>
                      <w:t>1</w:t>
                    </w:r>
                    <w:r>
                      <w:rPr>
                        <w:rFonts w:ascii="Arial" w:hAnsi="Arial" w:cs="Arial"/>
                        <w:b/>
                        <w:color w:val="215868"/>
                        <w:sz w:val="16"/>
                        <w:szCs w:val="16"/>
                      </w:rPr>
                      <w:fldChar w:fldCharType="end"/>
                    </w:r>
                    <w:r>
                      <w:rPr>
                        <w:rFonts w:ascii="Arial" w:hAnsi="Arial" w:cs="Arial"/>
                        <w:b/>
                        <w:color w:val="215868"/>
                        <w:sz w:val="16"/>
                        <w:szCs w:val="16"/>
                      </w:rPr>
                      <w:t xml:space="preserve"> of </w:t>
                    </w:r>
                    <w:fldSimple w:instr=" NUMPAGES  \* Arabic  \* MERGEFORMAT ">
                      <w:r w:rsidR="003932E1" w:rsidRPr="003932E1">
                        <w:rPr>
                          <w:rFonts w:ascii="Arial" w:hAnsi="Arial" w:cs="Arial"/>
                          <w:b/>
                          <w:noProof/>
                          <w:color w:val="215868"/>
                          <w:sz w:val="16"/>
                          <w:szCs w:val="16"/>
                        </w:rPr>
                        <w:t>12</w:t>
                      </w:r>
                    </w:fldSimple>
                    <w:r>
                      <w:rPr>
                        <w:rFonts w:ascii="Arial" w:hAnsi="Arial" w:cs="Arial"/>
                        <w:b/>
                        <w:color w:val="215868"/>
                        <w:sz w:val="16"/>
                        <w:szCs w:val="16"/>
                      </w:rPr>
                      <w:tab/>
                    </w:r>
                    <w:r>
                      <w:rPr>
                        <w:rFonts w:ascii="Arial" w:hAnsi="Arial" w:cs="Arial"/>
                        <w:b/>
                        <w:color w:val="215868"/>
                        <w:sz w:val="16"/>
                        <w:szCs w:val="16"/>
                      </w:rPr>
                      <w:tab/>
                      <w:t xml:space="preserve">Printed On: </w:t>
                    </w:r>
                    <w:r>
                      <w:rPr>
                        <w:rFonts w:ascii="Arial" w:hAnsi="Arial" w:cs="Arial"/>
                        <w:b/>
                        <w:color w:val="215868"/>
                        <w:sz w:val="16"/>
                        <w:szCs w:val="16"/>
                      </w:rPr>
                      <w:fldChar w:fldCharType="begin"/>
                    </w:r>
                    <w:r>
                      <w:rPr>
                        <w:rFonts w:ascii="Arial" w:hAnsi="Arial" w:cs="Arial"/>
                        <w:b/>
                        <w:color w:val="215868"/>
                        <w:sz w:val="16"/>
                        <w:szCs w:val="16"/>
                      </w:rPr>
                      <w:instrText xml:space="preserve"> DATE \@ "d/MM/yyyy h:mm:ss am/pm" </w:instrText>
                    </w:r>
                    <w:r>
                      <w:rPr>
                        <w:rFonts w:ascii="Arial" w:hAnsi="Arial" w:cs="Arial"/>
                        <w:b/>
                        <w:color w:val="215868"/>
                        <w:sz w:val="16"/>
                        <w:szCs w:val="16"/>
                      </w:rPr>
                      <w:fldChar w:fldCharType="separate"/>
                    </w:r>
                    <w:r w:rsidR="00E71B51">
                      <w:rPr>
                        <w:rFonts w:ascii="Arial" w:hAnsi="Arial" w:cs="Arial"/>
                        <w:b/>
                        <w:noProof/>
                        <w:color w:val="215868"/>
                        <w:sz w:val="16"/>
                        <w:szCs w:val="16"/>
                      </w:rPr>
                      <w:t>28/03/2019 6:38:50 PM</w:t>
                    </w:r>
                    <w:r>
                      <w:rPr>
                        <w:rFonts w:ascii="Arial" w:hAnsi="Arial" w:cs="Arial"/>
                        <w:b/>
                        <w:color w:val="215868"/>
                        <w:sz w:val="16"/>
                        <w:szCs w:val="16"/>
                      </w:rPr>
                      <w:fldChar w:fldCharType="end"/>
                    </w:r>
                  </w:p>
                  <w:p w:rsidR="005152E7" w:rsidRDefault="005152E7">
                    <w:pPr>
                      <w:ind w:left="-709" w:firstLine="709"/>
                      <w:jc w:val="center"/>
                      <w:rPr>
                        <w:rFonts w:ascii="Arial" w:hAnsi="Arial" w:cs="Arial"/>
                        <w:b/>
                        <w:color w:val="215868"/>
                        <w:sz w:val="14"/>
                        <w:szCs w:val="14"/>
                      </w:rPr>
                    </w:pP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-800100</wp:posOffset>
          </wp:positionH>
          <wp:positionV relativeFrom="paragraph">
            <wp:posOffset>-387985</wp:posOffset>
          </wp:positionV>
          <wp:extent cx="7635875" cy="1206500"/>
          <wp:effectExtent l="0" t="0" r="3175" b="0"/>
          <wp:wrapNone/>
          <wp:docPr id="7" name="Picture 10" descr="Tier1_Blue-A4-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er1_Blue-A4-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206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FCC" w:rsidRDefault="00677FCC">
      <w:r>
        <w:separator/>
      </w:r>
    </w:p>
  </w:footnote>
  <w:footnote w:type="continuationSeparator" w:id="0">
    <w:p w:rsidR="00677FCC" w:rsidRDefault="0067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166966">
    <w:pPr>
      <w:keepNext/>
      <w:spacing w:before="240" w:after="60"/>
      <w:jc w:val="right"/>
      <w:outlineLvl w:val="0"/>
      <w:rPr>
        <w:rFonts w:ascii="Arial" w:hAnsi="Arial" w:cs="Arial"/>
        <w:b/>
        <w:bCs/>
        <w:noProof/>
        <w:color w:val="215868"/>
        <w:kern w:val="32"/>
        <w:sz w:val="22"/>
        <w:szCs w:val="22"/>
      </w:rPr>
    </w:pPr>
    <w:r>
      <w:rPr>
        <w:noProof/>
      </w:rPr>
      <w:drawing>
        <wp:anchor distT="0" distB="0" distL="114300" distR="114300" simplePos="0" relativeHeight="251658752" behindDoc="0" locked="0" layoutInCell="1" allowOverlap="1" wp14:anchorId="77B8A8DC" wp14:editId="0232E561">
          <wp:simplePos x="0" y="0"/>
          <wp:positionH relativeFrom="column">
            <wp:posOffset>-720090</wp:posOffset>
          </wp:positionH>
          <wp:positionV relativeFrom="paragraph">
            <wp:posOffset>-541655</wp:posOffset>
          </wp:positionV>
          <wp:extent cx="7772400" cy="524510"/>
          <wp:effectExtent l="0" t="0" r="0" b="8890"/>
          <wp:wrapNone/>
          <wp:docPr id="6" name="Picture 19" descr="top-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4510"/>
                  </a:xfrm>
                  <a:prstGeom prst="rect">
                    <a:avLst/>
                  </a:prstGeom>
                  <a:noFill/>
                </pic:spPr>
              </pic:pic>
            </a:graphicData>
          </a:graphic>
          <wp14:sizeRelH relativeFrom="page">
            <wp14:pctWidth>0</wp14:pctWidth>
          </wp14:sizeRelH>
          <wp14:sizeRelV relativeFrom="page">
            <wp14:pctHeight>0</wp14:pctHeight>
          </wp14:sizeRelV>
        </wp:anchor>
      </w:drawing>
    </w:r>
    <w:r w:rsidR="005152E7">
      <w:rPr>
        <w:rFonts w:ascii="Arial" w:hAnsi="Arial" w:cs="Arial"/>
        <w:b/>
        <w:bCs/>
        <w:noProof/>
        <w:color w:val="215868"/>
        <w:kern w:val="32"/>
        <w:sz w:val="22"/>
        <w:szCs w:val="22"/>
      </w:rPr>
      <w:t xml:space="preserve"> </w:t>
    </w:r>
    <w:r w:rsidR="0087240C">
      <w:rPr>
        <w:rFonts w:ascii="Arial" w:hAnsi="Arial"/>
        <w:b/>
        <w:bCs/>
        <w:color w:val="215868"/>
        <w:sz w:val="22"/>
        <w:szCs w:val="20"/>
      </w:rPr>
      <w:t>Continuous Mononuclear Cell (CMNC) Procedure</w:t>
    </w:r>
    <w:r w:rsidR="005152E7">
      <w:rPr>
        <w:rFonts w:ascii="Arial" w:hAnsi="Arial"/>
        <w:b/>
        <w:bCs/>
        <w:color w:val="215868"/>
        <w:sz w:val="22"/>
        <w:szCs w:val="20"/>
      </w:rPr>
      <w:t xml:space="preserve"> </w:t>
    </w:r>
  </w:p>
  <w:p w:rsidR="005152E7" w:rsidRDefault="00515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2E7" w:rsidRDefault="00166966">
    <w:r>
      <w:rPr>
        <w:noProof/>
      </w:rPr>
      <w:drawing>
        <wp:anchor distT="0" distB="0" distL="114300" distR="114300" simplePos="0" relativeHeight="251657728" behindDoc="0" locked="0" layoutInCell="1" allowOverlap="1">
          <wp:simplePos x="0" y="0"/>
          <wp:positionH relativeFrom="column">
            <wp:posOffset>-751205</wp:posOffset>
          </wp:positionH>
          <wp:positionV relativeFrom="paragraph">
            <wp:posOffset>-579755</wp:posOffset>
          </wp:positionV>
          <wp:extent cx="7689850" cy="1428750"/>
          <wp:effectExtent l="0" t="0" r="6350" b="0"/>
          <wp:wrapNone/>
          <wp:docPr id="4" name="Picture 14" descr="Office of DG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fice of DG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0" cy="1428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374015</wp:posOffset>
              </wp:positionV>
              <wp:extent cx="5715000" cy="5715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2E7" w:rsidRDefault="005152E7">
                          <w:pPr>
                            <w:jc w:val="right"/>
                            <w:rPr>
                              <w:rFonts w:ascii="Arial" w:hAnsi="Arial" w:cs="Arial"/>
                              <w:color w:val="FFFFFF"/>
                              <w:sz w:val="48"/>
                              <w:szCs w:val="48"/>
                            </w:rPr>
                          </w:pPr>
                          <w:r>
                            <w:rPr>
                              <w:rFonts w:ascii="Arial" w:hAnsi="Arial" w:cs="Arial"/>
                              <w:color w:val="FFFFFF"/>
                              <w:sz w:val="36"/>
                              <w:szCs w:val="36"/>
                            </w:rPr>
                            <w:t>[Optional heading here. Change font size to suit]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63pt;margin-top:29.45pt;width:450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gTtgIAAMA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" filled="f" stroked="f">
              <v:textbox>
                <w:txbxContent>
                  <w:p w:rsidR="005152E7" w:rsidRDefault="005152E7">
                    <w:pPr>
                      <w:jc w:val="right"/>
                      <w:rPr>
                        <w:rFonts w:ascii="Arial" w:hAnsi="Arial" w:cs="Arial"/>
                        <w:color w:val="FFFFFF"/>
                        <w:sz w:val="48"/>
                        <w:szCs w:val="48"/>
                      </w:rPr>
                    </w:pPr>
                    <w:r>
                      <w:rPr>
                        <w:rFonts w:ascii="Arial" w:hAnsi="Arial" w:cs="Arial"/>
                        <w:color w:val="FFFFFF"/>
                        <w:sz w:val="36"/>
                        <w:szCs w:val="36"/>
                      </w:rPr>
                      <w:t>[Optional heading here. Change font size to suit]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4B5"/>
    <w:multiLevelType w:val="multilevel"/>
    <w:tmpl w:val="8EDC11A6"/>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92"/>
        </w:tabs>
        <w:ind w:left="792" w:hanging="432"/>
      </w:pPr>
      <w:rPr>
        <w:rFonts w:cs="Times New Roman"/>
        <w:b w:val="0"/>
      </w:rPr>
    </w:lvl>
    <w:lvl w:ilvl="2">
      <w:start w:val="1"/>
      <w:numFmt w:val="decimal"/>
      <w:pStyle w:val="Heading3"/>
      <w:lvlText w:val="%1.%2.%3."/>
      <w:lvlJc w:val="left"/>
      <w:pPr>
        <w:tabs>
          <w:tab w:val="num" w:pos="1224"/>
        </w:tabs>
        <w:ind w:left="1224" w:hanging="504"/>
      </w:pPr>
      <w:rPr>
        <w:rFonts w:cs="Times New Roman"/>
      </w:rPr>
    </w:lvl>
    <w:lvl w:ilvl="3">
      <w:start w:val="1"/>
      <w:numFmt w:val="decimal"/>
      <w:pStyle w:val="Heading4Indent"/>
      <w:lvlText w:val="%1.%2.%3.%4."/>
      <w:lvlJc w:val="left"/>
      <w:pPr>
        <w:tabs>
          <w:tab w:val="num" w:pos="1800"/>
        </w:tabs>
        <w:ind w:left="1728" w:hanging="648"/>
      </w:pPr>
      <w:rPr>
        <w:rFonts w:cs="Times New Roman"/>
      </w:rPr>
    </w:lvl>
    <w:lvl w:ilvl="4">
      <w:start w:val="1"/>
      <w:numFmt w:val="decimal"/>
      <w:pStyle w:val="Heading5Indent"/>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43D04449"/>
    <w:multiLevelType w:val="multilevel"/>
    <w:tmpl w:val="C7BE3D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bullet"/>
      <w:lvlText w:val=""/>
      <w:lvlJc w:val="left"/>
      <w:pPr>
        <w:tabs>
          <w:tab w:val="num" w:pos="2520"/>
        </w:tabs>
        <w:ind w:left="2520" w:hanging="360"/>
      </w:pPr>
      <w:rPr>
        <w:rFonts w:ascii="Symbol" w:hAnsi="Symbol" w:hint="default"/>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C5"/>
    <w:rsid w:val="000110A0"/>
    <w:rsid w:val="00055EF6"/>
    <w:rsid w:val="000E2921"/>
    <w:rsid w:val="000F7885"/>
    <w:rsid w:val="00107CC7"/>
    <w:rsid w:val="00166966"/>
    <w:rsid w:val="001850AC"/>
    <w:rsid w:val="00205DAA"/>
    <w:rsid w:val="00212E7A"/>
    <w:rsid w:val="00243552"/>
    <w:rsid w:val="00273678"/>
    <w:rsid w:val="0033671A"/>
    <w:rsid w:val="003471D2"/>
    <w:rsid w:val="00363479"/>
    <w:rsid w:val="00365DD2"/>
    <w:rsid w:val="003932E1"/>
    <w:rsid w:val="003B4ED7"/>
    <w:rsid w:val="003B6D38"/>
    <w:rsid w:val="003D20DB"/>
    <w:rsid w:val="0040326F"/>
    <w:rsid w:val="00422195"/>
    <w:rsid w:val="0044676C"/>
    <w:rsid w:val="00485743"/>
    <w:rsid w:val="0049148C"/>
    <w:rsid w:val="004B5A24"/>
    <w:rsid w:val="004C46BE"/>
    <w:rsid w:val="004E436C"/>
    <w:rsid w:val="004F3FA3"/>
    <w:rsid w:val="004F6FD7"/>
    <w:rsid w:val="005152E7"/>
    <w:rsid w:val="0058002F"/>
    <w:rsid w:val="00590591"/>
    <w:rsid w:val="005C4F7E"/>
    <w:rsid w:val="005D5F66"/>
    <w:rsid w:val="006013D2"/>
    <w:rsid w:val="0064077C"/>
    <w:rsid w:val="00644240"/>
    <w:rsid w:val="00677FCC"/>
    <w:rsid w:val="00683ABD"/>
    <w:rsid w:val="006B4065"/>
    <w:rsid w:val="007424DC"/>
    <w:rsid w:val="0078197D"/>
    <w:rsid w:val="007A77B1"/>
    <w:rsid w:val="00800F22"/>
    <w:rsid w:val="00812839"/>
    <w:rsid w:val="00813DE3"/>
    <w:rsid w:val="00827C53"/>
    <w:rsid w:val="00831819"/>
    <w:rsid w:val="0087240C"/>
    <w:rsid w:val="0089692D"/>
    <w:rsid w:val="008C5763"/>
    <w:rsid w:val="00921B67"/>
    <w:rsid w:val="00970A11"/>
    <w:rsid w:val="009B1929"/>
    <w:rsid w:val="009B6EFF"/>
    <w:rsid w:val="009C7E88"/>
    <w:rsid w:val="009D1E41"/>
    <w:rsid w:val="009D5C39"/>
    <w:rsid w:val="009E36C8"/>
    <w:rsid w:val="00A00EB5"/>
    <w:rsid w:val="00A02C51"/>
    <w:rsid w:val="00A033A7"/>
    <w:rsid w:val="00AA09D4"/>
    <w:rsid w:val="00AD2525"/>
    <w:rsid w:val="00AE2BE3"/>
    <w:rsid w:val="00B23AF2"/>
    <w:rsid w:val="00BA3BEF"/>
    <w:rsid w:val="00BB168C"/>
    <w:rsid w:val="00BD710B"/>
    <w:rsid w:val="00C57337"/>
    <w:rsid w:val="00C5750D"/>
    <w:rsid w:val="00CF5D34"/>
    <w:rsid w:val="00D40BDB"/>
    <w:rsid w:val="00D567E8"/>
    <w:rsid w:val="00D6044F"/>
    <w:rsid w:val="00D70414"/>
    <w:rsid w:val="00E032C0"/>
    <w:rsid w:val="00E10812"/>
    <w:rsid w:val="00E53C71"/>
    <w:rsid w:val="00E71B51"/>
    <w:rsid w:val="00E81504"/>
    <w:rsid w:val="00E93273"/>
    <w:rsid w:val="00E948C5"/>
    <w:rsid w:val="00F01329"/>
    <w:rsid w:val="00F57036"/>
    <w:rsid w:val="00F87895"/>
    <w:rsid w:val="00F9006E"/>
    <w:rsid w:val="00FD3B9D"/>
    <w:rsid w:val="00FD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67B80F0"/>
  <w15:docId w15:val="{F5668F89-63CB-4B9C-BF63-E292C7A2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7C"/>
    <w:rPr>
      <w:sz w:val="24"/>
      <w:szCs w:val="24"/>
    </w:rPr>
  </w:style>
  <w:style w:type="paragraph" w:styleId="Heading1">
    <w:name w:val="heading 1"/>
    <w:basedOn w:val="Normal"/>
    <w:next w:val="Normal"/>
    <w:link w:val="Heading1Char"/>
    <w:uiPriority w:val="99"/>
    <w:qFormat/>
    <w:rsid w:val="00831819"/>
    <w:pPr>
      <w:numPr>
        <w:numId w:val="1"/>
      </w:numPr>
      <w:spacing w:before="240" w:after="60"/>
      <w:jc w:val="both"/>
      <w:outlineLvl w:val="0"/>
    </w:pPr>
    <w:rPr>
      <w:rFonts w:ascii="Arial" w:hAnsi="Arial"/>
      <w:b/>
      <w:bCs/>
      <w:color w:val="215868"/>
      <w:kern w:val="32"/>
      <w:sz w:val="28"/>
      <w:szCs w:val="28"/>
    </w:rPr>
  </w:style>
  <w:style w:type="paragraph" w:styleId="Heading2">
    <w:name w:val="heading 2"/>
    <w:basedOn w:val="Normal"/>
    <w:next w:val="Normal"/>
    <w:link w:val="Heading2Char"/>
    <w:uiPriority w:val="99"/>
    <w:qFormat/>
    <w:rsid w:val="00831819"/>
    <w:pPr>
      <w:numPr>
        <w:ilvl w:val="1"/>
        <w:numId w:val="1"/>
      </w:numPr>
      <w:spacing w:before="120"/>
      <w:jc w:val="both"/>
      <w:outlineLvl w:val="1"/>
    </w:pPr>
    <w:rPr>
      <w:rFonts w:ascii="Arial" w:hAnsi="Arial"/>
      <w:bCs/>
      <w:iCs/>
    </w:rPr>
  </w:style>
  <w:style w:type="paragraph" w:styleId="Heading3">
    <w:name w:val="heading 3"/>
    <w:basedOn w:val="Normal"/>
    <w:next w:val="Normal"/>
    <w:link w:val="Heading3Char"/>
    <w:uiPriority w:val="99"/>
    <w:qFormat/>
    <w:rsid w:val="00831819"/>
    <w:pPr>
      <w:numPr>
        <w:ilvl w:val="2"/>
        <w:numId w:val="1"/>
      </w:numPr>
      <w:spacing w:before="120"/>
      <w:jc w:val="both"/>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819"/>
    <w:rPr>
      <w:rFonts w:ascii="Arial" w:hAnsi="Arial" w:cs="Times New Roman"/>
      <w:b/>
      <w:bCs/>
      <w:color w:val="215868"/>
      <w:kern w:val="32"/>
      <w:sz w:val="28"/>
      <w:szCs w:val="28"/>
    </w:rPr>
  </w:style>
  <w:style w:type="character" w:customStyle="1" w:styleId="Heading2Char">
    <w:name w:val="Heading 2 Char"/>
    <w:basedOn w:val="DefaultParagraphFont"/>
    <w:link w:val="Heading2"/>
    <w:uiPriority w:val="99"/>
    <w:locked/>
    <w:rsid w:val="00831819"/>
    <w:rPr>
      <w:rFonts w:ascii="Arial" w:hAnsi="Arial"/>
      <w:bCs/>
      <w:iCs/>
      <w:sz w:val="24"/>
      <w:szCs w:val="24"/>
    </w:rPr>
  </w:style>
  <w:style w:type="character" w:customStyle="1" w:styleId="Heading3Char">
    <w:name w:val="Heading 3 Char"/>
    <w:basedOn w:val="DefaultParagraphFont"/>
    <w:link w:val="Heading3"/>
    <w:uiPriority w:val="99"/>
    <w:locked/>
    <w:rsid w:val="00831819"/>
    <w:rPr>
      <w:rFonts w:ascii="Arial" w:hAnsi="Arial"/>
      <w:bCs/>
      <w:sz w:val="24"/>
      <w:szCs w:val="24"/>
    </w:rPr>
  </w:style>
  <w:style w:type="paragraph" w:styleId="Footer">
    <w:name w:val="footer"/>
    <w:basedOn w:val="Normal"/>
    <w:link w:val="FooterChar"/>
    <w:uiPriority w:val="99"/>
    <w:rsid w:val="00831819"/>
    <w:pPr>
      <w:tabs>
        <w:tab w:val="center" w:pos="4153"/>
        <w:tab w:val="right" w:pos="8306"/>
      </w:tabs>
    </w:pPr>
  </w:style>
  <w:style w:type="character" w:customStyle="1" w:styleId="FooterChar">
    <w:name w:val="Footer Char"/>
    <w:basedOn w:val="DefaultParagraphFont"/>
    <w:link w:val="Footer"/>
    <w:uiPriority w:val="99"/>
    <w:locked/>
    <w:rsid w:val="00831819"/>
    <w:rPr>
      <w:rFonts w:cs="Times New Roman"/>
      <w:sz w:val="24"/>
    </w:rPr>
  </w:style>
  <w:style w:type="paragraph" w:customStyle="1" w:styleId="BasicParagraph">
    <w:name w:val="[Basic Paragraph]"/>
    <w:basedOn w:val="Normal"/>
    <w:uiPriority w:val="99"/>
    <w:rsid w:val="00831819"/>
    <w:pPr>
      <w:autoSpaceDE w:val="0"/>
      <w:autoSpaceDN w:val="0"/>
      <w:adjustRightInd w:val="0"/>
      <w:spacing w:line="288" w:lineRule="auto"/>
      <w:textAlignment w:val="center"/>
    </w:pPr>
    <w:rPr>
      <w:color w:val="000000"/>
      <w:lang w:val="en-US"/>
    </w:rPr>
  </w:style>
  <w:style w:type="paragraph" w:styleId="BalloonText">
    <w:name w:val="Balloon Text"/>
    <w:basedOn w:val="Normal"/>
    <w:link w:val="BalloonTextChar"/>
    <w:uiPriority w:val="99"/>
    <w:rsid w:val="00831819"/>
    <w:rPr>
      <w:rFonts w:ascii="Tahoma" w:hAnsi="Tahoma"/>
      <w:sz w:val="16"/>
      <w:szCs w:val="16"/>
    </w:rPr>
  </w:style>
  <w:style w:type="character" w:customStyle="1" w:styleId="BalloonTextChar">
    <w:name w:val="Balloon Text Char"/>
    <w:basedOn w:val="DefaultParagraphFont"/>
    <w:link w:val="BalloonText"/>
    <w:uiPriority w:val="99"/>
    <w:locked/>
    <w:rsid w:val="00831819"/>
    <w:rPr>
      <w:rFonts w:ascii="Tahoma" w:hAnsi="Tahoma" w:cs="Times New Roman"/>
      <w:sz w:val="16"/>
    </w:rPr>
  </w:style>
  <w:style w:type="character" w:styleId="CommentReference">
    <w:name w:val="annotation reference"/>
    <w:basedOn w:val="DefaultParagraphFont"/>
    <w:uiPriority w:val="99"/>
    <w:rsid w:val="00831819"/>
    <w:rPr>
      <w:rFonts w:cs="Times New Roman"/>
      <w:sz w:val="16"/>
    </w:rPr>
  </w:style>
  <w:style w:type="paragraph" w:styleId="CommentText">
    <w:name w:val="annotation text"/>
    <w:basedOn w:val="Normal"/>
    <w:link w:val="CommentTextChar"/>
    <w:uiPriority w:val="99"/>
    <w:rsid w:val="00831819"/>
    <w:rPr>
      <w:sz w:val="20"/>
      <w:szCs w:val="20"/>
    </w:rPr>
  </w:style>
  <w:style w:type="character" w:customStyle="1" w:styleId="CommentTextChar">
    <w:name w:val="Comment Text Char"/>
    <w:basedOn w:val="DefaultParagraphFont"/>
    <w:link w:val="CommentText"/>
    <w:uiPriority w:val="99"/>
    <w:locked/>
    <w:rsid w:val="00831819"/>
    <w:rPr>
      <w:rFonts w:cs="Times New Roman"/>
    </w:rPr>
  </w:style>
  <w:style w:type="paragraph" w:styleId="CommentSubject">
    <w:name w:val="annotation subject"/>
    <w:basedOn w:val="CommentText"/>
    <w:next w:val="CommentText"/>
    <w:link w:val="CommentSubjectChar"/>
    <w:uiPriority w:val="99"/>
    <w:rsid w:val="00831819"/>
    <w:rPr>
      <w:b/>
      <w:bCs/>
    </w:rPr>
  </w:style>
  <w:style w:type="character" w:customStyle="1" w:styleId="CommentSubjectChar">
    <w:name w:val="Comment Subject Char"/>
    <w:basedOn w:val="CommentTextChar"/>
    <w:link w:val="CommentSubject"/>
    <w:uiPriority w:val="99"/>
    <w:locked/>
    <w:rsid w:val="00831819"/>
    <w:rPr>
      <w:rFonts w:cs="Times New Roman"/>
      <w:b/>
    </w:rPr>
  </w:style>
  <w:style w:type="paragraph" w:customStyle="1" w:styleId="Windowbold">
    <w:name w:val="Window bold"/>
    <w:basedOn w:val="Normal"/>
    <w:link w:val="WindowboldChar"/>
    <w:uiPriority w:val="99"/>
    <w:rsid w:val="00831819"/>
    <w:pPr>
      <w:spacing w:before="120"/>
      <w:jc w:val="both"/>
    </w:pPr>
    <w:rPr>
      <w:rFonts w:ascii="Arial" w:hAnsi="Arial"/>
      <w:b/>
      <w:spacing w:val="-2"/>
      <w:szCs w:val="20"/>
    </w:rPr>
  </w:style>
  <w:style w:type="paragraph" w:customStyle="1" w:styleId="windownormal">
    <w:name w:val="window normal"/>
    <w:basedOn w:val="Normal"/>
    <w:link w:val="windownormalChar"/>
    <w:uiPriority w:val="99"/>
    <w:rsid w:val="00831819"/>
    <w:pPr>
      <w:spacing w:before="120"/>
      <w:jc w:val="both"/>
    </w:pPr>
    <w:rPr>
      <w:rFonts w:ascii="Arial" w:hAnsi="Arial"/>
      <w:spacing w:val="-2"/>
      <w:szCs w:val="20"/>
    </w:rPr>
  </w:style>
  <w:style w:type="character" w:customStyle="1" w:styleId="WindowboldChar">
    <w:name w:val="Window bold Char"/>
    <w:link w:val="Windowbold"/>
    <w:uiPriority w:val="99"/>
    <w:locked/>
    <w:rsid w:val="00831819"/>
    <w:rPr>
      <w:rFonts w:ascii="Arial" w:hAnsi="Arial"/>
      <w:b/>
      <w:spacing w:val="-2"/>
      <w:sz w:val="24"/>
    </w:rPr>
  </w:style>
  <w:style w:type="character" w:customStyle="1" w:styleId="windownormalChar">
    <w:name w:val="window normal Char"/>
    <w:link w:val="windownormal"/>
    <w:uiPriority w:val="99"/>
    <w:locked/>
    <w:rsid w:val="00831819"/>
    <w:rPr>
      <w:rFonts w:ascii="Arial" w:hAnsi="Arial"/>
      <w:spacing w:val="-2"/>
      <w:sz w:val="24"/>
    </w:rPr>
  </w:style>
  <w:style w:type="paragraph" w:customStyle="1" w:styleId="Heading2Teal">
    <w:name w:val="Heading 2 Teal"/>
    <w:basedOn w:val="Heading2"/>
    <w:uiPriority w:val="99"/>
    <w:rsid w:val="00831819"/>
    <w:pPr>
      <w:tabs>
        <w:tab w:val="num" w:pos="1440"/>
      </w:tabs>
      <w:ind w:left="1440" w:hanging="540"/>
    </w:pPr>
    <w:rPr>
      <w:bCs w:val="0"/>
      <w:i/>
      <w:iCs w:val="0"/>
      <w:color w:val="008080"/>
      <w:sz w:val="22"/>
      <w:szCs w:val="22"/>
    </w:rPr>
  </w:style>
  <w:style w:type="paragraph" w:customStyle="1" w:styleId="Heading4Level4Text">
    <w:name w:val="Heading 4  Level 4 Text"/>
    <w:basedOn w:val="Heading3"/>
    <w:link w:val="Heading4Level4TextChar"/>
    <w:uiPriority w:val="99"/>
    <w:rsid w:val="00831819"/>
    <w:pPr>
      <w:tabs>
        <w:tab w:val="num" w:pos="2520"/>
      </w:tabs>
      <w:ind w:left="2520" w:hanging="1080"/>
    </w:pPr>
    <w:rPr>
      <w:b/>
      <w:bCs w:val="0"/>
      <w:sz w:val="22"/>
      <w:szCs w:val="22"/>
    </w:rPr>
  </w:style>
  <w:style w:type="table" w:styleId="TableGrid">
    <w:name w:val="Table Grid"/>
    <w:basedOn w:val="TableNormal"/>
    <w:uiPriority w:val="99"/>
    <w:rsid w:val="00831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OPLevel5">
    <w:name w:val="Heading SOP Level 5"/>
    <w:basedOn w:val="Heading4Level4Text"/>
    <w:link w:val="HeadingSOPLevel5Char"/>
    <w:uiPriority w:val="99"/>
    <w:rsid w:val="00831819"/>
    <w:pPr>
      <w:tabs>
        <w:tab w:val="clear" w:pos="2520"/>
        <w:tab w:val="num" w:pos="2880"/>
      </w:tabs>
      <w:ind w:left="2880" w:hanging="1260"/>
    </w:pPr>
  </w:style>
  <w:style w:type="paragraph" w:customStyle="1" w:styleId="StyleHeading1Arial14ptCustomColorRGB3388104Justi">
    <w:name w:val="Style Heading 1 + Arial 14 pt Custom Color(RGB(3388104)) Justi..."/>
    <w:basedOn w:val="Heading1"/>
    <w:uiPriority w:val="99"/>
    <w:rsid w:val="00831819"/>
    <w:pPr>
      <w:spacing w:before="120" w:after="0"/>
    </w:pPr>
    <w:rPr>
      <w:szCs w:val="20"/>
    </w:rPr>
  </w:style>
  <w:style w:type="character" w:styleId="Emphasis">
    <w:name w:val="Emphasis"/>
    <w:basedOn w:val="DefaultParagraphFont"/>
    <w:uiPriority w:val="99"/>
    <w:qFormat/>
    <w:rsid w:val="00831819"/>
    <w:rPr>
      <w:rFonts w:cs="Times New Roman"/>
      <w:i/>
      <w:iCs/>
    </w:rPr>
  </w:style>
  <w:style w:type="paragraph" w:styleId="Title">
    <w:name w:val="Title"/>
    <w:basedOn w:val="Normal"/>
    <w:next w:val="Normal"/>
    <w:link w:val="TitleChar"/>
    <w:uiPriority w:val="99"/>
    <w:qFormat/>
    <w:rsid w:val="00831819"/>
    <w:rPr>
      <w:rFonts w:ascii="Arial" w:hAnsi="Arial" w:cs="Arial"/>
      <w:b/>
      <w:color w:val="215868"/>
      <w:sz w:val="48"/>
      <w:szCs w:val="48"/>
    </w:rPr>
  </w:style>
  <w:style w:type="character" w:customStyle="1" w:styleId="TitleChar">
    <w:name w:val="Title Char"/>
    <w:basedOn w:val="DefaultParagraphFont"/>
    <w:link w:val="Title"/>
    <w:uiPriority w:val="99"/>
    <w:locked/>
    <w:rsid w:val="00831819"/>
    <w:rPr>
      <w:rFonts w:ascii="Arial" w:hAnsi="Arial" w:cs="Arial"/>
      <w:b/>
      <w:color w:val="215868"/>
      <w:sz w:val="48"/>
      <w:szCs w:val="48"/>
    </w:rPr>
  </w:style>
  <w:style w:type="paragraph" w:customStyle="1" w:styleId="Heading5Indent">
    <w:name w:val="Heading 5 Indent"/>
    <w:basedOn w:val="Heading4Indent"/>
    <w:link w:val="Heading5IndentChar"/>
    <w:uiPriority w:val="99"/>
    <w:rsid w:val="00831819"/>
    <w:pPr>
      <w:numPr>
        <w:ilvl w:val="4"/>
      </w:numPr>
      <w:tabs>
        <w:tab w:val="num" w:pos="3261"/>
      </w:tabs>
      <w:ind w:left="3261" w:hanging="1276"/>
    </w:pPr>
  </w:style>
  <w:style w:type="paragraph" w:customStyle="1" w:styleId="Heading4Indent">
    <w:name w:val="Heading 4 Indent"/>
    <w:basedOn w:val="HeadingSOPLevel5"/>
    <w:link w:val="Heading4IndentChar"/>
    <w:uiPriority w:val="99"/>
    <w:rsid w:val="00831819"/>
    <w:pPr>
      <w:numPr>
        <w:ilvl w:val="3"/>
      </w:numPr>
      <w:tabs>
        <w:tab w:val="clear" w:pos="2880"/>
        <w:tab w:val="num" w:pos="2835"/>
      </w:tabs>
      <w:ind w:left="2835" w:hanging="1275"/>
    </w:pPr>
    <w:rPr>
      <w:b w:val="0"/>
      <w:sz w:val="24"/>
      <w:szCs w:val="24"/>
    </w:rPr>
  </w:style>
  <w:style w:type="character" w:customStyle="1" w:styleId="Heading4Level4TextChar">
    <w:name w:val="Heading 4  Level 4 Text Char"/>
    <w:basedOn w:val="Heading3Char"/>
    <w:link w:val="Heading4Level4Text"/>
    <w:uiPriority w:val="99"/>
    <w:locked/>
    <w:rsid w:val="00831819"/>
    <w:rPr>
      <w:rFonts w:ascii="Arial" w:hAnsi="Arial" w:cs="Times New Roman"/>
      <w:b/>
      <w:bCs/>
      <w:sz w:val="24"/>
      <w:szCs w:val="24"/>
      <w:lang w:val="en-AU" w:eastAsia="en-AU" w:bidi="ar-SA"/>
    </w:rPr>
  </w:style>
  <w:style w:type="character" w:customStyle="1" w:styleId="HeadingSOPLevel5Char">
    <w:name w:val="Heading SOP Level 5 Char"/>
    <w:basedOn w:val="Heading4Level4TextChar"/>
    <w:link w:val="HeadingSOPLevel5"/>
    <w:uiPriority w:val="99"/>
    <w:locked/>
    <w:rsid w:val="00831819"/>
    <w:rPr>
      <w:rFonts w:ascii="Arial" w:hAnsi="Arial" w:cs="Times New Roman"/>
      <w:b/>
      <w:bCs/>
      <w:sz w:val="24"/>
      <w:szCs w:val="24"/>
      <w:lang w:val="en-AU" w:eastAsia="en-AU" w:bidi="ar-SA"/>
    </w:rPr>
  </w:style>
  <w:style w:type="character" w:customStyle="1" w:styleId="Heading5IndentChar">
    <w:name w:val="Heading 5 Indent Char"/>
    <w:basedOn w:val="HeadingSOPLevel5Char"/>
    <w:link w:val="Heading5Indent"/>
    <w:uiPriority w:val="99"/>
    <w:locked/>
    <w:rsid w:val="00831819"/>
    <w:rPr>
      <w:rFonts w:ascii="Arial" w:hAnsi="Arial" w:cs="Times New Roman"/>
      <w:b/>
      <w:bCs/>
      <w:sz w:val="24"/>
      <w:szCs w:val="24"/>
      <w:lang w:val="en-AU" w:eastAsia="en-AU" w:bidi="ar-SA"/>
    </w:rPr>
  </w:style>
  <w:style w:type="character" w:customStyle="1" w:styleId="Heading4IndentChar">
    <w:name w:val="Heading 4 Indent Char"/>
    <w:basedOn w:val="HeadingSOPLevel5Char"/>
    <w:link w:val="Heading4Indent"/>
    <w:uiPriority w:val="99"/>
    <w:locked/>
    <w:rsid w:val="00831819"/>
    <w:rPr>
      <w:rFonts w:ascii="Arial" w:hAnsi="Arial" w:cs="Times New Roman"/>
      <w:b/>
      <w:bCs/>
      <w:sz w:val="24"/>
      <w:szCs w:val="24"/>
      <w:lang w:val="en-AU" w:eastAsia="en-AU" w:bidi="ar-SA"/>
    </w:rPr>
  </w:style>
  <w:style w:type="paragraph" w:styleId="Header">
    <w:name w:val="header"/>
    <w:basedOn w:val="Normal"/>
    <w:link w:val="HeaderChar"/>
    <w:uiPriority w:val="99"/>
    <w:rsid w:val="00831819"/>
    <w:pPr>
      <w:tabs>
        <w:tab w:val="center" w:pos="4513"/>
        <w:tab w:val="right" w:pos="9026"/>
      </w:tabs>
    </w:pPr>
  </w:style>
  <w:style w:type="character" w:customStyle="1" w:styleId="HeaderChar">
    <w:name w:val="Header Char"/>
    <w:basedOn w:val="DefaultParagraphFont"/>
    <w:link w:val="Header"/>
    <w:uiPriority w:val="99"/>
    <w:locked/>
    <w:rsid w:val="0083181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bns.health.qld.gov.au/medical/emergencies/defaul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HUTCHI~2\temp\temp-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A102-395A-4AE5-A459-2AB89F25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temp-procedure.dot</Template>
  <TotalTime>0</TotalTime>
  <Pages>11</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Procedure</vt:lpstr>
    </vt:vector>
  </TitlesOfParts>
  <Company>Queensland Health</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Cheryl Hutchins</dc:creator>
  <cp:lastModifiedBy>Anand Odedra</cp:lastModifiedBy>
  <cp:revision>2</cp:revision>
  <cp:lastPrinted>2016-10-18T05:53:00Z</cp:lastPrinted>
  <dcterms:created xsi:type="dcterms:W3CDTF">2019-03-28T08:40:00Z</dcterms:created>
  <dcterms:modified xsi:type="dcterms:W3CDTF">2019-03-28T08:40:00Z</dcterms:modified>
</cp:coreProperties>
</file>