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C7C8" w14:textId="77777777" w:rsidR="00465A58" w:rsidRPr="00FD68FB" w:rsidRDefault="00465A58" w:rsidP="00465A58">
      <w:pPr>
        <w:pStyle w:val="1"/>
        <w:spacing w:before="0" w:after="0" w:line="360" w:lineRule="auto"/>
        <w:rPr>
          <w:rFonts w:ascii="Times New Roman" w:hAnsi="Times New Roman"/>
          <w:sz w:val="21"/>
          <w:szCs w:val="21"/>
        </w:rPr>
      </w:pPr>
      <w:bookmarkStart w:id="0" w:name="OLE_LINK9"/>
      <w:bookmarkEnd w:id="0"/>
      <w:r w:rsidRPr="00FD68FB">
        <w:rPr>
          <w:rFonts w:ascii="Times New Roman" w:hAnsi="Times New Roman"/>
          <w:sz w:val="21"/>
          <w:szCs w:val="21"/>
        </w:rPr>
        <w:t xml:space="preserve">Mercury uptake by </w:t>
      </w:r>
      <w:bookmarkStart w:id="1" w:name="OLE_LINK1"/>
      <w:r w:rsidRPr="00FD68FB">
        <w:rPr>
          <w:rFonts w:ascii="Times New Roman" w:hAnsi="Times New Roman"/>
          <w:i/>
          <w:sz w:val="21"/>
          <w:szCs w:val="21"/>
        </w:rPr>
        <w:t>Paspalum distichum</w:t>
      </w:r>
      <w:bookmarkEnd w:id="1"/>
      <w:r w:rsidRPr="00FD68FB">
        <w:rPr>
          <w:rFonts w:ascii="Times New Roman" w:hAnsi="Times New Roman"/>
          <w:sz w:val="21"/>
          <w:szCs w:val="21"/>
        </w:rPr>
        <w:t xml:space="preserve"> L </w:t>
      </w:r>
      <w:bookmarkStart w:id="2" w:name="OLE_LINK7"/>
      <w:r>
        <w:rPr>
          <w:rFonts w:ascii="Times New Roman" w:hAnsi="Times New Roman"/>
          <w:sz w:val="21"/>
          <w:szCs w:val="21"/>
        </w:rPr>
        <w:t xml:space="preserve">in relation to the mercury </w:t>
      </w:r>
      <w:r w:rsidRPr="00FD68FB">
        <w:rPr>
          <w:rFonts w:ascii="Times New Roman" w:hAnsi="Times New Roman"/>
          <w:sz w:val="21"/>
          <w:szCs w:val="21"/>
        </w:rPr>
        <w:t xml:space="preserve">distribution </w:t>
      </w:r>
      <w:r>
        <w:rPr>
          <w:rFonts w:ascii="Times New Roman" w:hAnsi="Times New Roman"/>
          <w:sz w:val="21"/>
          <w:szCs w:val="21"/>
        </w:rPr>
        <w:t>pattern</w:t>
      </w:r>
      <w:bookmarkEnd w:id="2"/>
      <w:r w:rsidRPr="00FD68FB">
        <w:rPr>
          <w:rFonts w:ascii="Times New Roman" w:hAnsi="Times New Roman"/>
          <w:sz w:val="21"/>
          <w:szCs w:val="21"/>
        </w:rPr>
        <w:t xml:space="preserve"> in rhizosphere soil</w:t>
      </w:r>
    </w:p>
    <w:p w14:paraId="33AB09DD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  <w:vertAlign w:val="superscript"/>
        </w:rPr>
      </w:pPr>
      <w:proofErr w:type="spellStart"/>
      <w:r w:rsidRPr="00FD68FB">
        <w:rPr>
          <w:rFonts w:ascii="Times New Roman" w:hAnsi="Times New Roman"/>
          <w:color w:val="000000"/>
          <w:szCs w:val="21"/>
        </w:rPr>
        <w:t>Su</w:t>
      </w:r>
      <w:proofErr w:type="spellEnd"/>
      <w:r w:rsidRPr="00FD68FB">
        <w:rPr>
          <w:rFonts w:ascii="Times New Roman" w:hAnsi="Times New Roman"/>
          <w:color w:val="000000"/>
          <w:szCs w:val="21"/>
        </w:rPr>
        <w:t xml:space="preserve"> Xu</w:t>
      </w:r>
      <w:r w:rsidRPr="00FD68FB">
        <w:rPr>
          <w:rFonts w:ascii="Times New Roman" w:hAnsi="Times New Roman"/>
          <w:color w:val="000000"/>
          <w:szCs w:val="21"/>
          <w:vertAlign w:val="superscript"/>
        </w:rPr>
        <w:t>1</w:t>
      </w:r>
      <w:r w:rsidRPr="00FD68FB">
        <w:rPr>
          <w:rFonts w:ascii="Times New Roman" w:hAnsi="Times New Roman"/>
          <w:color w:val="000000"/>
          <w:szCs w:val="21"/>
        </w:rPr>
        <w:t xml:space="preserve">, </w:t>
      </w:r>
      <w:r>
        <w:rPr>
          <w:rFonts w:ascii="Times New Roman" w:hAnsi="Times New Roman" w:hint="eastAsia"/>
          <w:color w:val="000000"/>
          <w:szCs w:val="21"/>
        </w:rPr>
        <w:t>Ping Gong</w:t>
      </w:r>
      <w:r w:rsidRPr="00FD68FB">
        <w:rPr>
          <w:rFonts w:ascii="Times New Roman" w:hAnsi="Times New Roman"/>
          <w:color w:val="000000"/>
          <w:szCs w:val="21"/>
          <w:vertAlign w:val="superscript"/>
        </w:rPr>
        <w:t>1</w:t>
      </w:r>
      <w:r>
        <w:rPr>
          <w:rFonts w:ascii="Times New Roman" w:hAnsi="Times New Roman" w:hint="eastAsia"/>
          <w:color w:val="000000"/>
          <w:szCs w:val="21"/>
          <w:vertAlign w:val="superscript"/>
        </w:rPr>
        <w:t>#</w:t>
      </w:r>
      <w:r w:rsidRPr="00FD68FB">
        <w:rPr>
          <w:rFonts w:ascii="Times New Roman" w:hAnsi="Times New Roman"/>
          <w:color w:val="000000"/>
          <w:szCs w:val="21"/>
        </w:rPr>
        <w:t xml:space="preserve">, </w:t>
      </w:r>
      <w:r>
        <w:rPr>
          <w:rFonts w:ascii="Times New Roman" w:hAnsi="Times New Roman" w:hint="eastAsia"/>
          <w:color w:val="000000"/>
          <w:szCs w:val="21"/>
        </w:rPr>
        <w:t>Wen Ding</w:t>
      </w:r>
      <w:r w:rsidRPr="00FD68FB">
        <w:rPr>
          <w:rFonts w:ascii="Times New Roman" w:hAnsi="Times New Roman"/>
          <w:color w:val="000000"/>
          <w:szCs w:val="21"/>
          <w:vertAlign w:val="superscript"/>
        </w:rPr>
        <w:t>1</w:t>
      </w:r>
      <w:r w:rsidRPr="00FD68FB">
        <w:rPr>
          <w:rFonts w:ascii="Times New Roman" w:hAnsi="Times New Roman"/>
          <w:color w:val="000000"/>
          <w:szCs w:val="21"/>
        </w:rPr>
        <w:t xml:space="preserve">, </w:t>
      </w:r>
      <w:proofErr w:type="spellStart"/>
      <w:r w:rsidR="00C26EB1">
        <w:rPr>
          <w:rFonts w:ascii="Times New Roman" w:hAnsi="Times New Roman"/>
          <w:color w:val="000000"/>
          <w:szCs w:val="21"/>
        </w:rPr>
        <w:t>Shengchun</w:t>
      </w:r>
      <w:proofErr w:type="spellEnd"/>
      <w:r w:rsidRPr="00FD68FB">
        <w:rPr>
          <w:rFonts w:ascii="Times New Roman" w:hAnsi="Times New Roman"/>
          <w:color w:val="000000"/>
          <w:szCs w:val="21"/>
        </w:rPr>
        <w:t xml:space="preserve"> </w:t>
      </w:r>
      <w:r w:rsidR="00C26EB1">
        <w:rPr>
          <w:rFonts w:ascii="Times New Roman" w:hAnsi="Times New Roman"/>
          <w:color w:val="000000"/>
          <w:szCs w:val="21"/>
        </w:rPr>
        <w:t>Wu</w:t>
      </w:r>
      <w:r w:rsidRPr="00FD68FB">
        <w:rPr>
          <w:rFonts w:ascii="Times New Roman" w:hAnsi="Times New Roman"/>
          <w:color w:val="000000"/>
          <w:szCs w:val="21"/>
          <w:vertAlign w:val="superscript"/>
        </w:rPr>
        <w:t>1,2</w:t>
      </w:r>
      <w:r w:rsidRPr="00FD68FB">
        <w:rPr>
          <w:rFonts w:ascii="Times New Roman" w:hAnsi="Times New Roman"/>
          <w:color w:val="000000"/>
          <w:szCs w:val="21"/>
        </w:rPr>
        <w:t xml:space="preserve">, </w:t>
      </w:r>
      <w:proofErr w:type="spellStart"/>
      <w:r w:rsidRPr="00FD68FB">
        <w:rPr>
          <w:rFonts w:ascii="Times New Roman" w:hAnsi="Times New Roman"/>
          <w:color w:val="000000"/>
          <w:szCs w:val="21"/>
        </w:rPr>
        <w:t>Xinwei</w:t>
      </w:r>
      <w:proofErr w:type="spellEnd"/>
      <w:r w:rsidRPr="00FD68FB">
        <w:rPr>
          <w:rFonts w:ascii="Times New Roman" w:hAnsi="Times New Roman"/>
          <w:color w:val="000000"/>
          <w:szCs w:val="21"/>
        </w:rPr>
        <w:t xml:space="preserve"> Yu</w:t>
      </w:r>
      <w:r w:rsidRPr="00FD68FB">
        <w:rPr>
          <w:rFonts w:ascii="Times New Roman" w:hAnsi="Times New Roman"/>
          <w:color w:val="000000"/>
          <w:szCs w:val="21"/>
          <w:vertAlign w:val="superscript"/>
        </w:rPr>
        <w:t>3**</w:t>
      </w:r>
      <w:r w:rsidRPr="00FD68FB">
        <w:rPr>
          <w:rFonts w:ascii="Times New Roman" w:hAnsi="Times New Roman"/>
          <w:color w:val="000000"/>
          <w:szCs w:val="21"/>
        </w:rPr>
        <w:t xml:space="preserve">, </w:t>
      </w:r>
      <w:r w:rsidR="00C26EB1">
        <w:rPr>
          <w:rFonts w:ascii="Times New Roman" w:hAnsi="Times New Roman"/>
          <w:color w:val="000000"/>
          <w:szCs w:val="21"/>
        </w:rPr>
        <w:t>Peng Liang</w:t>
      </w:r>
      <w:r w:rsidRPr="00FD68FB">
        <w:rPr>
          <w:rFonts w:ascii="Times New Roman" w:hAnsi="Times New Roman"/>
          <w:color w:val="000000"/>
          <w:szCs w:val="21"/>
          <w:vertAlign w:val="superscript"/>
        </w:rPr>
        <w:t>1,2*</w:t>
      </w:r>
    </w:p>
    <w:p w14:paraId="43A644B1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5CA6193C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FD68FB">
        <w:rPr>
          <w:rFonts w:ascii="Times New Roman" w:hAnsi="Times New Roman"/>
          <w:color w:val="000000"/>
          <w:szCs w:val="21"/>
          <w:vertAlign w:val="superscript"/>
        </w:rPr>
        <w:t>1</w:t>
      </w:r>
      <w:r w:rsidRPr="00FD68FB">
        <w:rPr>
          <w:rFonts w:ascii="Times New Roman" w:hAnsi="Times New Roman"/>
          <w:color w:val="000000"/>
          <w:szCs w:val="21"/>
        </w:rPr>
        <w:t>School of Environmental and Resource Sciences, Zhejiang A&amp;F University, Lin’an, Zhejiang Province 311300, China</w:t>
      </w:r>
    </w:p>
    <w:p w14:paraId="6B22F1F4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FD68FB">
        <w:rPr>
          <w:rFonts w:ascii="Times New Roman" w:hAnsi="Times New Roman"/>
          <w:color w:val="000000"/>
          <w:szCs w:val="21"/>
          <w:vertAlign w:val="superscript"/>
        </w:rPr>
        <w:t>2</w:t>
      </w:r>
      <w:r w:rsidRPr="00FD68FB">
        <w:rPr>
          <w:rFonts w:ascii="Times New Roman" w:hAnsi="Times New Roman"/>
          <w:color w:val="000000"/>
          <w:szCs w:val="21"/>
        </w:rPr>
        <w:t>Key Laboratory of Soil Contamination Bioremediation of Zhejiang Province, Zhejiang A&amp;F University, Lin’an, Zhejiang Province 311300, China</w:t>
      </w:r>
    </w:p>
    <w:p w14:paraId="36A911B5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FD68FB">
        <w:rPr>
          <w:rFonts w:ascii="Times New Roman" w:hAnsi="Times New Roman"/>
          <w:color w:val="000000"/>
          <w:szCs w:val="21"/>
          <w:vertAlign w:val="superscript"/>
        </w:rPr>
        <w:t>3</w:t>
      </w:r>
      <w:r w:rsidRPr="00FD68FB">
        <w:rPr>
          <w:rFonts w:ascii="Times New Roman" w:hAnsi="Times New Roman"/>
          <w:color w:val="000000"/>
          <w:szCs w:val="21"/>
        </w:rPr>
        <w:t>Key Laboratory of Health Risk Factors for Seafood of Zhejiang Province, Zhoushan Municipal</w:t>
      </w:r>
    </w:p>
    <w:p w14:paraId="0F190E2B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Center f</w:t>
      </w:r>
      <w:r w:rsidRPr="00FD68FB">
        <w:rPr>
          <w:rFonts w:ascii="Times New Roman" w:hAnsi="Times New Roman"/>
          <w:color w:val="000000"/>
          <w:szCs w:val="21"/>
        </w:rPr>
        <w:t>or Disease Control and Prevention, Zhoushan 316021, China</w:t>
      </w:r>
    </w:p>
    <w:p w14:paraId="4F41510D" w14:textId="77777777" w:rsidR="00465A58" w:rsidRPr="00C41383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17CF39DD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*</w:t>
      </w:r>
      <w:r w:rsidRPr="00FD68FB">
        <w:rPr>
          <w:rFonts w:ascii="Times New Roman" w:hAnsi="Times New Roman"/>
          <w:color w:val="000000"/>
          <w:szCs w:val="21"/>
        </w:rPr>
        <w:t xml:space="preserve">Corresponding author. E-mail: </w:t>
      </w:r>
      <w:r w:rsidR="00C26EB1">
        <w:rPr>
          <w:rFonts w:ascii="Times New Roman" w:hAnsi="Times New Roman"/>
          <w:color w:val="000000"/>
          <w:szCs w:val="21"/>
        </w:rPr>
        <w:t>liangpeng</w:t>
      </w:r>
      <w:r w:rsidRPr="00FD68FB">
        <w:rPr>
          <w:rFonts w:ascii="Times New Roman" w:hAnsi="Times New Roman"/>
          <w:color w:val="000000"/>
          <w:szCs w:val="21"/>
        </w:rPr>
        <w:t>@</w:t>
      </w:r>
      <w:r w:rsidR="00C26EB1">
        <w:rPr>
          <w:rFonts w:ascii="Times New Roman" w:hAnsi="Times New Roman"/>
          <w:color w:val="000000"/>
          <w:szCs w:val="21"/>
        </w:rPr>
        <w:t>zafu.edu.cn</w:t>
      </w:r>
      <w:r w:rsidRPr="00FD68FB">
        <w:rPr>
          <w:rFonts w:ascii="Times New Roman" w:hAnsi="Times New Roman"/>
          <w:color w:val="000000"/>
          <w:szCs w:val="21"/>
        </w:rPr>
        <w:t xml:space="preserve"> (</w:t>
      </w:r>
      <w:r w:rsidR="00C26EB1">
        <w:rPr>
          <w:rFonts w:ascii="Times New Roman" w:hAnsi="Times New Roman"/>
          <w:color w:val="000000"/>
          <w:szCs w:val="21"/>
        </w:rPr>
        <w:t>Peng Liang</w:t>
      </w:r>
      <w:r w:rsidRPr="00FD68FB">
        <w:rPr>
          <w:rFonts w:ascii="Times New Roman" w:hAnsi="Times New Roman"/>
          <w:color w:val="000000"/>
          <w:szCs w:val="21"/>
        </w:rPr>
        <w:t>); tel.: +86-</w:t>
      </w:r>
      <w:r>
        <w:rPr>
          <w:rFonts w:ascii="Times New Roman" w:hAnsi="Times New Roman"/>
          <w:color w:val="000000"/>
          <w:szCs w:val="21"/>
        </w:rPr>
        <w:t>571-</w:t>
      </w:r>
      <w:r w:rsidRPr="00FD68FB">
        <w:rPr>
          <w:rFonts w:ascii="Times New Roman" w:hAnsi="Times New Roman"/>
          <w:color w:val="000000"/>
          <w:szCs w:val="21"/>
        </w:rPr>
        <w:t>58602246; fax: +86-</w:t>
      </w:r>
      <w:r>
        <w:rPr>
          <w:rFonts w:ascii="Times New Roman" w:hAnsi="Times New Roman"/>
          <w:color w:val="000000"/>
          <w:szCs w:val="21"/>
        </w:rPr>
        <w:t>571-</w:t>
      </w:r>
      <w:r w:rsidRPr="00FD68FB">
        <w:rPr>
          <w:rFonts w:ascii="Times New Roman" w:hAnsi="Times New Roman"/>
          <w:color w:val="000000"/>
          <w:szCs w:val="21"/>
        </w:rPr>
        <w:t>63740889</w:t>
      </w:r>
    </w:p>
    <w:p w14:paraId="03EB9A79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0091B681" w14:textId="77777777" w:rsidR="00465A58" w:rsidRPr="00FD68FB" w:rsidRDefault="00465A58" w:rsidP="00465A58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FD68FB">
        <w:rPr>
          <w:rFonts w:ascii="Times New Roman" w:hAnsi="Times New Roman"/>
          <w:color w:val="000000"/>
          <w:szCs w:val="21"/>
        </w:rPr>
        <w:t>*</w:t>
      </w:r>
      <w:r>
        <w:rPr>
          <w:rFonts w:ascii="Times New Roman" w:hAnsi="Times New Roman"/>
          <w:color w:val="000000"/>
          <w:szCs w:val="21"/>
        </w:rPr>
        <w:t>*</w:t>
      </w:r>
      <w:r w:rsidRPr="00FD68FB">
        <w:rPr>
          <w:rFonts w:ascii="Times New Roman" w:hAnsi="Times New Roman"/>
          <w:color w:val="000000"/>
          <w:szCs w:val="21"/>
        </w:rPr>
        <w:t xml:space="preserve">Co-Corresponding author. E-mail: </w:t>
      </w:r>
      <w:r>
        <w:rPr>
          <w:rFonts w:ascii="Times New Roman" w:hAnsi="Times New Roman"/>
          <w:color w:val="000000"/>
          <w:szCs w:val="21"/>
        </w:rPr>
        <w:t>xwyu0716</w:t>
      </w:r>
      <w:r w:rsidRPr="00FD68FB">
        <w:rPr>
          <w:rFonts w:ascii="Times New Roman" w:hAnsi="Times New Roman" w:hint="eastAsia"/>
          <w:color w:val="000000"/>
          <w:szCs w:val="21"/>
        </w:rPr>
        <w:t>@</w:t>
      </w:r>
      <w:r>
        <w:rPr>
          <w:rFonts w:ascii="Times New Roman" w:hAnsi="Times New Roman"/>
          <w:color w:val="000000"/>
          <w:szCs w:val="21"/>
        </w:rPr>
        <w:t>163</w:t>
      </w:r>
      <w:r w:rsidRPr="00FD68FB">
        <w:rPr>
          <w:rFonts w:ascii="Times New Roman" w:hAnsi="Times New Roman"/>
          <w:color w:val="000000"/>
          <w:szCs w:val="21"/>
        </w:rPr>
        <w:t>.com (</w:t>
      </w:r>
      <w:proofErr w:type="spellStart"/>
      <w:r w:rsidRPr="00FD68FB">
        <w:rPr>
          <w:rFonts w:ascii="Times New Roman" w:hAnsi="Times New Roman"/>
          <w:color w:val="000000"/>
          <w:szCs w:val="21"/>
        </w:rPr>
        <w:t>Xinwei</w:t>
      </w:r>
      <w:proofErr w:type="spellEnd"/>
      <w:r w:rsidRPr="00FD68FB">
        <w:rPr>
          <w:rFonts w:ascii="Times New Roman" w:hAnsi="Times New Roman"/>
          <w:color w:val="000000"/>
          <w:szCs w:val="21"/>
        </w:rPr>
        <w:t xml:space="preserve"> Yu); tel.: +86-</w:t>
      </w:r>
      <w:r>
        <w:rPr>
          <w:rFonts w:ascii="Times New Roman" w:hAnsi="Times New Roman"/>
          <w:color w:val="000000"/>
          <w:szCs w:val="21"/>
        </w:rPr>
        <w:t>580-2080950</w:t>
      </w:r>
      <w:r w:rsidRPr="00FD68FB">
        <w:rPr>
          <w:rFonts w:ascii="Times New Roman" w:hAnsi="Times New Roman"/>
          <w:color w:val="000000"/>
          <w:szCs w:val="21"/>
        </w:rPr>
        <w:t>; fax: +86-</w:t>
      </w:r>
      <w:r>
        <w:rPr>
          <w:rFonts w:ascii="Times New Roman" w:hAnsi="Times New Roman"/>
          <w:color w:val="000000"/>
          <w:szCs w:val="21"/>
        </w:rPr>
        <w:t>580-2080950</w:t>
      </w:r>
    </w:p>
    <w:p w14:paraId="71131C39" w14:textId="77777777" w:rsidR="00465A58" w:rsidRPr="00465A58" w:rsidRDefault="00465A58" w:rsidP="00C50782"/>
    <w:p w14:paraId="052E9ABE" w14:textId="77777777" w:rsidR="00465A58" w:rsidRDefault="00465A58">
      <w:pPr>
        <w:widowControl/>
        <w:jc w:val="left"/>
      </w:pPr>
      <w:r>
        <w:br w:type="page"/>
      </w:r>
    </w:p>
    <w:p w14:paraId="67F3168E" w14:textId="77777777" w:rsidR="00C50782" w:rsidRDefault="00C50782" w:rsidP="00C50782">
      <w:r>
        <w:rPr>
          <w:rFonts w:hint="eastAsia"/>
          <w:noProof/>
        </w:rPr>
        <w:lastRenderedPageBreak/>
        <w:drawing>
          <wp:inline distT="0" distB="0" distL="114300" distR="114300" wp14:anchorId="55AAAB06" wp14:editId="0F6FEFE2">
            <wp:extent cx="5272405" cy="4004310"/>
            <wp:effectExtent l="0" t="0" r="4445" b="15240"/>
            <wp:docPr id="20" name="图片 20" descr="Fig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ig.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33E1" w14:textId="77777777" w:rsidR="00C50782" w:rsidRDefault="00C50782" w:rsidP="00C50782">
      <w:pPr>
        <w:pStyle w:val="a3"/>
        <w:spacing w:line="360" w:lineRule="auto"/>
        <w:ind w:firstLineChars="0" w:firstLine="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Fig. S1 Structure of rhizosphere box</w:t>
      </w:r>
    </w:p>
    <w:p w14:paraId="099426F8" w14:textId="77777777" w:rsidR="00C50782" w:rsidRDefault="00C50782">
      <w:pPr>
        <w:sectPr w:rsidR="00C50782" w:rsidSect="008E454E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3A79EAF" w14:textId="77777777" w:rsidR="00C50782" w:rsidRDefault="006F1BAA" w:rsidP="00C50782">
      <w:pPr>
        <w:tabs>
          <w:tab w:val="left" w:pos="2268"/>
        </w:tabs>
        <w:jc w:val="center"/>
      </w:pPr>
      <w:r>
        <w:rPr>
          <w:rFonts w:hint="eastAsia"/>
          <w:noProof/>
        </w:rPr>
        <w:object w:dxaOrig="7184" w:dyaOrig="5075" w14:anchorId="54525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5in;height:253.85pt;mso-width-percent:0;mso-height-percent:0;mso-width-percent:0;mso-height-percent:0" o:ole="">
            <v:imagedata r:id="rId5" o:title=""/>
          </v:shape>
          <o:OLEObject Type="Embed" ProgID="Origin50.Graph" ShapeID="_x0000_i1030" DrawAspect="Content" ObjectID="_1679160805" r:id="rId6"/>
        </w:object>
      </w:r>
    </w:p>
    <w:p w14:paraId="207F67F5" w14:textId="77777777" w:rsidR="00C50782" w:rsidRDefault="00C50782" w:rsidP="00C50782">
      <w:pPr>
        <w:tabs>
          <w:tab w:val="left" w:pos="2268"/>
        </w:tabs>
      </w:pPr>
    </w:p>
    <w:p w14:paraId="52C3E750" w14:textId="77777777" w:rsidR="00C50782" w:rsidRDefault="006F1BAA" w:rsidP="00C50782">
      <w:pPr>
        <w:tabs>
          <w:tab w:val="left" w:pos="2268"/>
        </w:tabs>
        <w:jc w:val="center"/>
      </w:pPr>
      <w:r>
        <w:rPr>
          <w:rFonts w:hint="eastAsia"/>
          <w:noProof/>
        </w:rPr>
        <w:object w:dxaOrig="7184" w:dyaOrig="5075" w14:anchorId="7CC9FC51">
          <v:shape id="_x0000_i1029" type="#_x0000_t75" alt="" style="width:5in;height:253.85pt;mso-width-percent:0;mso-height-percent:0;mso-width-percent:0;mso-height-percent:0" o:ole="">
            <v:imagedata r:id="rId7" o:title=""/>
          </v:shape>
          <o:OLEObject Type="Embed" ProgID="Origin50.Graph" ShapeID="_x0000_i1029" DrawAspect="Content" ObjectID="_1679160806" r:id="rId8"/>
        </w:object>
      </w:r>
    </w:p>
    <w:p w14:paraId="408DC293" w14:textId="77777777" w:rsidR="00C50782" w:rsidRDefault="00C50782" w:rsidP="00C50782">
      <w:pPr>
        <w:tabs>
          <w:tab w:val="left" w:pos="2268"/>
        </w:tabs>
      </w:pPr>
    </w:p>
    <w:p w14:paraId="196E6B6E" w14:textId="77777777" w:rsidR="00C50782" w:rsidRPr="00D61943" w:rsidRDefault="00C50782" w:rsidP="00C50782">
      <w:pPr>
        <w:tabs>
          <w:tab w:val="left" w:pos="2268"/>
        </w:tabs>
        <w:jc w:val="center"/>
        <w:rPr>
          <w:rFonts w:ascii="Times New Roman" w:hAnsi="Times New Roman"/>
        </w:rPr>
      </w:pPr>
      <w:r w:rsidRPr="00D61943">
        <w:rPr>
          <w:rFonts w:ascii="Times New Roman" w:hAnsi="Times New Roman"/>
        </w:rPr>
        <w:t xml:space="preserve">Fig. </w:t>
      </w:r>
      <w:r>
        <w:rPr>
          <w:rFonts w:ascii="Times New Roman" w:hAnsi="Times New Roman"/>
        </w:rPr>
        <w:t>S2</w:t>
      </w:r>
      <w:r w:rsidRPr="00D61943">
        <w:rPr>
          <w:rFonts w:ascii="Times New Roman" w:hAnsi="Times New Roman"/>
        </w:rPr>
        <w:t xml:space="preserve"> Chemical fraction of Hg in two kinds of soil (A:GXS; B HZS)</w:t>
      </w:r>
    </w:p>
    <w:p w14:paraId="1B824EF0" w14:textId="5055D090" w:rsidR="00C50782" w:rsidRDefault="00C50782" w:rsidP="007A13F9">
      <w:r>
        <w:br w:type="page"/>
      </w:r>
    </w:p>
    <w:p w14:paraId="711B1F9B" w14:textId="4B17755A" w:rsidR="00C50782" w:rsidRDefault="006F1BAA" w:rsidP="00C50782">
      <w:pPr>
        <w:jc w:val="center"/>
      </w:pPr>
      <w:r>
        <w:rPr>
          <w:noProof/>
        </w:rPr>
        <w:object w:dxaOrig="10891" w:dyaOrig="8800" w14:anchorId="5DFDD4D6">
          <v:shape id="_x0000_i1028" type="#_x0000_t75" alt="" style="width:357.05pt;height:288.75pt;mso-width-percent:0;mso-height-percent:0;mso-width-percent:0;mso-height-percent:0" o:ole="">
            <v:imagedata r:id="rId9" o:title=""/>
          </v:shape>
          <o:OLEObject Type="Embed" ProgID="SigmaPlotGraphicObject.11" ShapeID="_x0000_i1028" DrawAspect="Content" ObjectID="_1679160807" r:id="rId10"/>
        </w:object>
      </w:r>
    </w:p>
    <w:p w14:paraId="38987605" w14:textId="77777777" w:rsidR="00C50782" w:rsidRDefault="00C50782" w:rsidP="00C50782">
      <w:pPr>
        <w:jc w:val="left"/>
      </w:pPr>
    </w:p>
    <w:p w14:paraId="4BF46945" w14:textId="683713D8" w:rsidR="00C50782" w:rsidRDefault="006F1BAA" w:rsidP="00C50782">
      <w:pPr>
        <w:jc w:val="center"/>
      </w:pPr>
      <w:r>
        <w:rPr>
          <w:noProof/>
        </w:rPr>
        <w:object w:dxaOrig="10891" w:dyaOrig="8731" w14:anchorId="24012D65">
          <v:shape id="_x0000_i1027" type="#_x0000_t75" alt="" style="width:373.35pt;height:299.15pt;mso-width-percent:0;mso-height-percent:0;mso-width-percent:0;mso-height-percent:0" o:ole="">
            <v:imagedata r:id="rId11" o:title=""/>
          </v:shape>
          <o:OLEObject Type="Embed" ProgID="SigmaPlotGraphicObject.11" ShapeID="_x0000_i1027" DrawAspect="Content" ObjectID="_1679160808" r:id="rId12"/>
        </w:object>
      </w:r>
    </w:p>
    <w:p w14:paraId="7A775288" w14:textId="77777777" w:rsidR="00C50782" w:rsidRPr="00FD68FB" w:rsidRDefault="00C50782" w:rsidP="00C50782">
      <w:pPr>
        <w:spacing w:line="360" w:lineRule="auto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sz w:val="20"/>
        </w:rPr>
        <w:t>Fig. S</w:t>
      </w:r>
      <w:r w:rsidR="002D08C3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Soil pH value during the sampling period with five horizontal distribution gradients in two kinds of soil. (</w:t>
      </w:r>
      <w:r>
        <w:rPr>
          <w:rFonts w:ascii="Times New Roman" w:hAnsi="Times New Roman" w:hint="eastAsia"/>
          <w:sz w:val="20"/>
        </w:rPr>
        <w:t>A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 w:hint="eastAsia"/>
          <w:sz w:val="20"/>
        </w:rPr>
        <w:t>GXS</w: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 w:hint="eastAsia"/>
          <w:sz w:val="20"/>
        </w:rPr>
        <w:t>B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 w:hint="eastAsia"/>
          <w:sz w:val="20"/>
        </w:rPr>
        <w:t>HZS</w:t>
      </w:r>
      <w:r>
        <w:rPr>
          <w:rFonts w:ascii="Times New Roman" w:hAnsi="Times New Roman"/>
          <w:sz w:val="20"/>
        </w:rPr>
        <w:t>)</w:t>
      </w:r>
    </w:p>
    <w:p w14:paraId="4EA61CC6" w14:textId="3122684D" w:rsidR="00C50782" w:rsidRDefault="00C50782"/>
    <w:p w14:paraId="1008114A" w14:textId="4814BCA5" w:rsidR="000D4CC9" w:rsidRDefault="006F1BAA" w:rsidP="007A13F9">
      <w:pPr>
        <w:jc w:val="center"/>
        <w:rPr>
          <w:noProof/>
        </w:rPr>
      </w:pPr>
      <w:r>
        <w:rPr>
          <w:noProof/>
        </w:rPr>
        <w:object w:dxaOrig="11100" w:dyaOrig="8800" w14:anchorId="5E95E540">
          <v:shape id="_x0000_i1026" type="#_x0000_t75" alt="" style="width:385.25pt;height:305.05pt;mso-width-percent:0;mso-height-percent:0;mso-width-percent:0;mso-height-percent:0" o:ole="">
            <v:imagedata r:id="rId13" o:title=""/>
          </v:shape>
          <o:OLEObject Type="Embed" ProgID="SigmaPlotGraphicObject.11" ShapeID="_x0000_i1026" DrawAspect="Content" ObjectID="_1679160809" r:id="rId14"/>
        </w:object>
      </w:r>
    </w:p>
    <w:p w14:paraId="690C4F8C" w14:textId="3EF01078" w:rsidR="007A13F9" w:rsidRDefault="006F1BAA" w:rsidP="007A13F9">
      <w:pPr>
        <w:jc w:val="center"/>
        <w:rPr>
          <w:noProof/>
        </w:rPr>
      </w:pPr>
      <w:r>
        <w:rPr>
          <w:noProof/>
        </w:rPr>
        <w:object w:dxaOrig="11100" w:dyaOrig="8800" w14:anchorId="1AB4AAD5">
          <v:shape id="_x0000_i1025" type="#_x0000_t75" alt="" style="width:365.2pt;height:289.5pt;mso-width-percent:0;mso-height-percent:0;mso-width-percent:0;mso-height-percent:0" o:ole="">
            <v:imagedata r:id="rId15" o:title=""/>
          </v:shape>
          <o:OLEObject Type="Embed" ProgID="SigmaPlotGraphicObject.11" ShapeID="_x0000_i1025" DrawAspect="Content" ObjectID="_1679160810" r:id="rId16"/>
        </w:object>
      </w:r>
    </w:p>
    <w:p w14:paraId="68047AEE" w14:textId="360C90A9" w:rsidR="007A13F9" w:rsidRPr="00FD68FB" w:rsidRDefault="007A13F9" w:rsidP="007A13F9">
      <w:pPr>
        <w:spacing w:line="360" w:lineRule="auto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sz w:val="20"/>
        </w:rPr>
        <w:t>Fig. S4 Soil DOC concentrations during the sampling period with five horizontal distribution gradients in two kinds of soil. (</w:t>
      </w:r>
      <w:r>
        <w:rPr>
          <w:rFonts w:ascii="Times New Roman" w:hAnsi="Times New Roman" w:hint="eastAsia"/>
          <w:sz w:val="20"/>
        </w:rPr>
        <w:t>A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 w:hint="eastAsia"/>
          <w:sz w:val="20"/>
        </w:rPr>
        <w:t>GXS</w: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 w:hint="eastAsia"/>
          <w:sz w:val="20"/>
        </w:rPr>
        <w:t>B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 w:hint="eastAsia"/>
          <w:sz w:val="20"/>
        </w:rPr>
        <w:t>HZS</w:t>
      </w:r>
      <w:r>
        <w:rPr>
          <w:rFonts w:ascii="Times New Roman" w:hAnsi="Times New Roman"/>
          <w:sz w:val="20"/>
        </w:rPr>
        <w:t>)</w:t>
      </w:r>
    </w:p>
    <w:p w14:paraId="6C287B06" w14:textId="77777777" w:rsidR="007A13F9" w:rsidRPr="00C50782" w:rsidRDefault="007A13F9"/>
    <w:sectPr w:rsidR="007A13F9" w:rsidRPr="00C50782" w:rsidSect="008E45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82"/>
    <w:rsid w:val="000D4CC9"/>
    <w:rsid w:val="002D08C3"/>
    <w:rsid w:val="0033121B"/>
    <w:rsid w:val="00405820"/>
    <w:rsid w:val="00465A58"/>
    <w:rsid w:val="006F1BAA"/>
    <w:rsid w:val="00793782"/>
    <w:rsid w:val="007A13F9"/>
    <w:rsid w:val="007B24B0"/>
    <w:rsid w:val="008E454E"/>
    <w:rsid w:val="00A17817"/>
    <w:rsid w:val="00AF3F1B"/>
    <w:rsid w:val="00BA7B7D"/>
    <w:rsid w:val="00C26EB1"/>
    <w:rsid w:val="00C50782"/>
    <w:rsid w:val="00E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97B4"/>
  <w15:chartTrackingRefBased/>
  <w15:docId w15:val="{3FFC7759-2761-E141-8D04-9C97FC23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78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A5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0782"/>
    <w:pPr>
      <w:spacing w:line="400" w:lineRule="atLeast"/>
      <w:ind w:firstLineChars="1100" w:firstLine="4840"/>
    </w:pPr>
    <w:rPr>
      <w:kern w:val="0"/>
      <w:sz w:val="20"/>
    </w:rPr>
  </w:style>
  <w:style w:type="character" w:customStyle="1" w:styleId="a4">
    <w:name w:val="正文文本缩进 字符"/>
    <w:basedOn w:val="a0"/>
    <w:link w:val="a3"/>
    <w:uiPriority w:val="99"/>
    <w:semiHidden/>
    <w:rsid w:val="00C50782"/>
    <w:rPr>
      <w:rFonts w:ascii="Calibri" w:eastAsia="宋体" w:hAnsi="Calibri" w:cs="Times New Roman"/>
      <w:kern w:val="0"/>
      <w:sz w:val="20"/>
    </w:rPr>
  </w:style>
  <w:style w:type="character" w:customStyle="1" w:styleId="10">
    <w:name w:val="标题 1 字符"/>
    <w:basedOn w:val="a0"/>
    <w:link w:val="1"/>
    <w:uiPriority w:val="9"/>
    <w:qFormat/>
    <w:rsid w:val="00465A5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2020-08-20T00:11:00Z</dcterms:created>
  <dcterms:modified xsi:type="dcterms:W3CDTF">2021-04-05T12:47:00Z</dcterms:modified>
</cp:coreProperties>
</file>