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B2E5" w14:textId="78411D65" w:rsidR="003C5C0D" w:rsidRDefault="003C5C0D" w:rsidP="003C5C0D">
      <w:pPr>
        <w:spacing w:line="360" w:lineRule="auto"/>
        <w:ind w:left="120" w:hangingChars="50" w:hanging="120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F0159">
        <w:rPr>
          <w:rFonts w:ascii="Arial" w:eastAsia="宋体" w:hAnsi="Arial" w:cs="Arial"/>
          <w:b/>
          <w:bCs/>
          <w:color w:val="00B050"/>
          <w:kern w:val="0"/>
          <w:sz w:val="24"/>
          <w:szCs w:val="24"/>
        </w:rPr>
        <w:t xml:space="preserve">Table </w:t>
      </w:r>
      <w:r>
        <w:rPr>
          <w:rFonts w:ascii="Arial" w:eastAsia="宋体" w:hAnsi="Arial" w:cs="Arial"/>
          <w:b/>
          <w:bCs/>
          <w:color w:val="00B050"/>
          <w:kern w:val="0"/>
          <w:sz w:val="24"/>
          <w:szCs w:val="24"/>
        </w:rPr>
        <w:t>1</w:t>
      </w:r>
      <w:r w:rsidRPr="009F0159">
        <w:rPr>
          <w:rFonts w:ascii="Arial" w:eastAsia="宋体" w:hAnsi="Arial" w:cs="Arial"/>
          <w:color w:val="00B050"/>
          <w:kern w:val="0"/>
          <w:sz w:val="24"/>
          <w:szCs w:val="24"/>
        </w:rPr>
        <w:t xml:space="preserve"> </w:t>
      </w:r>
      <w:r w:rsidRPr="009F015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Details </w:t>
      </w:r>
      <w:r w:rsidR="00BD1730">
        <w:rPr>
          <w:rFonts w:ascii="Arial" w:eastAsia="宋体" w:hAnsi="Arial" w:cs="Arial"/>
          <w:color w:val="000000"/>
          <w:kern w:val="0"/>
          <w:sz w:val="24"/>
          <w:szCs w:val="24"/>
        </w:rPr>
        <w:t>for s</w:t>
      </w:r>
      <w:r w:rsidR="00BD1730" w:rsidRPr="009F015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coring </w:t>
      </w:r>
      <w:r w:rsidRPr="009F015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of the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background immune cell</w:t>
      </w:r>
      <w:r w:rsidR="00BD1730">
        <w:rPr>
          <w:rFonts w:ascii="Arial" w:eastAsia="宋体" w:hAnsi="Arial" w:cs="Arial"/>
          <w:color w:val="000000"/>
          <w:kern w:val="0"/>
          <w:sz w:val="24"/>
          <w:szCs w:val="24"/>
        </w:rPr>
        <w:t>s</w:t>
      </w:r>
      <w:r w:rsidR="00E53FF0">
        <w:rPr>
          <w:rFonts w:ascii="Arial" w:eastAsia="宋体" w:hAnsi="Arial" w:cs="Arial"/>
          <w:color w:val="000000"/>
          <w:kern w:val="0"/>
          <w:sz w:val="24"/>
          <w:szCs w:val="24"/>
        </w:rPr>
        <w:t>(ICs)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="00BD1730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with </w:t>
      </w:r>
      <w:r w:rsidRPr="009F0159">
        <w:rPr>
          <w:rFonts w:ascii="Arial" w:eastAsia="宋体" w:hAnsi="Arial" w:cs="Arial"/>
          <w:color w:val="000000"/>
          <w:kern w:val="0"/>
          <w:sz w:val="24"/>
          <w:szCs w:val="24"/>
        </w:rPr>
        <w:t>associated biomarkers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in CHL </w:t>
      </w:r>
      <w:r w:rsidRPr="009F0159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（</w:t>
      </w:r>
      <w:r w:rsidRPr="009F0159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n=52</w:t>
      </w:r>
      <w:r w:rsidRPr="009F0159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）</w:t>
      </w:r>
    </w:p>
    <w:p w14:paraId="33F574FB" w14:textId="17234931" w:rsidR="001A1048" w:rsidRPr="009F0159" w:rsidRDefault="006161E1" w:rsidP="003C5C0D">
      <w:pPr>
        <w:spacing w:line="360" w:lineRule="auto"/>
        <w:ind w:left="105" w:hangingChars="50" w:hanging="105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FBB9449" wp14:editId="770CF5A5">
            <wp:extent cx="5274310" cy="3823970"/>
            <wp:effectExtent l="0" t="0" r="2540" b="508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A1CA5278-0561-79A0-4D37-B777798EDC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2317"/>
        <w:gridCol w:w="1372"/>
        <w:gridCol w:w="1024"/>
        <w:gridCol w:w="1024"/>
        <w:gridCol w:w="1024"/>
      </w:tblGrid>
      <w:tr w:rsidR="003C5C0D" w:rsidRPr="009F0159" w14:paraId="2A1CF27B" w14:textId="77777777" w:rsidTr="00BD1730">
        <w:trPr>
          <w:trHeight w:val="40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hideMark/>
          </w:tcPr>
          <w:p w14:paraId="41DAAA52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CC4EF4A" w14:textId="7511AA0E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Density and scoring of </w:t>
            </w:r>
            <w:r w:rsidR="00E53F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ICs </w:t>
            </w:r>
            <w:r w:rsidRPr="0006569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cells</w:t>
            </w:r>
          </w:p>
        </w:tc>
      </w:tr>
      <w:tr w:rsidR="003C5C0D" w:rsidRPr="009F0159" w14:paraId="1D7F72B3" w14:textId="77777777" w:rsidTr="00BD1730">
        <w:trPr>
          <w:trHeight w:val="52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38F1141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95C9C6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percentage Range </w:t>
            </w:r>
            <w:r w:rsidRPr="0006569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6A7EA2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Average (</w:t>
            </w:r>
            <w:r w:rsidRPr="0006569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88CE30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06569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5AF042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2+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C018AE" w14:textId="77777777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3+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C5C0D" w:rsidRPr="009F0159" w14:paraId="3BB1CE26" w14:textId="77777777" w:rsidTr="00BD173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D600C4D" w14:textId="6D51BC42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CD4</w:t>
            </w:r>
            <w:r w:rsidR="00BD173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+Ths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8C4C68F" w14:textId="66EBE6B3" w:rsidR="003C5C0D" w:rsidRPr="009F0159" w:rsidRDefault="006161E1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.0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～</w:t>
            </w:r>
            <w:r w:rsidR="003C5C0D"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0021499" w14:textId="725B17D2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</w:t>
            </w:r>
            <w:r w:rsidR="006161E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ADCF159" w14:textId="798024A8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(5.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923ACE9" w14:textId="7CA5016C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(61.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8AD4EB8" w14:textId="3572D3AA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(3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3.3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C5C0D" w:rsidRPr="009F0159" w14:paraId="557A5FDE" w14:textId="77777777" w:rsidTr="00BD1730">
        <w:trPr>
          <w:trHeight w:val="20"/>
          <w:jc w:val="center"/>
        </w:trPr>
        <w:tc>
          <w:tcPr>
            <w:tcW w:w="0" w:type="auto"/>
            <w:hideMark/>
          </w:tcPr>
          <w:p w14:paraId="2F3E5176" w14:textId="51C9B9ED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FOXP3</w:t>
            </w:r>
            <w:r w:rsidR="00BD173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+Tregs</w:t>
            </w:r>
          </w:p>
        </w:tc>
        <w:tc>
          <w:tcPr>
            <w:tcW w:w="0" w:type="auto"/>
            <w:hideMark/>
          </w:tcPr>
          <w:p w14:paraId="04C7E48D" w14:textId="77777777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～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</w:t>
            </w:r>
          </w:p>
        </w:tc>
        <w:tc>
          <w:tcPr>
            <w:tcW w:w="0" w:type="auto"/>
            <w:hideMark/>
          </w:tcPr>
          <w:p w14:paraId="0397B00C" w14:textId="44E5650D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</w:t>
            </w:r>
            <w:r w:rsidR="006161E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6D496006" w14:textId="4F2315DA" w:rsidR="003C5C0D" w:rsidRPr="009F0159" w:rsidRDefault="00B817D5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="003C5C0D"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16.7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32F5B1B4" w14:textId="5F911616" w:rsidR="003C5C0D" w:rsidRPr="009F0159" w:rsidRDefault="00B817D5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  <w:r w:rsidR="003C5C0D"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7.8</w:t>
            </w:r>
            <w:r w:rsidR="003C5C0D"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16AF130C" w14:textId="78745DEF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(5.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C5C0D" w:rsidRPr="009F0159" w14:paraId="0F04D51D" w14:textId="77777777" w:rsidTr="00BD1730">
        <w:trPr>
          <w:trHeight w:val="20"/>
          <w:jc w:val="center"/>
        </w:trPr>
        <w:tc>
          <w:tcPr>
            <w:tcW w:w="0" w:type="auto"/>
            <w:hideMark/>
          </w:tcPr>
          <w:p w14:paraId="52BC9D71" w14:textId="3EDA24FC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CD8</w:t>
            </w:r>
            <w:r w:rsidR="00BD173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D173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CTLs</w:t>
            </w:r>
          </w:p>
        </w:tc>
        <w:tc>
          <w:tcPr>
            <w:tcW w:w="0" w:type="auto"/>
            <w:hideMark/>
          </w:tcPr>
          <w:p w14:paraId="28F0D111" w14:textId="77777777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3.0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～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65.0</w:t>
            </w:r>
          </w:p>
        </w:tc>
        <w:tc>
          <w:tcPr>
            <w:tcW w:w="0" w:type="auto"/>
            <w:hideMark/>
          </w:tcPr>
          <w:p w14:paraId="39914AEC" w14:textId="715AE4C4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</w:t>
            </w:r>
            <w:r w:rsidR="006161E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5F42018" w14:textId="77777777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(1.9)</w:t>
            </w:r>
          </w:p>
        </w:tc>
        <w:tc>
          <w:tcPr>
            <w:tcW w:w="0" w:type="auto"/>
            <w:hideMark/>
          </w:tcPr>
          <w:p w14:paraId="518002D2" w14:textId="2F6D0EAF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(6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3.0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36F924C8" w14:textId="3EC85B9D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(3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5.2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C5C0D" w:rsidRPr="009F0159" w14:paraId="28C390AA" w14:textId="77777777" w:rsidTr="00BD1730">
        <w:trPr>
          <w:trHeight w:val="20"/>
          <w:jc w:val="center"/>
        </w:trPr>
        <w:tc>
          <w:tcPr>
            <w:tcW w:w="0" w:type="auto"/>
            <w:hideMark/>
          </w:tcPr>
          <w:p w14:paraId="477085D0" w14:textId="2965BB96" w:rsidR="003C5C0D" w:rsidRPr="00065699" w:rsidRDefault="003C5C0D" w:rsidP="000D4F1B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CD163</w:t>
            </w:r>
            <w:r w:rsidR="00BD173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+TAMs</w:t>
            </w:r>
            <w:r w:rsidRPr="0006569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42CA52F4" w14:textId="77777777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～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</w:t>
            </w:r>
          </w:p>
        </w:tc>
        <w:tc>
          <w:tcPr>
            <w:tcW w:w="0" w:type="auto"/>
            <w:hideMark/>
          </w:tcPr>
          <w:p w14:paraId="66DD4509" w14:textId="77777777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15.2 </w:t>
            </w:r>
          </w:p>
        </w:tc>
        <w:tc>
          <w:tcPr>
            <w:tcW w:w="0" w:type="auto"/>
            <w:hideMark/>
          </w:tcPr>
          <w:p w14:paraId="51AE67C6" w14:textId="32404148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(2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2.2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2ACFFA49" w14:textId="3BC4F613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(6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3.0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07C196D1" w14:textId="7327A48B" w:rsidR="003C5C0D" w:rsidRPr="009F0159" w:rsidRDefault="003C5C0D" w:rsidP="000D4F1B">
            <w:pPr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F01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(1</w:t>
            </w:r>
            <w:r w:rsidR="00B817D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</w:t>
            </w:r>
            <w:r w:rsidRPr="009F015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14:paraId="2F7F4580" w14:textId="365735FB" w:rsidR="00383FF7" w:rsidRPr="00065699" w:rsidRDefault="00233D65" w:rsidP="00065699">
      <w:pPr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Note</w:t>
      </w:r>
      <w:r>
        <w:rPr>
          <w:rFonts w:ascii="Arial" w:eastAsia="宋体" w:hAnsi="Arial" w:cs="Arial" w:hint="eastAsia"/>
          <w:kern w:val="0"/>
          <w:sz w:val="24"/>
          <w:szCs w:val="24"/>
        </w:rPr>
        <w:t>：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>CD4+</w:t>
      </w:r>
      <w:r w:rsidR="00E53FF0" w:rsidRPr="00E53FF0">
        <w:rPr>
          <w:rFonts w:ascii="Arial" w:eastAsia="OTNEJMQuadraat" w:hAnsi="Arial" w:cs="Arial"/>
          <w:kern w:val="0"/>
          <w:sz w:val="24"/>
          <w:szCs w:val="24"/>
        </w:rPr>
        <w:t xml:space="preserve"> </w:t>
      </w:r>
      <w:proofErr w:type="spellStart"/>
      <w:r w:rsidR="00E53FF0">
        <w:rPr>
          <w:rFonts w:ascii="Arial" w:eastAsia="OTNEJMQuadraat" w:hAnsi="Arial" w:cs="Arial"/>
          <w:kern w:val="0"/>
          <w:sz w:val="24"/>
          <w:szCs w:val="24"/>
        </w:rPr>
        <w:t>Ths</w:t>
      </w:r>
      <w:proofErr w:type="spellEnd"/>
      <w:r w:rsidR="00E53FF0">
        <w:rPr>
          <w:rFonts w:ascii="Arial" w:eastAsia="OTNEJMQuadraat" w:hAnsi="Arial" w:cs="Arial"/>
          <w:kern w:val="0"/>
          <w:sz w:val="24"/>
          <w:szCs w:val="24"/>
        </w:rPr>
        <w:t xml:space="preserve"> 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>(</w:t>
      </w:r>
      <w:r w:rsidR="00E53FF0">
        <w:rPr>
          <w:rFonts w:ascii="Arial" w:eastAsia="OTNEJMQuadraat" w:hAnsi="Arial" w:cs="Arial"/>
          <w:kern w:val="0"/>
          <w:sz w:val="24"/>
          <w:szCs w:val="24"/>
        </w:rPr>
        <w:t>T helper cells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>)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>, CD8+</w:t>
      </w:r>
      <w:r w:rsidR="00E53FF0" w:rsidRPr="00E53FF0">
        <w:rPr>
          <w:rFonts w:ascii="Arial" w:eastAsia="OTNEJMQuadraat" w:hAnsi="Arial" w:cs="Arial"/>
          <w:kern w:val="0"/>
          <w:sz w:val="24"/>
          <w:szCs w:val="24"/>
        </w:rPr>
        <w:t xml:space="preserve"> </w:t>
      </w:r>
      <w:r w:rsidR="00E53FF0">
        <w:rPr>
          <w:rFonts w:ascii="Arial" w:eastAsia="OTNEJMQuadraat" w:hAnsi="Arial" w:cs="Arial"/>
          <w:kern w:val="0"/>
          <w:sz w:val="24"/>
          <w:szCs w:val="24"/>
        </w:rPr>
        <w:t xml:space="preserve">CTLs 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>(</w:t>
      </w:r>
      <w:r w:rsidR="00E53FF0">
        <w:rPr>
          <w:rFonts w:ascii="Arial" w:eastAsia="OTNEJMQuadraat" w:hAnsi="Arial" w:cs="Arial"/>
          <w:kern w:val="0"/>
          <w:sz w:val="24"/>
          <w:szCs w:val="24"/>
        </w:rPr>
        <w:t>cytotoxic T cells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 xml:space="preserve">), 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>FOXP3+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 xml:space="preserve"> regulatory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 xml:space="preserve"> T cells 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 xml:space="preserve">(Tregs) 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>and CD163+</w:t>
      </w:r>
      <w:r w:rsidR="00E53FF0" w:rsidRPr="00E53FF0">
        <w:rPr>
          <w:rFonts w:ascii="Arial" w:eastAsia="OTNEJMQuadraat" w:hAnsi="Arial" w:cs="Arial"/>
          <w:kern w:val="0"/>
          <w:sz w:val="24"/>
          <w:szCs w:val="24"/>
        </w:rPr>
        <w:t xml:space="preserve"> </w:t>
      </w:r>
      <w:r w:rsidR="00E53FF0" w:rsidRPr="006342F7">
        <w:rPr>
          <w:rFonts w:ascii="Arial" w:eastAsia="OTNEJMQuadraat" w:hAnsi="Arial" w:cs="Arial"/>
          <w:kern w:val="0"/>
          <w:sz w:val="24"/>
          <w:szCs w:val="24"/>
        </w:rPr>
        <w:t>TAM</w:t>
      </w:r>
      <w:r w:rsidR="00E53FF0">
        <w:rPr>
          <w:rFonts w:ascii="Arial" w:eastAsia="OTNEJMQuadraat" w:hAnsi="Arial" w:cs="Arial"/>
          <w:kern w:val="0"/>
          <w:sz w:val="24"/>
          <w:szCs w:val="24"/>
        </w:rPr>
        <w:t>s</w:t>
      </w:r>
      <w:r w:rsidR="00BD1730" w:rsidRPr="006342F7">
        <w:rPr>
          <w:rFonts w:ascii="Arial" w:eastAsia="OTNEJMQuadraat" w:hAnsi="Arial" w:cs="Arial"/>
          <w:kern w:val="0"/>
          <w:sz w:val="24"/>
          <w:szCs w:val="24"/>
        </w:rPr>
        <w:t xml:space="preserve"> </w:t>
      </w:r>
      <w:r w:rsidR="00BD1730">
        <w:rPr>
          <w:rFonts w:ascii="Arial" w:eastAsia="OTNEJMQuadraat" w:hAnsi="Arial" w:cs="Arial"/>
          <w:kern w:val="0"/>
          <w:sz w:val="24"/>
          <w:szCs w:val="24"/>
        </w:rPr>
        <w:t>(</w:t>
      </w:r>
      <w:r w:rsidR="00E53FF0">
        <w:rPr>
          <w:rFonts w:ascii="Arial" w:eastAsia="OTNEJMQuadraat" w:hAnsi="Arial" w:cs="Arial"/>
          <w:kern w:val="0"/>
          <w:sz w:val="24"/>
          <w:szCs w:val="24"/>
        </w:rPr>
        <w:t xml:space="preserve">tumor associated macrophages). </w:t>
      </w:r>
      <w:r>
        <w:rPr>
          <w:rFonts w:ascii="Arial" w:eastAsia="宋体" w:hAnsi="Arial" w:cs="Arial" w:hint="eastAsia"/>
          <w:kern w:val="0"/>
          <w:sz w:val="24"/>
          <w:szCs w:val="24"/>
        </w:rPr>
        <w:t>T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he relative percentage of positively stained </w:t>
      </w:r>
      <w:r w:rsidR="00E53FF0">
        <w:rPr>
          <w:rFonts w:ascii="Arial" w:eastAsia="宋体" w:hAnsi="Arial" w:cs="Arial"/>
          <w:kern w:val="0"/>
          <w:sz w:val="24"/>
          <w:szCs w:val="24"/>
        </w:rPr>
        <w:t>IC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>s</w:t>
      </w:r>
      <w:r w:rsidR="00E53FF0">
        <w:rPr>
          <w:rFonts w:ascii="Arial" w:eastAsia="宋体" w:hAnsi="Arial" w:cs="Arial"/>
          <w:kern w:val="0"/>
          <w:sz w:val="24"/>
          <w:szCs w:val="24"/>
        </w:rPr>
        <w:t xml:space="preserve"> by certain makers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in relation to overall cellularity </w:t>
      </w:r>
      <w:r w:rsidR="00E53FF0">
        <w:rPr>
          <w:rFonts w:ascii="Arial" w:eastAsia="宋体" w:hAnsi="Arial" w:cs="Arial"/>
          <w:kern w:val="0"/>
          <w:sz w:val="24"/>
          <w:szCs w:val="24"/>
        </w:rPr>
        <w:t>in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tumor cell regions were </w:t>
      </w:r>
      <w:r w:rsidR="00BB068E">
        <w:rPr>
          <w:rFonts w:ascii="Arial" w:eastAsia="宋体" w:hAnsi="Arial" w:cs="Arial"/>
          <w:kern w:val="0"/>
          <w:sz w:val="24"/>
          <w:szCs w:val="24"/>
        </w:rPr>
        <w:t>calculated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kern w:val="0"/>
          <w:sz w:val="24"/>
          <w:szCs w:val="24"/>
        </w:rPr>
        <w:t>and</w:t>
      </w:r>
      <w:r>
        <w:rPr>
          <w:rFonts w:ascii="Arial" w:eastAsia="宋体" w:hAnsi="Arial" w:cs="Arial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kern w:val="0"/>
          <w:sz w:val="24"/>
          <w:szCs w:val="24"/>
        </w:rPr>
        <w:t>grade</w:t>
      </w:r>
      <w:r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E53FF0" w:rsidRPr="008259A1">
        <w:rPr>
          <w:rFonts w:ascii="Arial" w:eastAsia="宋体" w:hAnsi="Arial" w:cs="Arial"/>
          <w:kern w:val="0"/>
          <w:sz w:val="24"/>
          <w:szCs w:val="24"/>
        </w:rPr>
        <w:t xml:space="preserve">IHC score </w:t>
      </w:r>
      <w:r>
        <w:rPr>
          <w:rFonts w:ascii="Arial" w:eastAsia="宋体" w:hAnsi="Arial" w:cs="Arial" w:hint="eastAsia"/>
          <w:kern w:val="0"/>
          <w:sz w:val="24"/>
          <w:szCs w:val="24"/>
        </w:rPr>
        <w:t>as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>: &lt;5%</w:t>
      </w:r>
      <w:r w:rsidR="00E53FF0">
        <w:rPr>
          <w:rFonts w:ascii="Arial" w:eastAsia="宋体" w:hAnsi="Arial" w:cs="Arial"/>
          <w:kern w:val="0"/>
          <w:sz w:val="24"/>
          <w:szCs w:val="24"/>
        </w:rPr>
        <w:t>=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1</w:t>
      </w:r>
      <w:r w:rsidR="00BB068E">
        <w:rPr>
          <w:rFonts w:ascii="Arial" w:eastAsia="宋体" w:hAnsi="Arial" w:cs="Arial" w:hint="eastAsia"/>
          <w:kern w:val="0"/>
          <w:sz w:val="24"/>
          <w:szCs w:val="24"/>
        </w:rPr>
        <w:t>+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>, 5</w:t>
      </w:r>
      <w:r w:rsidR="00E53FF0">
        <w:rPr>
          <w:rFonts w:ascii="Arial" w:eastAsia="宋体" w:hAnsi="Arial" w:cs="Arial"/>
          <w:kern w:val="0"/>
          <w:sz w:val="24"/>
          <w:szCs w:val="24"/>
        </w:rPr>
        <w:t>%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>-25%</w:t>
      </w:r>
      <w:r w:rsidR="00E53FF0">
        <w:rPr>
          <w:rFonts w:ascii="Arial" w:eastAsia="宋体" w:hAnsi="Arial" w:cs="Arial"/>
          <w:kern w:val="0"/>
          <w:sz w:val="24"/>
          <w:szCs w:val="24"/>
        </w:rPr>
        <w:t>=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score 2</w:t>
      </w:r>
      <w:r w:rsidR="00BB068E">
        <w:rPr>
          <w:rFonts w:ascii="Arial" w:eastAsia="宋体" w:hAnsi="Arial" w:cs="Arial" w:hint="eastAsia"/>
          <w:kern w:val="0"/>
          <w:sz w:val="24"/>
          <w:szCs w:val="24"/>
        </w:rPr>
        <w:t>+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, &gt;25% </w:t>
      </w:r>
      <w:r w:rsidR="00E53FF0">
        <w:rPr>
          <w:rFonts w:ascii="Arial" w:eastAsia="宋体" w:hAnsi="Arial" w:cs="Arial"/>
          <w:kern w:val="0"/>
          <w:sz w:val="24"/>
          <w:szCs w:val="24"/>
        </w:rPr>
        <w:t>=</w:t>
      </w:r>
      <w:r w:rsidR="00BB068E" w:rsidRPr="008259A1">
        <w:rPr>
          <w:rFonts w:ascii="Arial" w:eastAsia="宋体" w:hAnsi="Arial" w:cs="Arial"/>
          <w:kern w:val="0"/>
          <w:sz w:val="24"/>
          <w:szCs w:val="24"/>
        </w:rPr>
        <w:t xml:space="preserve"> score 3</w:t>
      </w:r>
      <w:r w:rsidR="00BB068E">
        <w:rPr>
          <w:rFonts w:ascii="Arial" w:eastAsia="宋体" w:hAnsi="Arial" w:cs="Arial" w:hint="eastAsia"/>
          <w:kern w:val="0"/>
          <w:sz w:val="24"/>
          <w:szCs w:val="24"/>
        </w:rPr>
        <w:t>+</w:t>
      </w:r>
      <w:r w:rsidR="00E53FF0">
        <w:rPr>
          <w:rFonts w:ascii="Arial" w:eastAsia="宋体" w:hAnsi="Arial" w:cs="Arial"/>
          <w:kern w:val="0"/>
          <w:sz w:val="24"/>
          <w:szCs w:val="24"/>
        </w:rPr>
        <w:t>.</w:t>
      </w:r>
    </w:p>
    <w:sectPr w:rsidR="00383FF7" w:rsidRPr="00065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C14" w14:textId="77777777" w:rsidR="00E62202" w:rsidRDefault="00E62202" w:rsidP="003852BD">
      <w:r>
        <w:separator/>
      </w:r>
    </w:p>
  </w:endnote>
  <w:endnote w:type="continuationSeparator" w:id="0">
    <w:p w14:paraId="3DCC9F55" w14:textId="77777777" w:rsidR="00E62202" w:rsidRDefault="00E62202" w:rsidP="003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TNEJMQuadraa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BAEA" w14:textId="77777777" w:rsidR="00E62202" w:rsidRDefault="00E62202" w:rsidP="003852BD">
      <w:r>
        <w:separator/>
      </w:r>
    </w:p>
  </w:footnote>
  <w:footnote w:type="continuationSeparator" w:id="0">
    <w:p w14:paraId="7779478B" w14:textId="77777777" w:rsidR="00E62202" w:rsidRDefault="00E62202" w:rsidP="0038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F7"/>
    <w:rsid w:val="00065699"/>
    <w:rsid w:val="001A1048"/>
    <w:rsid w:val="00233D65"/>
    <w:rsid w:val="002D6451"/>
    <w:rsid w:val="00383FF7"/>
    <w:rsid w:val="003852BD"/>
    <w:rsid w:val="003C5C0D"/>
    <w:rsid w:val="005330E6"/>
    <w:rsid w:val="005D3851"/>
    <w:rsid w:val="006161E1"/>
    <w:rsid w:val="0062596D"/>
    <w:rsid w:val="00660603"/>
    <w:rsid w:val="00695429"/>
    <w:rsid w:val="006C37DF"/>
    <w:rsid w:val="0075496B"/>
    <w:rsid w:val="00966093"/>
    <w:rsid w:val="00B817D5"/>
    <w:rsid w:val="00BB068E"/>
    <w:rsid w:val="00BD1730"/>
    <w:rsid w:val="00C110C9"/>
    <w:rsid w:val="00E53FF0"/>
    <w:rsid w:val="00E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F2613"/>
  <w15:chartTrackingRefBased/>
  <w15:docId w15:val="{CC3922A5-608D-49EF-8D97-E52F60B3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C0D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2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1+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Sheet2!$B$1:$E$1</c:f>
              <c:strCache>
                <c:ptCount val="4"/>
                <c:pt idx="0">
                  <c:v>CD4 </c:v>
                </c:pt>
                <c:pt idx="1">
                  <c:v>FOXP-3 </c:v>
                </c:pt>
                <c:pt idx="2">
                  <c:v>CD8 </c:v>
                </c:pt>
                <c:pt idx="3">
                  <c:v>CD163 </c:v>
                </c:pt>
              </c:strCache>
            </c:strRef>
          </c:cat>
          <c:val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2-4A4B-B307-EF117B20D80A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2+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Sheet2!$B$1:$E$1</c:f>
              <c:strCache>
                <c:ptCount val="4"/>
                <c:pt idx="0">
                  <c:v>CD4 </c:v>
                </c:pt>
                <c:pt idx="1">
                  <c:v>FOXP-3 </c:v>
                </c:pt>
                <c:pt idx="2">
                  <c:v>CD8 </c:v>
                </c:pt>
                <c:pt idx="3">
                  <c:v>CD163 </c:v>
                </c:pt>
              </c:strCache>
            </c:strRef>
          </c:cat>
          <c:val>
            <c:numRef>
              <c:f>Sheet2!$B$3:$E$3</c:f>
              <c:numCache>
                <c:formatCode>General</c:formatCode>
                <c:ptCount val="4"/>
                <c:pt idx="0">
                  <c:v>33</c:v>
                </c:pt>
                <c:pt idx="1">
                  <c:v>42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2-4A4B-B307-EF117B20D80A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3+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Sheet2!$B$1:$E$1</c:f>
              <c:strCache>
                <c:ptCount val="4"/>
                <c:pt idx="0">
                  <c:v>CD4 </c:v>
                </c:pt>
                <c:pt idx="1">
                  <c:v>FOXP-3 </c:v>
                </c:pt>
                <c:pt idx="2">
                  <c:v>CD8 </c:v>
                </c:pt>
                <c:pt idx="3">
                  <c:v>CD163 </c:v>
                </c:pt>
              </c:strCache>
            </c:strRef>
          </c:cat>
          <c:val>
            <c:numRef>
              <c:f>Sheet2!$B$4:$E$4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19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2-4A4B-B307-EF117B20D80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5666928"/>
        <c:axId val="385678160"/>
      </c:barChart>
      <c:catAx>
        <c:axId val="38566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5678160"/>
        <c:crosses val="autoZero"/>
        <c:auto val="1"/>
        <c:lblAlgn val="ctr"/>
        <c:lblOffset val="100"/>
        <c:noMultiLvlLbl val="0"/>
      </c:catAx>
      <c:valAx>
        <c:axId val="38567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566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云飞</dc:creator>
  <cp:keywords/>
  <dc:description/>
  <cp:lastModifiedBy>syf</cp:lastModifiedBy>
  <cp:revision>2</cp:revision>
  <cp:lastPrinted>2022-06-21T15:16:00Z</cp:lastPrinted>
  <dcterms:created xsi:type="dcterms:W3CDTF">2022-07-24T06:28:00Z</dcterms:created>
  <dcterms:modified xsi:type="dcterms:W3CDTF">2022-07-24T06:28:00Z</dcterms:modified>
</cp:coreProperties>
</file>