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09" w:rsidRPr="00474100" w:rsidRDefault="00C44709" w:rsidP="00C44709">
      <w:pPr>
        <w:spacing w:after="0" w:line="48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Online </w:t>
      </w:r>
      <w:r w:rsidRPr="00474100">
        <w:rPr>
          <w:b/>
          <w:u w:val="single"/>
          <w:lang w:val="en-GB"/>
        </w:rPr>
        <w:t>Table 1. Patient and treatment characteristics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44709" w:rsidRPr="005F25BB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patients (%)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or median (range)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Age (years)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70 (54-84)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34 (68%)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16 (32%)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Tumor</w:t>
            </w:r>
            <w:proofErr w:type="spellEnd"/>
            <w:r>
              <w:rPr>
                <w:lang w:val="en-GB"/>
              </w:rPr>
              <w:t xml:space="preserve"> localisation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  Left upper lobe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  Left lower lobe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  Right upper lobe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  Right lower lobe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 (26%)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8 (16%)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19 (38%)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(20%)</w:t>
            </w:r>
          </w:p>
        </w:tc>
      </w:tr>
      <w:tr w:rsidR="00C44709" w:rsidRPr="0040497B" w:rsidTr="00D85C73">
        <w:tc>
          <w:tcPr>
            <w:tcW w:w="3020" w:type="dxa"/>
          </w:tcPr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>T N M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pTis N0 M0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T1a N0 M0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T1b N0 M0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T1c N0 M0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T2a N0 M0</w:t>
            </w:r>
          </w:p>
          <w:p w:rsidR="00C44709" w:rsidRPr="0040497B" w:rsidRDefault="00C44709" w:rsidP="00C44709">
            <w:pPr>
              <w:spacing w:after="0"/>
            </w:pPr>
            <w:r w:rsidRPr="00A81732">
              <w:rPr>
                <w:lang w:val="pt-BR"/>
              </w:rPr>
              <w:t xml:space="preserve">   </w:t>
            </w:r>
            <w:r w:rsidRPr="0040497B">
              <w:t>T2b</w:t>
            </w:r>
            <w:r>
              <w:t xml:space="preserve"> N0 M0</w:t>
            </w:r>
          </w:p>
          <w:p w:rsidR="00C44709" w:rsidRPr="0040497B" w:rsidRDefault="00C44709" w:rsidP="00C44709">
            <w:pPr>
              <w:spacing w:after="0"/>
            </w:pPr>
            <w:r w:rsidRPr="0040497B">
              <w:t xml:space="preserve">   T3</w:t>
            </w:r>
            <w:r>
              <w:t xml:space="preserve"> N0 M0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</w:pPr>
          </w:p>
          <w:p w:rsidR="00C44709" w:rsidRDefault="00C44709" w:rsidP="00C44709">
            <w:pPr>
              <w:spacing w:after="0"/>
            </w:pPr>
            <w:r>
              <w:t>1 (2%)</w:t>
            </w:r>
          </w:p>
          <w:p w:rsidR="00C44709" w:rsidRDefault="00C44709" w:rsidP="00C44709">
            <w:pPr>
              <w:spacing w:after="0"/>
            </w:pPr>
            <w:r>
              <w:t>2 (4%)</w:t>
            </w:r>
          </w:p>
          <w:p w:rsidR="00C44709" w:rsidRDefault="00C44709" w:rsidP="00C44709">
            <w:pPr>
              <w:spacing w:after="0"/>
            </w:pPr>
            <w:r>
              <w:t>16 (32%)</w:t>
            </w:r>
          </w:p>
          <w:p w:rsidR="00C44709" w:rsidRDefault="00C44709" w:rsidP="00C44709">
            <w:pPr>
              <w:spacing w:after="0"/>
            </w:pPr>
            <w:r>
              <w:t>17 (34%)</w:t>
            </w:r>
          </w:p>
          <w:p w:rsidR="00C44709" w:rsidRDefault="00C44709" w:rsidP="00C44709">
            <w:pPr>
              <w:spacing w:after="0"/>
            </w:pPr>
            <w:r>
              <w:t>9 (18%)</w:t>
            </w:r>
          </w:p>
          <w:p w:rsidR="00C44709" w:rsidRDefault="00C44709" w:rsidP="00C44709">
            <w:pPr>
              <w:spacing w:after="0"/>
            </w:pPr>
            <w:r>
              <w:t>3 (6%)</w:t>
            </w:r>
          </w:p>
          <w:p w:rsidR="00C44709" w:rsidRPr="0040497B" w:rsidRDefault="00C44709" w:rsidP="00C44709">
            <w:pPr>
              <w:spacing w:after="0"/>
            </w:pPr>
            <w:r>
              <w:t>2 (4%)</w:t>
            </w:r>
          </w:p>
        </w:tc>
      </w:tr>
      <w:tr w:rsidR="00C44709" w:rsidTr="00D85C73">
        <w:tc>
          <w:tcPr>
            <w:tcW w:w="3020" w:type="dxa"/>
          </w:tcPr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>UICC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0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IA1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IA2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IA3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IB</w:t>
            </w:r>
          </w:p>
          <w:p w:rsidR="00C44709" w:rsidRPr="00A81732" w:rsidRDefault="00C44709" w:rsidP="00C44709">
            <w:pPr>
              <w:spacing w:after="0"/>
              <w:rPr>
                <w:lang w:val="pt-BR"/>
              </w:rPr>
            </w:pPr>
            <w:r w:rsidRPr="00A81732">
              <w:rPr>
                <w:lang w:val="pt-BR"/>
              </w:rPr>
              <w:t xml:space="preserve">   IIA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 w:rsidRPr="00A81732">
              <w:rPr>
                <w:lang w:val="pt-BR"/>
              </w:rPr>
              <w:t xml:space="preserve">   </w:t>
            </w:r>
            <w:r>
              <w:rPr>
                <w:lang w:val="en-GB"/>
              </w:rPr>
              <w:t>IIB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</w:p>
          <w:p w:rsidR="00C44709" w:rsidRDefault="00C44709" w:rsidP="00C44709">
            <w:pPr>
              <w:spacing w:after="0"/>
            </w:pPr>
            <w:r>
              <w:t>1 (2%)</w:t>
            </w:r>
          </w:p>
          <w:p w:rsidR="00C44709" w:rsidRDefault="00C44709" w:rsidP="00C44709">
            <w:pPr>
              <w:spacing w:after="0"/>
            </w:pPr>
            <w:r>
              <w:t>2 (4%)</w:t>
            </w:r>
          </w:p>
          <w:p w:rsidR="00C44709" w:rsidRDefault="00C44709" w:rsidP="00C44709">
            <w:pPr>
              <w:spacing w:after="0"/>
            </w:pPr>
            <w:r>
              <w:t>16 (32%)</w:t>
            </w:r>
          </w:p>
          <w:p w:rsidR="00C44709" w:rsidRDefault="00C44709" w:rsidP="00C44709">
            <w:pPr>
              <w:spacing w:after="0"/>
            </w:pPr>
            <w:r>
              <w:t>17 (34%)</w:t>
            </w:r>
          </w:p>
          <w:p w:rsidR="00C44709" w:rsidRDefault="00C44709" w:rsidP="00C44709">
            <w:pPr>
              <w:spacing w:after="0"/>
            </w:pPr>
            <w:r>
              <w:t>9 (18%)</w:t>
            </w:r>
          </w:p>
          <w:p w:rsidR="00C44709" w:rsidRDefault="00C44709" w:rsidP="00C44709">
            <w:pPr>
              <w:spacing w:after="0"/>
            </w:pPr>
            <w:r>
              <w:t>3 (6%)</w:t>
            </w:r>
          </w:p>
          <w:p w:rsidR="00C44709" w:rsidRPr="00182FC4" w:rsidRDefault="00C44709" w:rsidP="00C44709">
            <w:pPr>
              <w:spacing w:after="0"/>
            </w:pPr>
            <w:r>
              <w:t>2 (4%)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Maximum diameter (mm)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21 (10-58)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FEV1 (</w:t>
            </w:r>
            <w:proofErr w:type="spellStart"/>
            <w:r>
              <w:rPr>
                <w:lang w:val="en-GB"/>
              </w:rPr>
              <w:t>lt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1.3 (0.34-3.4)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COPD 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 yes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 no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37 (74%)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 (26%)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Total dose (</w:t>
            </w:r>
            <w:proofErr w:type="spellStart"/>
            <w:r>
              <w:rPr>
                <w:lang w:val="en-GB"/>
              </w:rPr>
              <w:t>Gy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56.25 (50-66)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BED (</w:t>
            </w:r>
            <w:proofErr w:type="spellStart"/>
            <w:r>
              <w:rPr>
                <w:lang w:val="en-GB"/>
              </w:rPr>
              <w:t>Gy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105 (100-162)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BED D98% (</w:t>
            </w:r>
            <w:proofErr w:type="spellStart"/>
            <w:r>
              <w:rPr>
                <w:lang w:val="en-GB"/>
              </w:rPr>
              <w:t>Gy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107 (90-143)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BED </w:t>
            </w:r>
            <w:proofErr w:type="spellStart"/>
            <w:r>
              <w:rPr>
                <w:lang w:val="en-GB"/>
              </w:rPr>
              <w:t>Dmedian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Gy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123 (111-168)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BED D2% (</w:t>
            </w:r>
            <w:proofErr w:type="spellStart"/>
            <w:r>
              <w:rPr>
                <w:lang w:val="en-GB"/>
              </w:rPr>
              <w:t>Gy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134 (122-216)</w:t>
            </w:r>
          </w:p>
        </w:tc>
      </w:tr>
      <w:tr w:rsidR="00C44709" w:rsidTr="00D85C73">
        <w:tc>
          <w:tcPr>
            <w:tcW w:w="3020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fractions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3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5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8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12</w:t>
            </w:r>
          </w:p>
        </w:tc>
        <w:tc>
          <w:tcPr>
            <w:tcW w:w="3021" w:type="dxa"/>
          </w:tcPr>
          <w:p w:rsidR="00C44709" w:rsidRDefault="00C44709" w:rsidP="00C44709">
            <w:pPr>
              <w:spacing w:after="0"/>
              <w:rPr>
                <w:lang w:val="en-GB"/>
              </w:rPr>
            </w:pP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22 (44%)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6 (12%)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21 (42%)</w:t>
            </w:r>
          </w:p>
          <w:p w:rsidR="00C44709" w:rsidRDefault="00C44709" w:rsidP="00C4470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 (2%)</w:t>
            </w:r>
          </w:p>
        </w:tc>
      </w:tr>
    </w:tbl>
    <w:p w:rsidR="00946891" w:rsidRPr="00C44709" w:rsidRDefault="00C44709" w:rsidP="00C44709">
      <w:pPr>
        <w:spacing w:after="0"/>
        <w:rPr>
          <w:lang w:val="en-GB"/>
        </w:rPr>
      </w:pPr>
      <w:r>
        <w:rPr>
          <w:lang w:val="en-GB"/>
        </w:rPr>
        <w:t xml:space="preserve">UICC: </w:t>
      </w:r>
      <w:r w:rsidRPr="00D02939">
        <w:rPr>
          <w:i/>
          <w:iCs/>
          <w:lang w:val="en-GB"/>
        </w:rPr>
        <w:t>Union for International Cancer Control</w:t>
      </w:r>
      <w:r w:rsidRPr="00CD77F8">
        <w:rPr>
          <w:i/>
          <w:iCs/>
          <w:lang w:val="en-GB"/>
        </w:rPr>
        <w:t xml:space="preserve">, COPD: </w:t>
      </w:r>
      <w:r w:rsidRPr="00D02939">
        <w:rPr>
          <w:lang w:val="en-GB"/>
        </w:rPr>
        <w:t>chronic obstructive pulmonary disease</w:t>
      </w:r>
      <w:r w:rsidRPr="00CD77F8">
        <w:rPr>
          <w:lang w:val="en-GB"/>
        </w:rPr>
        <w:t xml:space="preserve">, FEV1: </w:t>
      </w:r>
      <w:r w:rsidRPr="00D02939">
        <w:rPr>
          <w:lang w:val="en-GB"/>
        </w:rPr>
        <w:t>Forced Expiratory Pressure in 1 Second</w:t>
      </w:r>
      <w:r w:rsidRPr="00CD77F8">
        <w:rPr>
          <w:lang w:val="en-GB"/>
        </w:rPr>
        <w:t xml:space="preserve">, </w:t>
      </w:r>
      <w:r>
        <w:rPr>
          <w:lang w:val="en-GB"/>
        </w:rPr>
        <w:t>SCC: squamous cell carcinoma, BED: biological effective dose D</w:t>
      </w:r>
      <w:proofErr w:type="gramStart"/>
      <w:r>
        <w:rPr>
          <w:lang w:val="en-GB"/>
        </w:rPr>
        <w:t>:dose</w:t>
      </w:r>
      <w:proofErr w:type="gramEnd"/>
      <w:r>
        <w:rPr>
          <w:lang w:val="en-GB"/>
        </w:rPr>
        <w:t xml:space="preserve"> </w:t>
      </w:r>
      <w:bookmarkStart w:id="0" w:name="_GoBack"/>
      <w:bookmarkEnd w:id="0"/>
    </w:p>
    <w:sectPr w:rsidR="00946891" w:rsidRPr="00C44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09"/>
    <w:rsid w:val="00946891"/>
    <w:rsid w:val="00C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7ACA4"/>
  <w15:chartTrackingRefBased/>
  <w15:docId w15:val="{35C43772-153E-4B2B-B1CF-0C25418D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Dr. Eleni Gkika</dc:creator>
  <cp:keywords/>
  <dc:description/>
  <cp:lastModifiedBy>PD Dr. Eleni Gkika</cp:lastModifiedBy>
  <cp:revision>1</cp:revision>
  <dcterms:created xsi:type="dcterms:W3CDTF">2022-06-13T05:46:00Z</dcterms:created>
  <dcterms:modified xsi:type="dcterms:W3CDTF">2022-06-13T05:47:00Z</dcterms:modified>
</cp:coreProperties>
</file>