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ADEC" w14:textId="448862A9" w:rsidR="00201C89" w:rsidRPr="00BA4015" w:rsidRDefault="006E1062">
      <w:pPr>
        <w:rPr>
          <w:b/>
          <w:bCs/>
          <w:sz w:val="24"/>
          <w:szCs w:val="24"/>
          <w:lang w:val="en-US"/>
        </w:rPr>
      </w:pPr>
      <w:r w:rsidRPr="00BA4015">
        <w:rPr>
          <w:b/>
          <w:bCs/>
          <w:sz w:val="24"/>
          <w:szCs w:val="24"/>
          <w:lang w:val="en-US"/>
        </w:rPr>
        <w:t>Supplementary Material</w:t>
      </w:r>
      <w:r w:rsidR="0052034B" w:rsidRPr="00BA4015">
        <w:rPr>
          <w:b/>
          <w:bCs/>
          <w:sz w:val="24"/>
          <w:szCs w:val="24"/>
          <w:lang w:val="en-US"/>
        </w:rPr>
        <w:t xml:space="preserve"> </w:t>
      </w:r>
    </w:p>
    <w:p w14:paraId="13E93E3B" w14:textId="76052117" w:rsidR="006E1062" w:rsidRPr="0052034B" w:rsidRDefault="006E1062">
      <w:pPr>
        <w:rPr>
          <w:b/>
          <w:bCs/>
          <w:lang w:val="en-US"/>
        </w:rPr>
      </w:pPr>
    </w:p>
    <w:p w14:paraId="482D8454" w14:textId="577EC97D" w:rsidR="006E1062" w:rsidRPr="006E1062" w:rsidRDefault="006E1062" w:rsidP="006E1062">
      <w:pPr>
        <w:spacing w:line="480" w:lineRule="auto"/>
        <w:jc w:val="both"/>
        <w:rPr>
          <w:b/>
          <w:bCs/>
          <w:i/>
          <w:iCs/>
          <w:lang w:val="en-US"/>
        </w:rPr>
      </w:pPr>
      <w:r w:rsidRPr="006E1062">
        <w:rPr>
          <w:b/>
          <w:bCs/>
          <w:i/>
          <w:iCs/>
          <w:lang w:val="en-US"/>
        </w:rPr>
        <w:t>Patient case and paraclinical findings</w:t>
      </w:r>
    </w:p>
    <w:p w14:paraId="3DD37062" w14:textId="38162C9C" w:rsidR="006E1062" w:rsidRDefault="006E1062" w:rsidP="006E1062">
      <w:pPr>
        <w:spacing w:line="480" w:lineRule="auto"/>
        <w:jc w:val="both"/>
        <w:rPr>
          <w:lang w:val="en-US"/>
        </w:rPr>
      </w:pPr>
      <w:r w:rsidRPr="006E1062">
        <w:rPr>
          <w:lang w:val="en-US"/>
        </w:rPr>
        <w:t>The patient is a 3-year-old boy of Caucasian ancestry born from parents in a non-consanguineous marriage. He was admitted to hospital and was diagnosed with disseminated varicella infection with possible CNS involvement due to altered consciousness. Lumbar puncture performed after transferal to the tertiary center was without pleocytosis (less than 5 x 10^6 cells/L), showed normal glucose and normal protein content (3.0 mmol/L and 0.24g/L respectively) and was PCR negative for herpes simplex virus (HSV) type 1 and 2, CMV, EBV and VZV in the cerebrospinal fluid (CSF), but activated monocytoid cells were identified. He was treated with intravenous acyclovir and broad</w:t>
      </w:r>
      <w:r w:rsidR="00660934">
        <w:rPr>
          <w:lang w:val="en-US"/>
        </w:rPr>
        <w:t>-</w:t>
      </w:r>
      <w:r w:rsidRPr="006E1062">
        <w:rPr>
          <w:lang w:val="en-US"/>
        </w:rPr>
        <w:t>spectrum antibiotics. Due to extensive and progressive systemic inflammation together with presence of hemophagocytosis in the bone marrow, HLH (based on the 2004 HLH criteria) was diagnosed and treatment according to the HLH-2004 protocol was initiated. A routine clinical immunological evaluation was performed (supplementary table 2) which revealed that the patient has normal perforin levels, normal NK and T cell degranulation as well as normal NK cell cytotoxicity, thus arguing against a defect in cytotoxic lymphocyte function. The patient had decreased concentrations of NK and B cells in whole blood, which most likely could be ascribed as a secondary feature to HLH [32, 33]. Subsequently, WES was performed using a gene panel comprising 291 PID and HLH associated genes, which did not identify any known disease-causing variants. The patient was considered for bone marrow transplantation, due to the concern that primary HLH could be the case despite absence of gene defects related to fHLH. The boy had not previously demonstrated increased susceptibility or severity to infectious diseases and had been following the Danish routine childhood vaccination program, including live MMR vaccination at age 15 months without major side effects. He made a slow but good recovery, was discharged after one month but did not show full remission and required long-standing maintenance therapy. Finally</w:t>
      </w:r>
      <w:r w:rsidR="001B576B">
        <w:rPr>
          <w:lang w:val="en-US"/>
        </w:rPr>
        <w:t>,</w:t>
      </w:r>
      <w:r w:rsidRPr="006E1062">
        <w:rPr>
          <w:lang w:val="en-US"/>
        </w:rPr>
        <w:t xml:space="preserve"> HLH-treatment was discontinued after 40 weeks. But acyclovir was continued for prophylaxis.</w:t>
      </w:r>
    </w:p>
    <w:p w14:paraId="02F7FE79" w14:textId="7EEA1F7A" w:rsidR="00E75DBE" w:rsidRDefault="00E75DBE" w:rsidP="006E1062">
      <w:pPr>
        <w:spacing w:line="480" w:lineRule="auto"/>
        <w:jc w:val="both"/>
        <w:rPr>
          <w:lang w:val="en-US"/>
        </w:rPr>
      </w:pPr>
    </w:p>
    <w:p w14:paraId="273AAF82" w14:textId="77777777" w:rsidR="00DB662A" w:rsidRPr="00BA4015" w:rsidRDefault="00DB662A" w:rsidP="00E75DBE">
      <w:pPr>
        <w:spacing w:line="480" w:lineRule="auto"/>
        <w:jc w:val="both"/>
        <w:rPr>
          <w:b/>
          <w:bCs/>
          <w:sz w:val="24"/>
          <w:szCs w:val="24"/>
          <w:lang w:val="en-US"/>
        </w:rPr>
      </w:pPr>
      <w:r w:rsidRPr="00BA4015">
        <w:rPr>
          <w:b/>
          <w:bCs/>
          <w:sz w:val="24"/>
          <w:szCs w:val="24"/>
          <w:lang w:val="en-US"/>
        </w:rPr>
        <w:lastRenderedPageBreak/>
        <w:t>Full details of material and methods</w:t>
      </w:r>
    </w:p>
    <w:p w14:paraId="71C9FBD5" w14:textId="77777777" w:rsidR="00DB662A" w:rsidRDefault="00DB662A" w:rsidP="00E75DBE">
      <w:pPr>
        <w:spacing w:line="480" w:lineRule="auto"/>
        <w:jc w:val="both"/>
        <w:rPr>
          <w:b/>
          <w:bCs/>
          <w:lang w:val="en-US"/>
        </w:rPr>
      </w:pPr>
    </w:p>
    <w:p w14:paraId="424F12FD" w14:textId="116BDB55" w:rsidR="00E75DBE" w:rsidRPr="00E75DBE" w:rsidRDefault="00E75DBE" w:rsidP="00E75DBE">
      <w:pPr>
        <w:spacing w:line="480" w:lineRule="auto"/>
        <w:jc w:val="both"/>
        <w:rPr>
          <w:b/>
          <w:bCs/>
          <w:lang w:val="en-US"/>
        </w:rPr>
      </w:pPr>
      <w:r w:rsidRPr="00E75DBE">
        <w:rPr>
          <w:b/>
          <w:bCs/>
          <w:lang w:val="en-US"/>
        </w:rPr>
        <w:t>Patient material</w:t>
      </w:r>
    </w:p>
    <w:p w14:paraId="76C67C03" w14:textId="6166C51B" w:rsidR="00E75DBE" w:rsidRDefault="00E75DBE" w:rsidP="00E75DBE">
      <w:pPr>
        <w:spacing w:line="480" w:lineRule="auto"/>
        <w:jc w:val="both"/>
        <w:rPr>
          <w:lang w:val="en-US"/>
        </w:rPr>
      </w:pPr>
      <w:r w:rsidRPr="00E75DBE">
        <w:rPr>
          <w:lang w:val="en-US"/>
        </w:rPr>
        <w:t>Whole blood was collected at hospitalization in EDTA stabilized tubes for DNA purification and after recovery in lithium heparin tubes for peripheral blood mononuclear cell (PBMC) isolation. PBMCs were isolated by Ficoll density gradient centrifugation using SepMate PBMC isolation tubes (Stemcell Technologies, #85460) and frozen down in liquid nitrogen. Control PBMCs were purified from healthy donors after obtaining written consent. Genomic DNA was purified using QIAamp DNA Blood Mini Kit (Qiagen, #51104) according to manufacturer’s instructions.</w:t>
      </w:r>
    </w:p>
    <w:p w14:paraId="3EA475FA" w14:textId="77777777" w:rsidR="0054652A" w:rsidRDefault="0054652A" w:rsidP="00E75DBE">
      <w:pPr>
        <w:spacing w:line="480" w:lineRule="auto"/>
        <w:jc w:val="both"/>
        <w:rPr>
          <w:lang w:val="en-US"/>
        </w:rPr>
      </w:pPr>
    </w:p>
    <w:p w14:paraId="3FB7A551" w14:textId="77777777" w:rsidR="0054652A" w:rsidRPr="0054652A" w:rsidRDefault="0054652A" w:rsidP="0054652A">
      <w:pPr>
        <w:spacing w:line="480" w:lineRule="auto"/>
        <w:jc w:val="both"/>
        <w:rPr>
          <w:b/>
          <w:bCs/>
          <w:lang w:val="en-US"/>
        </w:rPr>
      </w:pPr>
      <w:r w:rsidRPr="0054652A">
        <w:rPr>
          <w:b/>
          <w:bCs/>
          <w:lang w:val="en-US"/>
        </w:rPr>
        <w:t>WES and bioinformatics</w:t>
      </w:r>
    </w:p>
    <w:p w14:paraId="231FEC36" w14:textId="464EC825" w:rsidR="00E75DBE" w:rsidRDefault="0054652A" w:rsidP="0054652A">
      <w:pPr>
        <w:spacing w:line="480" w:lineRule="auto"/>
        <w:jc w:val="both"/>
        <w:rPr>
          <w:lang w:val="en-US"/>
        </w:rPr>
      </w:pPr>
      <w:r w:rsidRPr="0054652A">
        <w:rPr>
          <w:lang w:val="en-US"/>
        </w:rPr>
        <w:t>WES was conducted on genomic DNA from the patient using KAPA HTP library preparation and Nimblegen SeqCap EZ MedExome Plus kits and analyzed with Nextseq version2 chemistry [2 × 150 basepairs] (Ilumina). Single nucleotide polymorphisms were called relative to hg19. Variant call files were uploaded to Ingenuity Variant Analysis (IVA) software (Qiagen) and filtered according to rarity (gnomAD frequency &lt;0.1%) and predicted deleteriousness (Combined Annotation Depletion Dependent (CADD) score &gt; 15 and CADD score &gt; Mutation significance cutoff (MSC) score). In addition, variants were filtered based on their biological relevance using gene lists and broad biological filters in IVA related to VZV, HLH, PID and immune response.</w:t>
      </w:r>
    </w:p>
    <w:p w14:paraId="5761027D" w14:textId="77777777" w:rsidR="0054652A" w:rsidRDefault="0054652A" w:rsidP="0054652A">
      <w:pPr>
        <w:spacing w:line="480" w:lineRule="auto"/>
        <w:jc w:val="both"/>
        <w:rPr>
          <w:lang w:val="en-US"/>
        </w:rPr>
      </w:pPr>
    </w:p>
    <w:p w14:paraId="4E41F1EB" w14:textId="77777777" w:rsidR="00E75DBE" w:rsidRPr="00E75DBE" w:rsidRDefault="00E75DBE" w:rsidP="00E75DBE">
      <w:pPr>
        <w:spacing w:line="480" w:lineRule="auto"/>
        <w:jc w:val="both"/>
        <w:rPr>
          <w:b/>
          <w:bCs/>
          <w:lang w:val="en-US"/>
        </w:rPr>
      </w:pPr>
      <w:r w:rsidRPr="00E75DBE">
        <w:rPr>
          <w:b/>
          <w:bCs/>
          <w:lang w:val="en-US"/>
        </w:rPr>
        <w:t>Sanger sequencing of AMFR</w:t>
      </w:r>
    </w:p>
    <w:p w14:paraId="41687141" w14:textId="4F8334D1" w:rsidR="00E75DBE" w:rsidRDefault="00E75DBE" w:rsidP="00E75DBE">
      <w:pPr>
        <w:spacing w:line="480" w:lineRule="auto"/>
        <w:jc w:val="both"/>
        <w:rPr>
          <w:lang w:val="en-US"/>
        </w:rPr>
      </w:pPr>
      <w:r w:rsidRPr="00E75DBE">
        <w:rPr>
          <w:lang w:val="en-US"/>
        </w:rPr>
        <w:t xml:space="preserve">Genomic AMFR DNA from the patient, and the patient’s mother, father, younger sister and younger brother were amplified by PCR using Phusion Hot Start II DNA polymerase (Thermo Fischer Scientific, #F-594S) and </w:t>
      </w:r>
      <w:r w:rsidRPr="00E75DBE">
        <w:rPr>
          <w:lang w:val="en-US"/>
        </w:rPr>
        <w:lastRenderedPageBreak/>
        <w:t>the following primers: AMFR forward: 5’AAGCTGCTGCTCCATTATCCG-3’ and AMFR reverse 5’-TACCAGCATCAGAGGTAGACCA-3’. The genotype of amplified AMFR was confirmed using Sanger Sequencing with AMFR forward primer.</w:t>
      </w:r>
    </w:p>
    <w:p w14:paraId="7FB6D5D1" w14:textId="77777777" w:rsidR="009C5E89" w:rsidRDefault="009C5E89" w:rsidP="0054652A">
      <w:pPr>
        <w:spacing w:line="480" w:lineRule="auto"/>
        <w:jc w:val="both"/>
        <w:rPr>
          <w:b/>
          <w:bCs/>
          <w:lang w:val="en-US"/>
        </w:rPr>
      </w:pPr>
    </w:p>
    <w:p w14:paraId="74BFB3C1" w14:textId="1ABDD591" w:rsidR="0054652A" w:rsidRPr="0054652A" w:rsidRDefault="0054652A" w:rsidP="0054652A">
      <w:pPr>
        <w:spacing w:line="480" w:lineRule="auto"/>
        <w:jc w:val="both"/>
        <w:rPr>
          <w:b/>
          <w:bCs/>
          <w:lang w:val="en-US"/>
        </w:rPr>
      </w:pPr>
      <w:r w:rsidRPr="0054652A">
        <w:rPr>
          <w:b/>
          <w:bCs/>
          <w:lang w:val="en-US"/>
        </w:rPr>
        <w:t>RNA isolation qRT-PCR</w:t>
      </w:r>
    </w:p>
    <w:p w14:paraId="778E23D8" w14:textId="0EE04E8D" w:rsidR="0054652A" w:rsidRDefault="0054652A" w:rsidP="0054652A">
      <w:pPr>
        <w:spacing w:line="480" w:lineRule="auto"/>
        <w:jc w:val="both"/>
        <w:rPr>
          <w:lang w:val="en-US"/>
        </w:rPr>
      </w:pPr>
      <w:r w:rsidRPr="0054652A">
        <w:rPr>
          <w:lang w:val="en-US"/>
        </w:rPr>
        <w:t>Total RNA was purified using Nucleospin 96 RNA core kit (Macherey-Nagel, #740466.4) and reverse transcribed into cDNA using Iscript™ gDNA Clear cDNA Synthesis Kit (Bio-Rad, #1725035)</w:t>
      </w:r>
      <w:r>
        <w:rPr>
          <w:lang w:val="en-US"/>
        </w:rPr>
        <w:t>.</w:t>
      </w:r>
      <w:r w:rsidRPr="0054652A">
        <w:rPr>
          <w:lang w:val="en-US"/>
        </w:rPr>
        <w:t xml:space="preserve"> This was followed by measurement of GAPDH housekeeping gene levels a</w:t>
      </w:r>
      <w:r>
        <w:rPr>
          <w:lang w:val="en-US"/>
        </w:rPr>
        <w:t>n</w:t>
      </w:r>
      <w:r w:rsidRPr="0054652A">
        <w:rPr>
          <w:lang w:val="en-US"/>
        </w:rPr>
        <w:t>d viral ORF gene induction using SYBRGreen Brilliant III Ultra-Fast SYBR® Green QPCR Master Mix (Agilent, #600882), and the following primers: GAPDH forward: 5’-TCTTTTGCGTCG-3’, GAPDH reverse 5’-ACCAGGCGCCCA-3’, ORF63 forward: 5’-GCGCCGGCATGA-3’, ORF63 reverse: 5’-GACACGAGCCAA-3’; ORF40 forward: 5’-ACTTGGTAACCG3-‘ ORF40 reverse: 5’-CGGGCTACATCA-3’, ORF9 forward: 5’-GGGAGCAGGCGC-3’ and ORF9 reverse: 5’-TTTGGTGCAGTG-3’.</w:t>
      </w:r>
    </w:p>
    <w:p w14:paraId="52996806" w14:textId="77777777" w:rsidR="0054652A" w:rsidRDefault="0054652A" w:rsidP="0054652A">
      <w:pPr>
        <w:spacing w:line="480" w:lineRule="auto"/>
        <w:jc w:val="both"/>
        <w:rPr>
          <w:b/>
          <w:bCs/>
          <w:lang w:val="en-US"/>
        </w:rPr>
      </w:pPr>
    </w:p>
    <w:p w14:paraId="64505E76" w14:textId="3B6FFF14" w:rsidR="0054652A" w:rsidRPr="0054652A" w:rsidRDefault="0054652A" w:rsidP="0054652A">
      <w:pPr>
        <w:spacing w:line="480" w:lineRule="auto"/>
        <w:jc w:val="both"/>
        <w:rPr>
          <w:b/>
          <w:bCs/>
          <w:lang w:val="en-US"/>
        </w:rPr>
      </w:pPr>
      <w:r w:rsidRPr="0054652A">
        <w:rPr>
          <w:b/>
          <w:bCs/>
          <w:lang w:val="en-US"/>
        </w:rPr>
        <w:t>STING immunoprecipitation</w:t>
      </w:r>
    </w:p>
    <w:p w14:paraId="4E322334" w14:textId="7C346078" w:rsidR="0054652A" w:rsidRDefault="0054652A" w:rsidP="0054652A">
      <w:pPr>
        <w:spacing w:line="480" w:lineRule="auto"/>
        <w:jc w:val="both"/>
        <w:rPr>
          <w:lang w:val="en-US"/>
        </w:rPr>
      </w:pPr>
      <w:r w:rsidRPr="0054652A">
        <w:rPr>
          <w:lang w:val="en-US"/>
        </w:rPr>
        <w:t xml:space="preserve">HEK293T cells were seeded at a density of 2.5 *106 cells in 6 cm petri dish and following overnight incubation, transfected with 1 ug of the following plasmids: pcDNA3/FLAG-STING, pRK5/HA-K27-Ubiquitin and pcDNA3/Myc-AMFR WT or pcDNA3/Myc-AMFR R594C. Controls transfected only with FLAG-STING, HA-K27-Ubiquitin and pcDNA3-Empty vector (No AMFR control), or HA-K27-Ubiquitin, AMFR WT and FLAG-Empty vector (No STING control) were included. Cells were lysed 24 hrs post transfection in Pierce IP lysis buffer (Thermo Fischer Scientific, #8788) supplemented with 1x protease inhibitor cocktail (Roche, #05.892.970.001) and 1x PhosSTOP cocktail (Roche, #04.906.837.001) for 1 hr at 4°C with rotation and centrifuged for 10 min at 1400 x g at 4°C. Lysates were then incubated with FLAG M2 Dynabeads (Sigma, # M8823) for 1.5 hrs at room temperature, washed 3 times in TBS with 0.05% Tween20 and phosphatase </w:t>
      </w:r>
      <w:r w:rsidRPr="0054652A">
        <w:rPr>
          <w:lang w:val="en-US"/>
        </w:rPr>
        <w:lastRenderedPageBreak/>
        <w:t>inhibitors (TBS-T+) and incubated with 3XFLAG peptide (Sigma Aldrich) for 15 min at room temperature to elute STING. Then, eluents were denatured by boiling for 5 min at 95°C in the presence of 1% sodium dodecyl sulphate (SDS) after which samples were diluted in lysis buffer with protease-, phosphatase-, and deubiquinitylating enzyme inhibitiors (Merck, #662141) and incubated overnight at 4°C with FLAG M2 Dynabeads. Finally, samples were washed three times in TBS-T and FLAG-STING eluted by boiling the samples in Laemmeli concentrate Sample buffer (Sigma, #S3401-10VL) at 95 °C for 10 min. Lastly, samples were immunoblotted for expression of FLAG-STING, Myc-AMFR and HA-Ubiquitin.</w:t>
      </w:r>
    </w:p>
    <w:p w14:paraId="5B835753" w14:textId="77777777" w:rsidR="00DB662A" w:rsidRDefault="00DB662A" w:rsidP="00DB662A">
      <w:pPr>
        <w:spacing w:line="480" w:lineRule="auto"/>
        <w:jc w:val="both"/>
        <w:rPr>
          <w:b/>
          <w:bCs/>
          <w:lang w:val="en-US"/>
        </w:rPr>
      </w:pPr>
    </w:p>
    <w:p w14:paraId="3534AFD0" w14:textId="0065C6AC" w:rsidR="00DB662A" w:rsidRPr="00DB662A" w:rsidRDefault="00DB662A" w:rsidP="00DB662A">
      <w:pPr>
        <w:spacing w:line="480" w:lineRule="auto"/>
        <w:jc w:val="both"/>
        <w:rPr>
          <w:b/>
          <w:bCs/>
          <w:lang w:val="en-US"/>
        </w:rPr>
      </w:pPr>
      <w:r w:rsidRPr="00DB662A">
        <w:rPr>
          <w:b/>
          <w:bCs/>
          <w:lang w:val="en-US"/>
        </w:rPr>
        <w:t>Western blotting</w:t>
      </w:r>
    </w:p>
    <w:p w14:paraId="41499973" w14:textId="0D03590E" w:rsidR="00DB662A" w:rsidRPr="00DB662A" w:rsidRDefault="00DB662A" w:rsidP="00DB662A">
      <w:pPr>
        <w:spacing w:line="480" w:lineRule="auto"/>
        <w:jc w:val="both"/>
        <w:rPr>
          <w:lang w:val="en-US"/>
        </w:rPr>
      </w:pPr>
      <w:r w:rsidRPr="00DB662A">
        <w:rPr>
          <w:lang w:val="en-US"/>
        </w:rPr>
        <w:t>For PMBC stimulations, cells were washed twice with PBS and lysed in RIPA buffer (Thermo Fischer Scientific, #89901) supplemented with Halt Protease and Phosphatase Inhibitor Cocktail (Thermo Fischer Scientific, #78440) and Benzonase Nuclease (Sigma Aldrich, #E1014-25KU). Protein concentrations were measured using Pierce BCA protein Assay Kit (Thermo Scientific, #23227) and cell lysates were denatured at 95</w:t>
      </w:r>
      <w:r w:rsidRPr="00DB662A">
        <w:rPr>
          <w:lang w:val="en-US"/>
        </w:rPr>
        <w:t>C for 5 min with 50 mM DTT (Sigma Aldrich, #43816-10ML) and 4xLaemmli buffer (Bio-rad, #1610747). Samples were subjected to SDS gel electrophoresis and transferred to a PVDF-membrane using the Transfer-Blot Turbo systems. The membrane was blocked in 5% skimmed milk in PBS-T or TBS-T for 1 hour, followed by incubation overnight at 4</w:t>
      </w:r>
      <w:r w:rsidRPr="00DB662A">
        <w:rPr>
          <w:lang w:val="en-US"/>
        </w:rPr>
        <w:t>C with primary antibodies against: STING (Cell Signaling, #13647S, 1:1000), phospho-STING (Cell Signaling, #19781S, 1:1000), TBK1 (Cell signaling, #3013S 1:1000), phospho-TBK1 (Cell Signaling, #5483S, 1:1000), IRF3 (Cell signaling, #11904S,  1:1000), phospho-IRF3 (Cell Signaling, #4947S, 1:1000), ISG15 (Cell signaling, #2758S, 1:1000), Vinculin (Cell signaling, #13901S, 1:2000), AMFR (Proteintech, #16674-1-ap) FLAG-Tag (Cell signaling, #17793S, 1:500), Myc-Tag (Cell Signaling, #2278S, 1:1000) or HA-Tag (Cell Signaling, #3724S, 1:1000). Primary antibodies were visualized using secoundary horseradish-peroxidase-coupled anti-rabbit or anti-mouse antibodies (Jackson ImmunoResearch, #715-036-150, #711-035-152) at 1:10.000 on ChemiDoc gel imaging system (Bio-rad).</w:t>
      </w:r>
    </w:p>
    <w:p w14:paraId="71CCC71A" w14:textId="6A355EF8" w:rsidR="0052034B" w:rsidRPr="00BA4015" w:rsidRDefault="00B119D0" w:rsidP="0052034B">
      <w:pPr>
        <w:spacing w:line="480" w:lineRule="auto"/>
        <w:jc w:val="both"/>
        <w:rPr>
          <w:b/>
          <w:sz w:val="24"/>
          <w:szCs w:val="24"/>
          <w:lang w:val="en-US"/>
        </w:rPr>
      </w:pPr>
      <w:r w:rsidRPr="00BA4015">
        <w:rPr>
          <w:b/>
          <w:sz w:val="24"/>
          <w:szCs w:val="24"/>
          <w:lang w:val="en-US"/>
        </w:rPr>
        <w:lastRenderedPageBreak/>
        <w:t>Supplementary Results</w:t>
      </w:r>
    </w:p>
    <w:tbl>
      <w:tblPr>
        <w:tblStyle w:val="Tabel-Gitter"/>
        <w:tblW w:w="8952" w:type="dxa"/>
        <w:tblLayout w:type="fixed"/>
        <w:tblLook w:val="04A0" w:firstRow="1" w:lastRow="0" w:firstColumn="1" w:lastColumn="0" w:noHBand="0" w:noVBand="1"/>
      </w:tblPr>
      <w:tblGrid>
        <w:gridCol w:w="988"/>
        <w:gridCol w:w="1490"/>
        <w:gridCol w:w="1628"/>
        <w:gridCol w:w="1148"/>
        <w:gridCol w:w="882"/>
        <w:gridCol w:w="969"/>
        <w:gridCol w:w="853"/>
        <w:gridCol w:w="994"/>
      </w:tblGrid>
      <w:tr w:rsidR="0052034B" w14:paraId="02DB86AD" w14:textId="77777777" w:rsidTr="00D24145">
        <w:trPr>
          <w:trHeight w:val="451"/>
        </w:trPr>
        <w:tc>
          <w:tcPr>
            <w:tcW w:w="988" w:type="dxa"/>
          </w:tcPr>
          <w:p w14:paraId="57FF28A1" w14:textId="77777777" w:rsidR="0052034B" w:rsidRPr="001C32D9" w:rsidRDefault="0052034B" w:rsidP="00D24145">
            <w:pPr>
              <w:spacing w:line="260" w:lineRule="exact"/>
              <w:contextualSpacing/>
              <w:rPr>
                <w:b/>
                <w:sz w:val="16"/>
                <w:lang w:val="en-US"/>
              </w:rPr>
            </w:pPr>
            <w:r w:rsidRPr="001C32D9">
              <w:rPr>
                <w:rFonts w:ascii="Calibri" w:hAnsi="Calibri" w:cs="Calibri"/>
                <w:b/>
                <w:sz w:val="16"/>
              </w:rPr>
              <w:t>Gene</w:t>
            </w:r>
          </w:p>
        </w:tc>
        <w:tc>
          <w:tcPr>
            <w:tcW w:w="1490" w:type="dxa"/>
          </w:tcPr>
          <w:p w14:paraId="72C68FD0" w14:textId="77777777" w:rsidR="0052034B" w:rsidRPr="001C32D9" w:rsidRDefault="0052034B" w:rsidP="00D24145">
            <w:pPr>
              <w:spacing w:line="260" w:lineRule="exact"/>
              <w:contextualSpacing/>
              <w:rPr>
                <w:b/>
                <w:sz w:val="16"/>
                <w:lang w:val="en-US"/>
              </w:rPr>
            </w:pPr>
            <w:r w:rsidRPr="001C32D9">
              <w:rPr>
                <w:rFonts w:ascii="Calibri" w:hAnsi="Calibri" w:cs="Calibri"/>
                <w:b/>
                <w:sz w:val="16"/>
              </w:rPr>
              <w:t>Transcript ID</w:t>
            </w:r>
          </w:p>
        </w:tc>
        <w:tc>
          <w:tcPr>
            <w:tcW w:w="1628" w:type="dxa"/>
          </w:tcPr>
          <w:p w14:paraId="46880AE9" w14:textId="77777777" w:rsidR="0052034B" w:rsidRPr="001C32D9" w:rsidRDefault="0052034B" w:rsidP="00D24145">
            <w:pPr>
              <w:spacing w:line="260" w:lineRule="exact"/>
              <w:contextualSpacing/>
              <w:rPr>
                <w:b/>
                <w:sz w:val="16"/>
                <w:lang w:val="en-US"/>
              </w:rPr>
            </w:pPr>
            <w:r w:rsidRPr="001C32D9">
              <w:rPr>
                <w:rFonts w:ascii="Calibri" w:hAnsi="Calibri" w:cs="Calibri"/>
                <w:b/>
                <w:sz w:val="16"/>
              </w:rPr>
              <w:t>Transcript Variant; Protein Variant</w:t>
            </w:r>
          </w:p>
        </w:tc>
        <w:tc>
          <w:tcPr>
            <w:tcW w:w="1148" w:type="dxa"/>
          </w:tcPr>
          <w:p w14:paraId="6C17594B" w14:textId="77777777" w:rsidR="0052034B" w:rsidRPr="001C32D9" w:rsidRDefault="0052034B" w:rsidP="00D24145">
            <w:pPr>
              <w:spacing w:line="260" w:lineRule="exact"/>
              <w:contextualSpacing/>
              <w:rPr>
                <w:b/>
                <w:sz w:val="16"/>
                <w:lang w:val="en-US"/>
              </w:rPr>
            </w:pPr>
            <w:r w:rsidRPr="001C32D9">
              <w:rPr>
                <w:rFonts w:ascii="Calibri" w:hAnsi="Calibri" w:cs="Calibri"/>
                <w:b/>
                <w:sz w:val="16"/>
              </w:rPr>
              <w:t>Translationalimpact</w:t>
            </w:r>
          </w:p>
        </w:tc>
        <w:tc>
          <w:tcPr>
            <w:tcW w:w="882" w:type="dxa"/>
          </w:tcPr>
          <w:p w14:paraId="56C98B7B" w14:textId="77777777" w:rsidR="0052034B" w:rsidRPr="001C32D9" w:rsidRDefault="0052034B" w:rsidP="00D24145">
            <w:pPr>
              <w:spacing w:line="260" w:lineRule="exact"/>
              <w:contextualSpacing/>
              <w:rPr>
                <w:b/>
                <w:sz w:val="16"/>
                <w:lang w:val="en-US"/>
              </w:rPr>
            </w:pPr>
            <w:r w:rsidRPr="001C32D9">
              <w:rPr>
                <w:rFonts w:ascii="Calibri" w:hAnsi="Calibri" w:cs="Calibri"/>
                <w:b/>
                <w:sz w:val="16"/>
              </w:rPr>
              <w:t>CADD; MSC scores</w:t>
            </w:r>
          </w:p>
        </w:tc>
        <w:tc>
          <w:tcPr>
            <w:tcW w:w="969" w:type="dxa"/>
          </w:tcPr>
          <w:p w14:paraId="0CF8C3A1" w14:textId="77777777" w:rsidR="0052034B" w:rsidRPr="001C32D9" w:rsidRDefault="0052034B" w:rsidP="00D24145">
            <w:pPr>
              <w:spacing w:line="260" w:lineRule="exact"/>
              <w:contextualSpacing/>
              <w:rPr>
                <w:b/>
                <w:sz w:val="16"/>
                <w:lang w:val="en-US"/>
              </w:rPr>
            </w:pPr>
            <w:r w:rsidRPr="001C32D9">
              <w:rPr>
                <w:rFonts w:ascii="Calibri" w:hAnsi="Calibri" w:cs="Calibri"/>
                <w:b/>
                <w:sz w:val="16"/>
              </w:rPr>
              <w:t>SIFT Function Prediction</w:t>
            </w:r>
          </w:p>
        </w:tc>
        <w:tc>
          <w:tcPr>
            <w:tcW w:w="853" w:type="dxa"/>
          </w:tcPr>
          <w:p w14:paraId="3E75B814" w14:textId="77777777" w:rsidR="0052034B" w:rsidRPr="001C32D9" w:rsidRDefault="0052034B" w:rsidP="00D24145">
            <w:pPr>
              <w:spacing w:line="260" w:lineRule="exact"/>
              <w:contextualSpacing/>
              <w:rPr>
                <w:b/>
                <w:sz w:val="16"/>
                <w:lang w:val="en-US"/>
              </w:rPr>
            </w:pPr>
            <w:r w:rsidRPr="001C32D9">
              <w:rPr>
                <w:rFonts w:ascii="Calibri" w:hAnsi="Calibri" w:cs="Calibri"/>
                <w:b/>
                <w:sz w:val="16"/>
              </w:rPr>
              <w:t>gnomAD frequency (%)</w:t>
            </w:r>
          </w:p>
        </w:tc>
        <w:tc>
          <w:tcPr>
            <w:tcW w:w="994" w:type="dxa"/>
          </w:tcPr>
          <w:p w14:paraId="4523A0C5" w14:textId="77777777" w:rsidR="0052034B" w:rsidRPr="001C32D9" w:rsidRDefault="0052034B" w:rsidP="00D24145">
            <w:pPr>
              <w:spacing w:line="260" w:lineRule="exact"/>
              <w:contextualSpacing/>
              <w:rPr>
                <w:b/>
                <w:sz w:val="16"/>
                <w:lang w:val="en-US"/>
              </w:rPr>
            </w:pPr>
            <w:r w:rsidRPr="001C32D9">
              <w:rPr>
                <w:rFonts w:ascii="Calibri" w:hAnsi="Calibri" w:cs="Calibri"/>
                <w:b/>
                <w:sz w:val="16"/>
              </w:rPr>
              <w:t>dsSNP ID</w:t>
            </w:r>
          </w:p>
        </w:tc>
      </w:tr>
      <w:tr w:rsidR="0052034B" w14:paraId="1463B3AE" w14:textId="77777777" w:rsidTr="00D24145">
        <w:trPr>
          <w:trHeight w:val="239"/>
        </w:trPr>
        <w:tc>
          <w:tcPr>
            <w:tcW w:w="988" w:type="dxa"/>
          </w:tcPr>
          <w:p w14:paraId="3ACA5DE9" w14:textId="77777777" w:rsidR="0052034B" w:rsidRPr="001C32D9" w:rsidRDefault="0052034B" w:rsidP="00D24145">
            <w:pPr>
              <w:spacing w:line="260" w:lineRule="exact"/>
              <w:contextualSpacing/>
              <w:rPr>
                <w:b/>
                <w:i/>
                <w:iCs/>
                <w:sz w:val="16"/>
                <w:lang w:val="en-US"/>
              </w:rPr>
            </w:pPr>
            <w:r w:rsidRPr="001C32D9">
              <w:rPr>
                <w:rFonts w:ascii="Calibri" w:hAnsi="Calibri" w:cs="Calibri"/>
                <w:b/>
                <w:i/>
                <w:iCs/>
                <w:sz w:val="16"/>
              </w:rPr>
              <w:t>ECM1</w:t>
            </w:r>
          </w:p>
        </w:tc>
        <w:tc>
          <w:tcPr>
            <w:tcW w:w="1490" w:type="dxa"/>
          </w:tcPr>
          <w:p w14:paraId="00817CEE" w14:textId="77777777" w:rsidR="0052034B" w:rsidRPr="001C32D9" w:rsidRDefault="0052034B" w:rsidP="00D24145">
            <w:pPr>
              <w:spacing w:line="260" w:lineRule="exact"/>
              <w:contextualSpacing/>
              <w:rPr>
                <w:b/>
                <w:sz w:val="16"/>
                <w:lang w:val="en-US"/>
              </w:rPr>
            </w:pPr>
            <w:r w:rsidRPr="001C32D9">
              <w:rPr>
                <w:rFonts w:ascii="Calibri" w:hAnsi="Calibri" w:cs="Calibri"/>
                <w:sz w:val="16"/>
              </w:rPr>
              <w:t xml:space="preserve">NM_004425.4; </w:t>
            </w:r>
          </w:p>
        </w:tc>
        <w:tc>
          <w:tcPr>
            <w:tcW w:w="1628" w:type="dxa"/>
          </w:tcPr>
          <w:p w14:paraId="02A2734F" w14:textId="77777777" w:rsidR="0052034B" w:rsidRPr="001C32D9" w:rsidRDefault="0052034B" w:rsidP="00D24145">
            <w:pPr>
              <w:spacing w:line="260" w:lineRule="exact"/>
              <w:contextualSpacing/>
              <w:rPr>
                <w:b/>
                <w:sz w:val="16"/>
                <w:lang w:val="en-US"/>
              </w:rPr>
            </w:pPr>
            <w:r w:rsidRPr="001C32D9">
              <w:rPr>
                <w:rFonts w:ascii="Calibri" w:hAnsi="Calibri" w:cs="Calibri"/>
                <w:sz w:val="16"/>
              </w:rPr>
              <w:t>c.135_136insGC; p.P46fs*133</w:t>
            </w:r>
          </w:p>
        </w:tc>
        <w:tc>
          <w:tcPr>
            <w:tcW w:w="1148" w:type="dxa"/>
          </w:tcPr>
          <w:p w14:paraId="2D2E3DB2" w14:textId="77777777" w:rsidR="0052034B" w:rsidRPr="001C32D9" w:rsidRDefault="0052034B" w:rsidP="00D24145">
            <w:pPr>
              <w:spacing w:line="260" w:lineRule="exact"/>
              <w:contextualSpacing/>
              <w:rPr>
                <w:b/>
                <w:sz w:val="16"/>
                <w:lang w:val="en-US"/>
              </w:rPr>
            </w:pPr>
            <w:r w:rsidRPr="001C32D9">
              <w:rPr>
                <w:rFonts w:ascii="Calibri" w:hAnsi="Calibri" w:cs="Calibri"/>
                <w:sz w:val="16"/>
              </w:rPr>
              <w:t>frameshift</w:t>
            </w:r>
          </w:p>
        </w:tc>
        <w:tc>
          <w:tcPr>
            <w:tcW w:w="882" w:type="dxa"/>
          </w:tcPr>
          <w:p w14:paraId="6201AA24" w14:textId="77777777" w:rsidR="0052034B" w:rsidRPr="001C32D9" w:rsidRDefault="0052034B" w:rsidP="00D24145">
            <w:pPr>
              <w:spacing w:line="260" w:lineRule="exact"/>
              <w:contextualSpacing/>
              <w:rPr>
                <w:b/>
                <w:sz w:val="16"/>
                <w:lang w:val="en-US"/>
              </w:rPr>
            </w:pPr>
            <w:r w:rsidRPr="001C32D9">
              <w:rPr>
                <w:rFonts w:ascii="Calibri" w:hAnsi="Calibri" w:cs="Calibri"/>
                <w:sz w:val="16"/>
              </w:rPr>
              <w:t>24.800; 0.001</w:t>
            </w:r>
          </w:p>
        </w:tc>
        <w:tc>
          <w:tcPr>
            <w:tcW w:w="969" w:type="dxa"/>
          </w:tcPr>
          <w:p w14:paraId="74E91BC7" w14:textId="77777777" w:rsidR="0052034B" w:rsidRPr="001C32D9" w:rsidRDefault="0052034B" w:rsidP="00D24145">
            <w:pPr>
              <w:spacing w:line="260" w:lineRule="exact"/>
              <w:contextualSpacing/>
              <w:rPr>
                <w:b/>
                <w:sz w:val="16"/>
                <w:lang w:val="en-US"/>
              </w:rPr>
            </w:pPr>
            <w:r w:rsidRPr="001C32D9">
              <w:rPr>
                <w:rFonts w:ascii="Calibri" w:hAnsi="Calibri" w:cs="Calibri"/>
                <w:sz w:val="16"/>
              </w:rPr>
              <w:t> NA</w:t>
            </w:r>
          </w:p>
        </w:tc>
        <w:tc>
          <w:tcPr>
            <w:tcW w:w="853" w:type="dxa"/>
          </w:tcPr>
          <w:p w14:paraId="2DDB8AA5" w14:textId="77777777" w:rsidR="0052034B" w:rsidRPr="001C32D9" w:rsidRDefault="0052034B" w:rsidP="00D24145">
            <w:pPr>
              <w:spacing w:line="260" w:lineRule="exact"/>
              <w:contextualSpacing/>
              <w:rPr>
                <w:b/>
                <w:sz w:val="16"/>
                <w:lang w:val="en-US"/>
              </w:rPr>
            </w:pPr>
            <w:r w:rsidRPr="001C32D9">
              <w:rPr>
                <w:rFonts w:ascii="Calibri" w:hAnsi="Calibri" w:cs="Calibri"/>
                <w:sz w:val="16"/>
              </w:rPr>
              <w:t> -</w:t>
            </w:r>
          </w:p>
        </w:tc>
        <w:tc>
          <w:tcPr>
            <w:tcW w:w="994" w:type="dxa"/>
          </w:tcPr>
          <w:p w14:paraId="5A629E67" w14:textId="77777777" w:rsidR="0052034B" w:rsidRPr="001C32D9" w:rsidRDefault="0052034B" w:rsidP="00D24145">
            <w:pPr>
              <w:spacing w:line="260" w:lineRule="exact"/>
              <w:contextualSpacing/>
              <w:rPr>
                <w:b/>
                <w:sz w:val="16"/>
                <w:lang w:val="en-US"/>
              </w:rPr>
            </w:pPr>
            <w:r w:rsidRPr="001C32D9">
              <w:rPr>
                <w:rFonts w:ascii="Calibri" w:hAnsi="Calibri" w:cs="Calibri"/>
                <w:sz w:val="16"/>
              </w:rPr>
              <w:t> -</w:t>
            </w:r>
          </w:p>
        </w:tc>
      </w:tr>
      <w:tr w:rsidR="0052034B" w14:paraId="528C5EFC" w14:textId="77777777" w:rsidTr="00D24145">
        <w:trPr>
          <w:trHeight w:val="177"/>
        </w:trPr>
        <w:tc>
          <w:tcPr>
            <w:tcW w:w="988" w:type="dxa"/>
          </w:tcPr>
          <w:p w14:paraId="4FF0E104" w14:textId="77777777" w:rsidR="0052034B" w:rsidRPr="001C32D9" w:rsidRDefault="0052034B" w:rsidP="00D24145">
            <w:pPr>
              <w:spacing w:line="260" w:lineRule="exact"/>
              <w:contextualSpacing/>
              <w:rPr>
                <w:b/>
                <w:i/>
                <w:iCs/>
                <w:sz w:val="16"/>
                <w:lang w:val="en-US"/>
              </w:rPr>
            </w:pPr>
            <w:r w:rsidRPr="001C32D9">
              <w:rPr>
                <w:rFonts w:ascii="Calibri" w:hAnsi="Calibri" w:cs="Calibri"/>
                <w:b/>
                <w:i/>
                <w:iCs/>
                <w:sz w:val="16"/>
              </w:rPr>
              <w:t>ITGB8</w:t>
            </w:r>
          </w:p>
        </w:tc>
        <w:tc>
          <w:tcPr>
            <w:tcW w:w="1490" w:type="dxa"/>
          </w:tcPr>
          <w:p w14:paraId="66F5493E" w14:textId="77777777" w:rsidR="0052034B" w:rsidRPr="001C32D9" w:rsidRDefault="0052034B" w:rsidP="00D24145">
            <w:pPr>
              <w:spacing w:line="260" w:lineRule="exact"/>
              <w:contextualSpacing/>
              <w:rPr>
                <w:b/>
                <w:sz w:val="16"/>
                <w:lang w:val="en-US"/>
              </w:rPr>
            </w:pPr>
            <w:r w:rsidRPr="001C32D9">
              <w:rPr>
                <w:rFonts w:ascii="Calibri" w:hAnsi="Calibri" w:cs="Calibri"/>
                <w:sz w:val="16"/>
              </w:rPr>
              <w:t>NM_002214.3</w:t>
            </w:r>
          </w:p>
        </w:tc>
        <w:tc>
          <w:tcPr>
            <w:tcW w:w="1628" w:type="dxa"/>
          </w:tcPr>
          <w:p w14:paraId="6B07B3DA" w14:textId="77777777" w:rsidR="0052034B" w:rsidRPr="001C32D9" w:rsidRDefault="0052034B" w:rsidP="00D24145">
            <w:pPr>
              <w:spacing w:line="260" w:lineRule="exact"/>
              <w:contextualSpacing/>
              <w:rPr>
                <w:b/>
                <w:sz w:val="16"/>
                <w:lang w:val="en-US"/>
              </w:rPr>
            </w:pPr>
            <w:r w:rsidRPr="001C32D9">
              <w:rPr>
                <w:rFonts w:ascii="Calibri" w:hAnsi="Calibri" w:cs="Calibri"/>
                <w:sz w:val="16"/>
              </w:rPr>
              <w:t>c.1198T&gt;G; p.Y400D</w:t>
            </w:r>
          </w:p>
        </w:tc>
        <w:tc>
          <w:tcPr>
            <w:tcW w:w="1148" w:type="dxa"/>
          </w:tcPr>
          <w:p w14:paraId="218B945B" w14:textId="77777777" w:rsidR="0052034B" w:rsidRPr="001C32D9" w:rsidRDefault="0052034B" w:rsidP="00D24145">
            <w:pPr>
              <w:spacing w:line="260" w:lineRule="exact"/>
              <w:contextualSpacing/>
              <w:rPr>
                <w:b/>
                <w:sz w:val="16"/>
                <w:lang w:val="en-US"/>
              </w:rPr>
            </w:pPr>
            <w:r w:rsidRPr="001C32D9">
              <w:rPr>
                <w:rFonts w:ascii="Calibri" w:hAnsi="Calibri" w:cs="Calibri"/>
                <w:sz w:val="16"/>
              </w:rPr>
              <w:t>missense</w:t>
            </w:r>
          </w:p>
        </w:tc>
        <w:tc>
          <w:tcPr>
            <w:tcW w:w="882" w:type="dxa"/>
          </w:tcPr>
          <w:p w14:paraId="02C718BD" w14:textId="77777777" w:rsidR="0052034B" w:rsidRPr="001C32D9" w:rsidRDefault="0052034B" w:rsidP="00D24145">
            <w:pPr>
              <w:spacing w:line="260" w:lineRule="exact"/>
              <w:contextualSpacing/>
              <w:rPr>
                <w:b/>
                <w:sz w:val="16"/>
                <w:lang w:val="en-US"/>
              </w:rPr>
            </w:pPr>
            <w:r w:rsidRPr="001C32D9">
              <w:rPr>
                <w:rFonts w:ascii="Calibri" w:hAnsi="Calibri" w:cs="Calibri"/>
                <w:sz w:val="16"/>
              </w:rPr>
              <w:t>15.610; 3.313</w:t>
            </w:r>
          </w:p>
        </w:tc>
        <w:tc>
          <w:tcPr>
            <w:tcW w:w="969" w:type="dxa"/>
          </w:tcPr>
          <w:p w14:paraId="2B0CCE8C" w14:textId="77777777" w:rsidR="0052034B" w:rsidRPr="001C32D9" w:rsidRDefault="0052034B" w:rsidP="00D24145">
            <w:pPr>
              <w:spacing w:line="260" w:lineRule="exact"/>
              <w:contextualSpacing/>
              <w:rPr>
                <w:b/>
                <w:sz w:val="16"/>
                <w:lang w:val="en-US"/>
              </w:rPr>
            </w:pPr>
            <w:r w:rsidRPr="001C32D9">
              <w:rPr>
                <w:rFonts w:ascii="Calibri" w:hAnsi="Calibri" w:cs="Calibri"/>
                <w:sz w:val="16"/>
              </w:rPr>
              <w:t>Tolerated</w:t>
            </w:r>
          </w:p>
        </w:tc>
        <w:tc>
          <w:tcPr>
            <w:tcW w:w="853" w:type="dxa"/>
          </w:tcPr>
          <w:p w14:paraId="255C9A12" w14:textId="77777777" w:rsidR="0052034B" w:rsidRPr="001C32D9" w:rsidRDefault="0052034B" w:rsidP="00D24145">
            <w:pPr>
              <w:spacing w:line="260" w:lineRule="exact"/>
              <w:contextualSpacing/>
              <w:rPr>
                <w:b/>
                <w:sz w:val="16"/>
                <w:lang w:val="en-US"/>
              </w:rPr>
            </w:pPr>
            <w:r w:rsidRPr="001C32D9">
              <w:rPr>
                <w:rFonts w:ascii="Calibri" w:hAnsi="Calibri" w:cs="Calibri"/>
                <w:sz w:val="16"/>
              </w:rPr>
              <w:t>0.002</w:t>
            </w:r>
          </w:p>
        </w:tc>
        <w:tc>
          <w:tcPr>
            <w:tcW w:w="994" w:type="dxa"/>
          </w:tcPr>
          <w:p w14:paraId="6C8F5A69" w14:textId="77777777" w:rsidR="0052034B" w:rsidRPr="001C32D9" w:rsidRDefault="0052034B" w:rsidP="00D24145">
            <w:pPr>
              <w:spacing w:line="260" w:lineRule="exact"/>
              <w:contextualSpacing/>
              <w:rPr>
                <w:b/>
                <w:sz w:val="16"/>
                <w:lang w:val="en-US"/>
              </w:rPr>
            </w:pPr>
            <w:r w:rsidRPr="001C32D9">
              <w:rPr>
                <w:rFonts w:ascii="Calibri" w:hAnsi="Calibri" w:cs="Calibri"/>
                <w:sz w:val="16"/>
              </w:rPr>
              <w:t>778043359</w:t>
            </w:r>
          </w:p>
        </w:tc>
      </w:tr>
      <w:tr w:rsidR="0052034B" w14:paraId="110DE8A7" w14:textId="77777777" w:rsidTr="00D24145">
        <w:trPr>
          <w:trHeight w:val="282"/>
        </w:trPr>
        <w:tc>
          <w:tcPr>
            <w:tcW w:w="988" w:type="dxa"/>
          </w:tcPr>
          <w:p w14:paraId="6E24D8AA" w14:textId="77777777" w:rsidR="0052034B" w:rsidRPr="001C32D9" w:rsidRDefault="0052034B" w:rsidP="00D24145">
            <w:pPr>
              <w:spacing w:line="260" w:lineRule="exact"/>
              <w:contextualSpacing/>
              <w:rPr>
                <w:b/>
                <w:i/>
                <w:iCs/>
                <w:sz w:val="16"/>
                <w:lang w:val="en-US"/>
              </w:rPr>
            </w:pPr>
            <w:r w:rsidRPr="001C32D9">
              <w:rPr>
                <w:rFonts w:ascii="Calibri" w:hAnsi="Calibri" w:cs="Calibri"/>
                <w:b/>
                <w:i/>
                <w:iCs/>
                <w:sz w:val="16"/>
              </w:rPr>
              <w:t>EGR2</w:t>
            </w:r>
          </w:p>
        </w:tc>
        <w:tc>
          <w:tcPr>
            <w:tcW w:w="1490" w:type="dxa"/>
          </w:tcPr>
          <w:p w14:paraId="1698D9E9" w14:textId="77777777" w:rsidR="0052034B" w:rsidRPr="001C32D9" w:rsidRDefault="0052034B" w:rsidP="00D24145">
            <w:pPr>
              <w:spacing w:line="260" w:lineRule="exact"/>
              <w:contextualSpacing/>
              <w:rPr>
                <w:b/>
                <w:sz w:val="16"/>
                <w:lang w:val="en-US"/>
              </w:rPr>
            </w:pPr>
            <w:r w:rsidRPr="001C32D9">
              <w:rPr>
                <w:rFonts w:ascii="Calibri" w:hAnsi="Calibri" w:cs="Calibri"/>
                <w:sz w:val="16"/>
              </w:rPr>
              <w:t>NM_000399.5</w:t>
            </w:r>
          </w:p>
        </w:tc>
        <w:tc>
          <w:tcPr>
            <w:tcW w:w="1628" w:type="dxa"/>
          </w:tcPr>
          <w:p w14:paraId="00EC85B5" w14:textId="77777777" w:rsidR="0052034B" w:rsidRPr="001C32D9" w:rsidRDefault="0052034B" w:rsidP="00D24145">
            <w:pPr>
              <w:spacing w:line="260" w:lineRule="exact"/>
              <w:contextualSpacing/>
              <w:rPr>
                <w:b/>
                <w:sz w:val="16"/>
                <w:lang w:val="en-US"/>
              </w:rPr>
            </w:pPr>
            <w:r w:rsidRPr="001C32D9">
              <w:rPr>
                <w:rFonts w:ascii="Calibri" w:hAnsi="Calibri" w:cs="Calibri"/>
                <w:sz w:val="16"/>
              </w:rPr>
              <w:t>c.644C&gt;T; c.494C&gt;T; p.T215M</w:t>
            </w:r>
          </w:p>
        </w:tc>
        <w:tc>
          <w:tcPr>
            <w:tcW w:w="1148" w:type="dxa"/>
          </w:tcPr>
          <w:p w14:paraId="0CD21DDD" w14:textId="77777777" w:rsidR="0052034B" w:rsidRPr="001C32D9" w:rsidRDefault="0052034B" w:rsidP="00D24145">
            <w:pPr>
              <w:spacing w:line="260" w:lineRule="exact"/>
              <w:contextualSpacing/>
              <w:rPr>
                <w:b/>
                <w:sz w:val="16"/>
                <w:lang w:val="en-US"/>
              </w:rPr>
            </w:pPr>
            <w:r w:rsidRPr="001C32D9">
              <w:rPr>
                <w:rFonts w:ascii="Calibri" w:hAnsi="Calibri" w:cs="Calibri"/>
                <w:sz w:val="16"/>
              </w:rPr>
              <w:t>missense</w:t>
            </w:r>
          </w:p>
        </w:tc>
        <w:tc>
          <w:tcPr>
            <w:tcW w:w="882" w:type="dxa"/>
          </w:tcPr>
          <w:p w14:paraId="73D06819" w14:textId="77777777" w:rsidR="0052034B" w:rsidRPr="001C32D9" w:rsidRDefault="0052034B" w:rsidP="00D24145">
            <w:pPr>
              <w:spacing w:line="260" w:lineRule="exact"/>
              <w:contextualSpacing/>
              <w:rPr>
                <w:b/>
                <w:sz w:val="16"/>
                <w:lang w:val="en-US"/>
              </w:rPr>
            </w:pPr>
            <w:r w:rsidRPr="001C32D9">
              <w:rPr>
                <w:rFonts w:ascii="Calibri" w:hAnsi="Calibri" w:cs="Calibri"/>
                <w:sz w:val="16"/>
              </w:rPr>
              <w:t>21.100; 1.828</w:t>
            </w:r>
          </w:p>
        </w:tc>
        <w:tc>
          <w:tcPr>
            <w:tcW w:w="969" w:type="dxa"/>
          </w:tcPr>
          <w:p w14:paraId="1D3670FF" w14:textId="77777777" w:rsidR="0052034B" w:rsidRPr="001C32D9" w:rsidRDefault="0052034B" w:rsidP="00D24145">
            <w:pPr>
              <w:spacing w:line="260" w:lineRule="exact"/>
              <w:contextualSpacing/>
              <w:rPr>
                <w:b/>
                <w:sz w:val="16"/>
                <w:lang w:val="en-US"/>
              </w:rPr>
            </w:pPr>
            <w:r w:rsidRPr="001C32D9">
              <w:rPr>
                <w:rFonts w:ascii="Calibri" w:hAnsi="Calibri" w:cs="Calibri"/>
                <w:sz w:val="16"/>
              </w:rPr>
              <w:t>Tolerated</w:t>
            </w:r>
          </w:p>
        </w:tc>
        <w:tc>
          <w:tcPr>
            <w:tcW w:w="853" w:type="dxa"/>
          </w:tcPr>
          <w:p w14:paraId="4C99A3B4" w14:textId="77777777" w:rsidR="0052034B" w:rsidRPr="001C32D9" w:rsidRDefault="0052034B" w:rsidP="00D24145">
            <w:pPr>
              <w:spacing w:line="260" w:lineRule="exact"/>
              <w:contextualSpacing/>
              <w:rPr>
                <w:b/>
                <w:sz w:val="16"/>
                <w:lang w:val="en-US"/>
              </w:rPr>
            </w:pPr>
            <w:r w:rsidRPr="001C32D9">
              <w:rPr>
                <w:rFonts w:ascii="Calibri" w:hAnsi="Calibri" w:cs="Calibri"/>
                <w:sz w:val="16"/>
              </w:rPr>
              <w:t>0.063</w:t>
            </w:r>
          </w:p>
        </w:tc>
        <w:tc>
          <w:tcPr>
            <w:tcW w:w="994" w:type="dxa"/>
          </w:tcPr>
          <w:p w14:paraId="3D2A0BA7" w14:textId="77777777" w:rsidR="0052034B" w:rsidRPr="001C32D9" w:rsidRDefault="0052034B" w:rsidP="00D24145">
            <w:pPr>
              <w:spacing w:line="260" w:lineRule="exact"/>
              <w:contextualSpacing/>
              <w:rPr>
                <w:b/>
                <w:sz w:val="16"/>
                <w:lang w:val="en-US"/>
              </w:rPr>
            </w:pPr>
            <w:r w:rsidRPr="001C32D9">
              <w:rPr>
                <w:rFonts w:ascii="Calibri" w:hAnsi="Calibri" w:cs="Calibri"/>
                <w:sz w:val="16"/>
              </w:rPr>
              <w:t>139147487</w:t>
            </w:r>
          </w:p>
        </w:tc>
      </w:tr>
      <w:tr w:rsidR="0052034B" w14:paraId="0374D8E6" w14:textId="77777777" w:rsidTr="00D24145">
        <w:trPr>
          <w:trHeight w:val="218"/>
        </w:trPr>
        <w:tc>
          <w:tcPr>
            <w:tcW w:w="988" w:type="dxa"/>
          </w:tcPr>
          <w:p w14:paraId="5DA3001F" w14:textId="77777777" w:rsidR="0052034B" w:rsidRPr="001C32D9" w:rsidRDefault="0052034B" w:rsidP="00D24145">
            <w:pPr>
              <w:spacing w:line="260" w:lineRule="exact"/>
              <w:contextualSpacing/>
              <w:rPr>
                <w:b/>
                <w:i/>
                <w:iCs/>
                <w:sz w:val="16"/>
                <w:lang w:val="en-US"/>
              </w:rPr>
            </w:pPr>
            <w:r w:rsidRPr="001C32D9">
              <w:rPr>
                <w:rFonts w:ascii="Calibri" w:hAnsi="Calibri" w:cs="Calibri"/>
                <w:b/>
                <w:i/>
                <w:iCs/>
                <w:sz w:val="16"/>
              </w:rPr>
              <w:t>NECTIN1</w:t>
            </w:r>
          </w:p>
        </w:tc>
        <w:tc>
          <w:tcPr>
            <w:tcW w:w="1490" w:type="dxa"/>
          </w:tcPr>
          <w:p w14:paraId="51487A9B" w14:textId="77777777" w:rsidR="0052034B" w:rsidRPr="001C32D9" w:rsidRDefault="0052034B" w:rsidP="00D24145">
            <w:pPr>
              <w:spacing w:line="260" w:lineRule="exact"/>
              <w:contextualSpacing/>
              <w:rPr>
                <w:b/>
                <w:sz w:val="16"/>
                <w:lang w:val="en-US"/>
              </w:rPr>
            </w:pPr>
            <w:r w:rsidRPr="001C32D9">
              <w:rPr>
                <w:rFonts w:ascii="Calibri" w:hAnsi="Calibri" w:cs="Calibri"/>
                <w:sz w:val="16"/>
              </w:rPr>
              <w:t>NM_002855.5</w:t>
            </w:r>
          </w:p>
        </w:tc>
        <w:tc>
          <w:tcPr>
            <w:tcW w:w="1628" w:type="dxa"/>
          </w:tcPr>
          <w:p w14:paraId="649461E0" w14:textId="77777777" w:rsidR="0052034B" w:rsidRPr="001C32D9" w:rsidRDefault="0052034B" w:rsidP="00D24145">
            <w:pPr>
              <w:spacing w:line="260" w:lineRule="exact"/>
              <w:contextualSpacing/>
              <w:rPr>
                <w:b/>
                <w:sz w:val="16"/>
                <w:lang w:val="en-US"/>
              </w:rPr>
            </w:pPr>
            <w:r w:rsidRPr="001C32D9">
              <w:rPr>
                <w:rFonts w:ascii="Calibri" w:hAnsi="Calibri" w:cs="Calibri"/>
                <w:sz w:val="16"/>
              </w:rPr>
              <w:t>c.1331_1333dupAGG; p.E444dup</w:t>
            </w:r>
          </w:p>
        </w:tc>
        <w:tc>
          <w:tcPr>
            <w:tcW w:w="1148" w:type="dxa"/>
          </w:tcPr>
          <w:p w14:paraId="2B7BB8DA" w14:textId="77777777" w:rsidR="0052034B" w:rsidRPr="001C32D9" w:rsidRDefault="0052034B" w:rsidP="00D24145">
            <w:pPr>
              <w:spacing w:line="260" w:lineRule="exact"/>
              <w:contextualSpacing/>
              <w:rPr>
                <w:b/>
                <w:sz w:val="16"/>
                <w:lang w:val="en-US"/>
              </w:rPr>
            </w:pPr>
            <w:r w:rsidRPr="001C32D9">
              <w:rPr>
                <w:rFonts w:ascii="Calibri" w:hAnsi="Calibri" w:cs="Calibri"/>
                <w:sz w:val="16"/>
              </w:rPr>
              <w:t>in-frame</w:t>
            </w:r>
          </w:p>
        </w:tc>
        <w:tc>
          <w:tcPr>
            <w:tcW w:w="882" w:type="dxa"/>
          </w:tcPr>
          <w:p w14:paraId="446F3AF1" w14:textId="77777777" w:rsidR="0052034B" w:rsidRPr="001C32D9" w:rsidRDefault="0052034B" w:rsidP="00D24145">
            <w:pPr>
              <w:spacing w:line="260" w:lineRule="exact"/>
              <w:contextualSpacing/>
              <w:rPr>
                <w:b/>
                <w:sz w:val="16"/>
                <w:lang w:val="en-US"/>
              </w:rPr>
            </w:pPr>
            <w:r w:rsidRPr="001C32D9">
              <w:rPr>
                <w:rFonts w:ascii="Calibri" w:hAnsi="Calibri" w:cs="Calibri"/>
                <w:sz w:val="16"/>
              </w:rPr>
              <w:t>16.670; NA</w:t>
            </w:r>
          </w:p>
        </w:tc>
        <w:tc>
          <w:tcPr>
            <w:tcW w:w="969" w:type="dxa"/>
          </w:tcPr>
          <w:p w14:paraId="7A350EC8" w14:textId="77777777" w:rsidR="0052034B" w:rsidRPr="001C32D9" w:rsidRDefault="0052034B" w:rsidP="00D24145">
            <w:pPr>
              <w:spacing w:line="260" w:lineRule="exact"/>
              <w:contextualSpacing/>
              <w:rPr>
                <w:b/>
                <w:sz w:val="16"/>
                <w:lang w:val="en-US"/>
              </w:rPr>
            </w:pPr>
            <w:r w:rsidRPr="001C32D9">
              <w:rPr>
                <w:rFonts w:ascii="Calibri" w:hAnsi="Calibri" w:cs="Calibri"/>
                <w:sz w:val="16"/>
              </w:rPr>
              <w:t> NA</w:t>
            </w:r>
          </w:p>
        </w:tc>
        <w:tc>
          <w:tcPr>
            <w:tcW w:w="853" w:type="dxa"/>
          </w:tcPr>
          <w:p w14:paraId="608509B0" w14:textId="77777777" w:rsidR="0052034B" w:rsidRPr="001C32D9" w:rsidRDefault="0052034B" w:rsidP="00D24145">
            <w:pPr>
              <w:spacing w:line="260" w:lineRule="exact"/>
              <w:contextualSpacing/>
              <w:rPr>
                <w:b/>
                <w:sz w:val="16"/>
                <w:lang w:val="en-US"/>
              </w:rPr>
            </w:pPr>
            <w:r w:rsidRPr="001C32D9">
              <w:rPr>
                <w:rFonts w:ascii="Calibri" w:hAnsi="Calibri" w:cs="Calibri"/>
                <w:sz w:val="16"/>
              </w:rPr>
              <w:t> -</w:t>
            </w:r>
          </w:p>
        </w:tc>
        <w:tc>
          <w:tcPr>
            <w:tcW w:w="994" w:type="dxa"/>
          </w:tcPr>
          <w:p w14:paraId="6AD188AA" w14:textId="77777777" w:rsidR="0052034B" w:rsidRPr="001C32D9" w:rsidRDefault="0052034B" w:rsidP="00D24145">
            <w:pPr>
              <w:spacing w:line="260" w:lineRule="exact"/>
              <w:contextualSpacing/>
              <w:rPr>
                <w:b/>
                <w:sz w:val="16"/>
                <w:lang w:val="en-US"/>
              </w:rPr>
            </w:pPr>
            <w:r w:rsidRPr="001C32D9">
              <w:rPr>
                <w:rFonts w:ascii="Calibri" w:hAnsi="Calibri" w:cs="Calibri"/>
                <w:sz w:val="16"/>
              </w:rPr>
              <w:t>753988307</w:t>
            </w:r>
          </w:p>
        </w:tc>
      </w:tr>
      <w:tr w:rsidR="0052034B" w14:paraId="7642DFDC" w14:textId="77777777" w:rsidTr="00D24145">
        <w:trPr>
          <w:trHeight w:val="261"/>
        </w:trPr>
        <w:tc>
          <w:tcPr>
            <w:tcW w:w="988" w:type="dxa"/>
          </w:tcPr>
          <w:p w14:paraId="34B19BD7" w14:textId="77777777" w:rsidR="0052034B" w:rsidRPr="001C32D9" w:rsidRDefault="0052034B" w:rsidP="00D24145">
            <w:pPr>
              <w:spacing w:line="260" w:lineRule="exact"/>
              <w:contextualSpacing/>
              <w:rPr>
                <w:b/>
                <w:i/>
                <w:iCs/>
                <w:sz w:val="16"/>
                <w:lang w:val="en-US"/>
              </w:rPr>
            </w:pPr>
            <w:r w:rsidRPr="001C32D9">
              <w:rPr>
                <w:rFonts w:ascii="Calibri" w:hAnsi="Calibri" w:cs="Calibri"/>
                <w:b/>
                <w:i/>
                <w:iCs/>
                <w:sz w:val="16"/>
              </w:rPr>
              <w:t>BRIP1</w:t>
            </w:r>
          </w:p>
        </w:tc>
        <w:tc>
          <w:tcPr>
            <w:tcW w:w="1490" w:type="dxa"/>
          </w:tcPr>
          <w:p w14:paraId="1CB447FF" w14:textId="77777777" w:rsidR="0052034B" w:rsidRPr="001C32D9" w:rsidRDefault="0052034B" w:rsidP="00D24145">
            <w:pPr>
              <w:spacing w:line="260" w:lineRule="exact"/>
              <w:contextualSpacing/>
              <w:rPr>
                <w:b/>
                <w:sz w:val="16"/>
                <w:lang w:val="en-US"/>
              </w:rPr>
            </w:pPr>
            <w:r w:rsidRPr="001C32D9">
              <w:rPr>
                <w:rFonts w:ascii="Calibri" w:hAnsi="Calibri" w:cs="Calibri"/>
                <w:sz w:val="16"/>
              </w:rPr>
              <w:t>NM_032043.2</w:t>
            </w:r>
          </w:p>
        </w:tc>
        <w:tc>
          <w:tcPr>
            <w:tcW w:w="1628" w:type="dxa"/>
          </w:tcPr>
          <w:p w14:paraId="4B3AC0A7" w14:textId="77777777" w:rsidR="0052034B" w:rsidRPr="001C32D9" w:rsidRDefault="0052034B" w:rsidP="00D24145">
            <w:pPr>
              <w:spacing w:line="260" w:lineRule="exact"/>
              <w:contextualSpacing/>
              <w:rPr>
                <w:b/>
                <w:sz w:val="16"/>
                <w:lang w:val="en-US"/>
              </w:rPr>
            </w:pPr>
            <w:r w:rsidRPr="001C32D9">
              <w:rPr>
                <w:rFonts w:ascii="Calibri" w:hAnsi="Calibri" w:cs="Calibri"/>
                <w:sz w:val="16"/>
              </w:rPr>
              <w:t>c.139C&gt;G; p.P47A</w:t>
            </w:r>
          </w:p>
        </w:tc>
        <w:tc>
          <w:tcPr>
            <w:tcW w:w="1148" w:type="dxa"/>
          </w:tcPr>
          <w:p w14:paraId="27FD974B" w14:textId="77777777" w:rsidR="0052034B" w:rsidRPr="001C32D9" w:rsidRDefault="0052034B" w:rsidP="00D24145">
            <w:pPr>
              <w:spacing w:line="260" w:lineRule="exact"/>
              <w:contextualSpacing/>
              <w:rPr>
                <w:b/>
                <w:sz w:val="16"/>
                <w:lang w:val="en-US"/>
              </w:rPr>
            </w:pPr>
            <w:r w:rsidRPr="001C32D9">
              <w:rPr>
                <w:rFonts w:ascii="Calibri" w:hAnsi="Calibri" w:cs="Calibri"/>
                <w:sz w:val="16"/>
              </w:rPr>
              <w:t>missense</w:t>
            </w:r>
          </w:p>
        </w:tc>
        <w:tc>
          <w:tcPr>
            <w:tcW w:w="882" w:type="dxa"/>
          </w:tcPr>
          <w:p w14:paraId="46A1DCCE" w14:textId="77777777" w:rsidR="0052034B" w:rsidRPr="001C32D9" w:rsidRDefault="0052034B" w:rsidP="00D24145">
            <w:pPr>
              <w:spacing w:line="260" w:lineRule="exact"/>
              <w:contextualSpacing/>
              <w:rPr>
                <w:b/>
                <w:sz w:val="16"/>
                <w:lang w:val="en-US"/>
              </w:rPr>
            </w:pPr>
            <w:r w:rsidRPr="001C32D9">
              <w:rPr>
                <w:rFonts w:ascii="Calibri" w:hAnsi="Calibri" w:cs="Calibri"/>
                <w:sz w:val="16"/>
              </w:rPr>
              <w:t>25.200; 0.001</w:t>
            </w:r>
          </w:p>
        </w:tc>
        <w:tc>
          <w:tcPr>
            <w:tcW w:w="969" w:type="dxa"/>
          </w:tcPr>
          <w:p w14:paraId="4AA0AC64" w14:textId="77777777" w:rsidR="0052034B" w:rsidRPr="001C32D9" w:rsidRDefault="0052034B" w:rsidP="00D24145">
            <w:pPr>
              <w:spacing w:line="260" w:lineRule="exact"/>
              <w:contextualSpacing/>
              <w:rPr>
                <w:b/>
                <w:sz w:val="16"/>
                <w:lang w:val="en-US"/>
              </w:rPr>
            </w:pPr>
            <w:r w:rsidRPr="001C32D9">
              <w:rPr>
                <w:rFonts w:ascii="Calibri" w:hAnsi="Calibri" w:cs="Calibri"/>
                <w:sz w:val="16"/>
              </w:rPr>
              <w:t>Damaging</w:t>
            </w:r>
          </w:p>
        </w:tc>
        <w:tc>
          <w:tcPr>
            <w:tcW w:w="853" w:type="dxa"/>
          </w:tcPr>
          <w:p w14:paraId="11026534" w14:textId="77777777" w:rsidR="0052034B" w:rsidRPr="001C32D9" w:rsidRDefault="0052034B" w:rsidP="00D24145">
            <w:pPr>
              <w:spacing w:line="260" w:lineRule="exact"/>
              <w:contextualSpacing/>
              <w:rPr>
                <w:b/>
                <w:sz w:val="16"/>
                <w:lang w:val="en-US"/>
              </w:rPr>
            </w:pPr>
            <w:r w:rsidRPr="001C32D9">
              <w:rPr>
                <w:rFonts w:ascii="Calibri" w:hAnsi="Calibri" w:cs="Calibri"/>
                <w:sz w:val="16"/>
              </w:rPr>
              <w:t>0.025</w:t>
            </w:r>
          </w:p>
        </w:tc>
        <w:tc>
          <w:tcPr>
            <w:tcW w:w="994" w:type="dxa"/>
          </w:tcPr>
          <w:p w14:paraId="23F12C72" w14:textId="77777777" w:rsidR="0052034B" w:rsidRPr="001C32D9" w:rsidRDefault="0052034B" w:rsidP="00D24145">
            <w:pPr>
              <w:spacing w:line="260" w:lineRule="exact"/>
              <w:contextualSpacing/>
              <w:rPr>
                <w:b/>
                <w:sz w:val="16"/>
                <w:lang w:val="en-US"/>
              </w:rPr>
            </w:pPr>
            <w:r w:rsidRPr="001C32D9">
              <w:rPr>
                <w:rFonts w:ascii="Calibri" w:hAnsi="Calibri" w:cs="Calibri"/>
                <w:sz w:val="16"/>
              </w:rPr>
              <w:t>28903098</w:t>
            </w:r>
          </w:p>
        </w:tc>
      </w:tr>
      <w:tr w:rsidR="0052034B" w14:paraId="74B77D26" w14:textId="77777777" w:rsidTr="00D24145">
        <w:trPr>
          <w:trHeight w:val="282"/>
        </w:trPr>
        <w:tc>
          <w:tcPr>
            <w:tcW w:w="988" w:type="dxa"/>
          </w:tcPr>
          <w:p w14:paraId="7E9301F0" w14:textId="77777777" w:rsidR="0052034B" w:rsidRPr="001C32D9" w:rsidRDefault="0052034B" w:rsidP="00D24145">
            <w:pPr>
              <w:spacing w:line="260" w:lineRule="exact"/>
              <w:contextualSpacing/>
              <w:rPr>
                <w:b/>
                <w:i/>
                <w:iCs/>
                <w:sz w:val="16"/>
                <w:lang w:val="en-US"/>
              </w:rPr>
            </w:pPr>
            <w:r w:rsidRPr="001C32D9">
              <w:rPr>
                <w:rFonts w:ascii="Calibri" w:hAnsi="Calibri" w:cs="Calibri"/>
                <w:b/>
                <w:i/>
                <w:iCs/>
                <w:sz w:val="16"/>
              </w:rPr>
              <w:t>PRKCA</w:t>
            </w:r>
          </w:p>
        </w:tc>
        <w:tc>
          <w:tcPr>
            <w:tcW w:w="1490" w:type="dxa"/>
          </w:tcPr>
          <w:p w14:paraId="68BE60AD" w14:textId="77777777" w:rsidR="0052034B" w:rsidRPr="001C32D9" w:rsidRDefault="0052034B" w:rsidP="00D24145">
            <w:pPr>
              <w:spacing w:line="260" w:lineRule="exact"/>
              <w:contextualSpacing/>
              <w:rPr>
                <w:b/>
                <w:sz w:val="16"/>
                <w:lang w:val="en-US"/>
              </w:rPr>
            </w:pPr>
            <w:r w:rsidRPr="001C32D9">
              <w:rPr>
                <w:rFonts w:ascii="Calibri" w:hAnsi="Calibri" w:cs="Calibri"/>
                <w:sz w:val="16"/>
              </w:rPr>
              <w:t>NM_002737.3</w:t>
            </w:r>
          </w:p>
        </w:tc>
        <w:tc>
          <w:tcPr>
            <w:tcW w:w="1628" w:type="dxa"/>
          </w:tcPr>
          <w:p w14:paraId="6A8FBCDD" w14:textId="77777777" w:rsidR="0052034B" w:rsidRPr="001C32D9" w:rsidRDefault="0052034B" w:rsidP="00D24145">
            <w:pPr>
              <w:spacing w:line="260" w:lineRule="exact"/>
              <w:contextualSpacing/>
              <w:rPr>
                <w:b/>
                <w:sz w:val="16"/>
                <w:lang w:val="en-US"/>
              </w:rPr>
            </w:pPr>
            <w:r w:rsidRPr="001C32D9">
              <w:rPr>
                <w:rFonts w:ascii="Calibri" w:hAnsi="Calibri" w:cs="Calibri"/>
                <w:sz w:val="16"/>
              </w:rPr>
              <w:t>c.556A&gt;G; p.M186V</w:t>
            </w:r>
          </w:p>
        </w:tc>
        <w:tc>
          <w:tcPr>
            <w:tcW w:w="1148" w:type="dxa"/>
          </w:tcPr>
          <w:p w14:paraId="274D5955" w14:textId="77777777" w:rsidR="0052034B" w:rsidRPr="001C32D9" w:rsidRDefault="0052034B" w:rsidP="00D24145">
            <w:pPr>
              <w:spacing w:line="260" w:lineRule="exact"/>
              <w:contextualSpacing/>
              <w:rPr>
                <w:b/>
                <w:sz w:val="16"/>
                <w:lang w:val="en-US"/>
              </w:rPr>
            </w:pPr>
            <w:r w:rsidRPr="001C32D9">
              <w:rPr>
                <w:rFonts w:ascii="Calibri" w:hAnsi="Calibri" w:cs="Calibri"/>
                <w:sz w:val="16"/>
              </w:rPr>
              <w:t>missense</w:t>
            </w:r>
          </w:p>
        </w:tc>
        <w:tc>
          <w:tcPr>
            <w:tcW w:w="882" w:type="dxa"/>
          </w:tcPr>
          <w:p w14:paraId="5D68CCB2" w14:textId="77777777" w:rsidR="0052034B" w:rsidRPr="001C32D9" w:rsidRDefault="0052034B" w:rsidP="00D24145">
            <w:pPr>
              <w:spacing w:line="260" w:lineRule="exact"/>
              <w:contextualSpacing/>
              <w:rPr>
                <w:b/>
                <w:sz w:val="16"/>
                <w:lang w:val="en-US"/>
              </w:rPr>
            </w:pPr>
            <w:r w:rsidRPr="001C32D9">
              <w:rPr>
                <w:rFonts w:ascii="Calibri" w:hAnsi="Calibri" w:cs="Calibri"/>
                <w:sz w:val="16"/>
              </w:rPr>
              <w:t>24.500; 3.313</w:t>
            </w:r>
          </w:p>
        </w:tc>
        <w:tc>
          <w:tcPr>
            <w:tcW w:w="969" w:type="dxa"/>
          </w:tcPr>
          <w:p w14:paraId="1881B90F" w14:textId="77777777" w:rsidR="0052034B" w:rsidRPr="001C32D9" w:rsidRDefault="0052034B" w:rsidP="00D24145">
            <w:pPr>
              <w:spacing w:line="260" w:lineRule="exact"/>
              <w:contextualSpacing/>
              <w:rPr>
                <w:b/>
                <w:sz w:val="16"/>
                <w:lang w:val="en-US"/>
              </w:rPr>
            </w:pPr>
            <w:r w:rsidRPr="001C32D9">
              <w:rPr>
                <w:rFonts w:ascii="Calibri" w:hAnsi="Calibri" w:cs="Calibri"/>
                <w:sz w:val="16"/>
              </w:rPr>
              <w:t> NA</w:t>
            </w:r>
          </w:p>
        </w:tc>
        <w:tc>
          <w:tcPr>
            <w:tcW w:w="853" w:type="dxa"/>
          </w:tcPr>
          <w:p w14:paraId="43A5399C" w14:textId="77777777" w:rsidR="0052034B" w:rsidRPr="001C32D9" w:rsidRDefault="0052034B" w:rsidP="00D24145">
            <w:pPr>
              <w:spacing w:line="260" w:lineRule="exact"/>
              <w:contextualSpacing/>
              <w:rPr>
                <w:b/>
                <w:sz w:val="16"/>
                <w:lang w:val="en-US"/>
              </w:rPr>
            </w:pPr>
            <w:r w:rsidRPr="001C32D9">
              <w:rPr>
                <w:rFonts w:ascii="Calibri" w:hAnsi="Calibri" w:cs="Calibri"/>
                <w:sz w:val="16"/>
              </w:rPr>
              <w:t>0.010</w:t>
            </w:r>
          </w:p>
        </w:tc>
        <w:tc>
          <w:tcPr>
            <w:tcW w:w="994" w:type="dxa"/>
          </w:tcPr>
          <w:p w14:paraId="349FE240" w14:textId="77777777" w:rsidR="0052034B" w:rsidRPr="001C32D9" w:rsidRDefault="0052034B" w:rsidP="00D24145">
            <w:pPr>
              <w:spacing w:line="260" w:lineRule="exact"/>
              <w:contextualSpacing/>
              <w:rPr>
                <w:b/>
                <w:sz w:val="16"/>
                <w:lang w:val="en-US"/>
              </w:rPr>
            </w:pPr>
            <w:r w:rsidRPr="001C32D9">
              <w:rPr>
                <w:rFonts w:ascii="Calibri" w:hAnsi="Calibri" w:cs="Calibri"/>
                <w:sz w:val="16"/>
              </w:rPr>
              <w:t>200732611</w:t>
            </w:r>
          </w:p>
        </w:tc>
      </w:tr>
      <w:tr w:rsidR="0052034B" w14:paraId="7123C05E" w14:textId="77777777" w:rsidTr="00D24145">
        <w:trPr>
          <w:trHeight w:val="219"/>
        </w:trPr>
        <w:tc>
          <w:tcPr>
            <w:tcW w:w="988" w:type="dxa"/>
          </w:tcPr>
          <w:p w14:paraId="3E491B15" w14:textId="77777777" w:rsidR="0052034B" w:rsidRPr="001C32D9" w:rsidRDefault="0052034B" w:rsidP="00D24145">
            <w:pPr>
              <w:spacing w:line="260" w:lineRule="exact"/>
              <w:contextualSpacing/>
              <w:rPr>
                <w:b/>
                <w:i/>
                <w:iCs/>
                <w:sz w:val="16"/>
                <w:lang w:val="en-US"/>
              </w:rPr>
            </w:pPr>
            <w:r w:rsidRPr="001C32D9">
              <w:rPr>
                <w:rFonts w:ascii="Calibri" w:hAnsi="Calibri" w:cs="Calibri"/>
                <w:b/>
                <w:i/>
                <w:iCs/>
                <w:sz w:val="16"/>
              </w:rPr>
              <w:t>MYO5B</w:t>
            </w:r>
          </w:p>
        </w:tc>
        <w:tc>
          <w:tcPr>
            <w:tcW w:w="1490" w:type="dxa"/>
          </w:tcPr>
          <w:p w14:paraId="15A0CD46" w14:textId="77777777" w:rsidR="0052034B" w:rsidRPr="001C32D9" w:rsidRDefault="0052034B" w:rsidP="00D24145">
            <w:pPr>
              <w:spacing w:line="260" w:lineRule="exact"/>
              <w:contextualSpacing/>
              <w:rPr>
                <w:b/>
                <w:sz w:val="16"/>
                <w:lang w:val="en-US"/>
              </w:rPr>
            </w:pPr>
            <w:r w:rsidRPr="001C32D9">
              <w:rPr>
                <w:rFonts w:ascii="Calibri" w:hAnsi="Calibri" w:cs="Calibri"/>
                <w:sz w:val="16"/>
              </w:rPr>
              <w:t>NM_001080467.3</w:t>
            </w:r>
          </w:p>
        </w:tc>
        <w:tc>
          <w:tcPr>
            <w:tcW w:w="1628" w:type="dxa"/>
          </w:tcPr>
          <w:p w14:paraId="54EFA555" w14:textId="77777777" w:rsidR="0052034B" w:rsidRPr="001C32D9" w:rsidRDefault="0052034B" w:rsidP="00D24145">
            <w:pPr>
              <w:spacing w:line="260" w:lineRule="exact"/>
              <w:contextualSpacing/>
              <w:rPr>
                <w:b/>
                <w:sz w:val="16"/>
                <w:lang w:val="en-US"/>
              </w:rPr>
            </w:pPr>
            <w:r w:rsidRPr="001C32D9">
              <w:rPr>
                <w:rFonts w:ascii="Calibri" w:hAnsi="Calibri" w:cs="Calibri"/>
                <w:sz w:val="16"/>
              </w:rPr>
              <w:t>c.5449A&gt;G; p.M1817V</w:t>
            </w:r>
          </w:p>
        </w:tc>
        <w:tc>
          <w:tcPr>
            <w:tcW w:w="1148" w:type="dxa"/>
          </w:tcPr>
          <w:p w14:paraId="08A6A2D8" w14:textId="77777777" w:rsidR="0052034B" w:rsidRPr="001C32D9" w:rsidRDefault="0052034B" w:rsidP="00D24145">
            <w:pPr>
              <w:spacing w:line="260" w:lineRule="exact"/>
              <w:contextualSpacing/>
              <w:rPr>
                <w:b/>
                <w:sz w:val="16"/>
                <w:lang w:val="en-US"/>
              </w:rPr>
            </w:pPr>
            <w:r w:rsidRPr="001C32D9">
              <w:rPr>
                <w:rFonts w:ascii="Calibri" w:hAnsi="Calibri" w:cs="Calibri"/>
                <w:sz w:val="16"/>
              </w:rPr>
              <w:t>missense</w:t>
            </w:r>
          </w:p>
        </w:tc>
        <w:tc>
          <w:tcPr>
            <w:tcW w:w="882" w:type="dxa"/>
          </w:tcPr>
          <w:p w14:paraId="7BC200B2" w14:textId="77777777" w:rsidR="0052034B" w:rsidRPr="001C32D9" w:rsidRDefault="0052034B" w:rsidP="00D24145">
            <w:pPr>
              <w:spacing w:line="260" w:lineRule="exact"/>
              <w:contextualSpacing/>
              <w:rPr>
                <w:b/>
                <w:sz w:val="16"/>
                <w:lang w:val="en-US"/>
              </w:rPr>
            </w:pPr>
            <w:r w:rsidRPr="001C32D9">
              <w:rPr>
                <w:rFonts w:ascii="Calibri" w:hAnsi="Calibri" w:cs="Calibri"/>
                <w:sz w:val="16"/>
              </w:rPr>
              <w:t>18.940; 0.017</w:t>
            </w:r>
          </w:p>
        </w:tc>
        <w:tc>
          <w:tcPr>
            <w:tcW w:w="969" w:type="dxa"/>
          </w:tcPr>
          <w:p w14:paraId="5CA1B0C3" w14:textId="77777777" w:rsidR="0052034B" w:rsidRPr="001C32D9" w:rsidRDefault="0052034B" w:rsidP="00D24145">
            <w:pPr>
              <w:spacing w:line="260" w:lineRule="exact"/>
              <w:contextualSpacing/>
              <w:rPr>
                <w:b/>
                <w:sz w:val="16"/>
                <w:lang w:val="en-US"/>
              </w:rPr>
            </w:pPr>
            <w:r w:rsidRPr="001C32D9">
              <w:rPr>
                <w:rFonts w:ascii="Calibri" w:hAnsi="Calibri" w:cs="Calibri"/>
                <w:sz w:val="16"/>
              </w:rPr>
              <w:t>Activating</w:t>
            </w:r>
          </w:p>
        </w:tc>
        <w:tc>
          <w:tcPr>
            <w:tcW w:w="853" w:type="dxa"/>
          </w:tcPr>
          <w:p w14:paraId="42070BAC" w14:textId="77777777" w:rsidR="0052034B" w:rsidRPr="001C32D9" w:rsidRDefault="0052034B" w:rsidP="00D24145">
            <w:pPr>
              <w:spacing w:line="260" w:lineRule="exact"/>
              <w:contextualSpacing/>
              <w:rPr>
                <w:b/>
                <w:sz w:val="16"/>
                <w:lang w:val="en-US"/>
              </w:rPr>
            </w:pPr>
            <w:r w:rsidRPr="001C32D9">
              <w:rPr>
                <w:rFonts w:ascii="Calibri" w:hAnsi="Calibri" w:cs="Calibri"/>
                <w:sz w:val="16"/>
              </w:rPr>
              <w:t>0.006</w:t>
            </w:r>
          </w:p>
        </w:tc>
        <w:tc>
          <w:tcPr>
            <w:tcW w:w="994" w:type="dxa"/>
          </w:tcPr>
          <w:p w14:paraId="23578F5E" w14:textId="77777777" w:rsidR="0052034B" w:rsidRPr="001C32D9" w:rsidRDefault="0052034B" w:rsidP="00D24145">
            <w:pPr>
              <w:spacing w:line="260" w:lineRule="exact"/>
              <w:contextualSpacing/>
              <w:rPr>
                <w:b/>
                <w:sz w:val="16"/>
                <w:lang w:val="en-US"/>
              </w:rPr>
            </w:pPr>
            <w:r w:rsidRPr="001C32D9">
              <w:rPr>
                <w:rFonts w:ascii="Calibri" w:hAnsi="Calibri" w:cs="Calibri"/>
                <w:sz w:val="16"/>
              </w:rPr>
              <w:t>200172993</w:t>
            </w:r>
          </w:p>
        </w:tc>
      </w:tr>
      <w:tr w:rsidR="0052034B" w14:paraId="692AE462" w14:textId="77777777" w:rsidTr="00D24145">
        <w:trPr>
          <w:trHeight w:val="249"/>
        </w:trPr>
        <w:tc>
          <w:tcPr>
            <w:tcW w:w="988" w:type="dxa"/>
          </w:tcPr>
          <w:p w14:paraId="0397D156" w14:textId="77777777" w:rsidR="0052034B" w:rsidRPr="001C32D9" w:rsidRDefault="0052034B" w:rsidP="00D24145">
            <w:pPr>
              <w:spacing w:line="260" w:lineRule="exact"/>
              <w:contextualSpacing/>
              <w:rPr>
                <w:b/>
                <w:i/>
                <w:iCs/>
                <w:sz w:val="16"/>
                <w:lang w:val="en-US"/>
              </w:rPr>
            </w:pPr>
            <w:r w:rsidRPr="001C32D9">
              <w:rPr>
                <w:rFonts w:ascii="Calibri" w:hAnsi="Calibri" w:cs="Calibri"/>
                <w:b/>
                <w:i/>
                <w:iCs/>
                <w:sz w:val="16"/>
              </w:rPr>
              <w:t>RNASEH2A</w:t>
            </w:r>
          </w:p>
        </w:tc>
        <w:tc>
          <w:tcPr>
            <w:tcW w:w="1490" w:type="dxa"/>
          </w:tcPr>
          <w:p w14:paraId="72467507" w14:textId="77777777" w:rsidR="0052034B" w:rsidRPr="001C32D9" w:rsidRDefault="0052034B" w:rsidP="00D24145">
            <w:pPr>
              <w:spacing w:line="260" w:lineRule="exact"/>
              <w:contextualSpacing/>
              <w:rPr>
                <w:b/>
                <w:sz w:val="16"/>
                <w:lang w:val="en-US"/>
              </w:rPr>
            </w:pPr>
            <w:r w:rsidRPr="001C32D9">
              <w:rPr>
                <w:rFonts w:ascii="Calibri" w:hAnsi="Calibri" w:cs="Calibri"/>
                <w:sz w:val="16"/>
              </w:rPr>
              <w:t>NM_006397.2</w:t>
            </w:r>
          </w:p>
        </w:tc>
        <w:tc>
          <w:tcPr>
            <w:tcW w:w="1628" w:type="dxa"/>
          </w:tcPr>
          <w:p w14:paraId="140494DE" w14:textId="77777777" w:rsidR="0052034B" w:rsidRPr="001C32D9" w:rsidRDefault="0052034B" w:rsidP="00D24145">
            <w:pPr>
              <w:spacing w:line="260" w:lineRule="exact"/>
              <w:contextualSpacing/>
              <w:rPr>
                <w:b/>
                <w:sz w:val="16"/>
                <w:lang w:val="en-US"/>
              </w:rPr>
            </w:pPr>
            <w:r w:rsidRPr="001C32D9">
              <w:rPr>
                <w:rFonts w:ascii="Calibri" w:hAnsi="Calibri" w:cs="Calibri"/>
                <w:sz w:val="16"/>
              </w:rPr>
              <w:t>c.518C&gt;T; p.P173L</w:t>
            </w:r>
          </w:p>
        </w:tc>
        <w:tc>
          <w:tcPr>
            <w:tcW w:w="1148" w:type="dxa"/>
          </w:tcPr>
          <w:p w14:paraId="0ECFBDED" w14:textId="77777777" w:rsidR="0052034B" w:rsidRPr="001C32D9" w:rsidRDefault="0052034B" w:rsidP="00D24145">
            <w:pPr>
              <w:spacing w:line="260" w:lineRule="exact"/>
              <w:contextualSpacing/>
              <w:rPr>
                <w:b/>
                <w:sz w:val="16"/>
                <w:lang w:val="en-US"/>
              </w:rPr>
            </w:pPr>
            <w:r w:rsidRPr="001C32D9">
              <w:rPr>
                <w:rFonts w:ascii="Calibri" w:hAnsi="Calibri" w:cs="Calibri"/>
                <w:sz w:val="16"/>
              </w:rPr>
              <w:t>missense</w:t>
            </w:r>
          </w:p>
        </w:tc>
        <w:tc>
          <w:tcPr>
            <w:tcW w:w="882" w:type="dxa"/>
          </w:tcPr>
          <w:p w14:paraId="52B5E631" w14:textId="77777777" w:rsidR="0052034B" w:rsidRPr="001C32D9" w:rsidRDefault="0052034B" w:rsidP="00D24145">
            <w:pPr>
              <w:spacing w:line="260" w:lineRule="exact"/>
              <w:contextualSpacing/>
              <w:rPr>
                <w:b/>
                <w:sz w:val="16"/>
                <w:lang w:val="en-US"/>
              </w:rPr>
            </w:pPr>
            <w:r w:rsidRPr="001C32D9">
              <w:rPr>
                <w:rFonts w:ascii="Calibri" w:hAnsi="Calibri" w:cs="Calibri"/>
                <w:sz w:val="16"/>
              </w:rPr>
              <w:t>24.400; 10.51</w:t>
            </w:r>
          </w:p>
        </w:tc>
        <w:tc>
          <w:tcPr>
            <w:tcW w:w="969" w:type="dxa"/>
          </w:tcPr>
          <w:p w14:paraId="274CCF60" w14:textId="77777777" w:rsidR="0052034B" w:rsidRPr="001C32D9" w:rsidRDefault="0052034B" w:rsidP="00D24145">
            <w:pPr>
              <w:spacing w:line="260" w:lineRule="exact"/>
              <w:contextualSpacing/>
              <w:rPr>
                <w:b/>
                <w:sz w:val="16"/>
                <w:lang w:val="en-US"/>
              </w:rPr>
            </w:pPr>
            <w:r w:rsidRPr="001C32D9">
              <w:rPr>
                <w:rFonts w:ascii="Calibri" w:hAnsi="Calibri" w:cs="Calibri"/>
                <w:sz w:val="16"/>
              </w:rPr>
              <w:t>Damaging</w:t>
            </w:r>
          </w:p>
        </w:tc>
        <w:tc>
          <w:tcPr>
            <w:tcW w:w="853" w:type="dxa"/>
          </w:tcPr>
          <w:p w14:paraId="48BC6D17" w14:textId="77777777" w:rsidR="0052034B" w:rsidRPr="001C32D9" w:rsidRDefault="0052034B" w:rsidP="00D24145">
            <w:pPr>
              <w:spacing w:line="260" w:lineRule="exact"/>
              <w:contextualSpacing/>
              <w:rPr>
                <w:b/>
                <w:sz w:val="16"/>
                <w:lang w:val="en-US"/>
              </w:rPr>
            </w:pPr>
            <w:r w:rsidRPr="001C32D9">
              <w:rPr>
                <w:rFonts w:ascii="Calibri" w:hAnsi="Calibri" w:cs="Calibri"/>
                <w:sz w:val="16"/>
              </w:rPr>
              <w:t>0.003</w:t>
            </w:r>
          </w:p>
        </w:tc>
        <w:tc>
          <w:tcPr>
            <w:tcW w:w="994" w:type="dxa"/>
          </w:tcPr>
          <w:p w14:paraId="7FB1F5AD" w14:textId="77777777" w:rsidR="0052034B" w:rsidRPr="001C32D9" w:rsidRDefault="0052034B" w:rsidP="00D24145">
            <w:pPr>
              <w:spacing w:line="260" w:lineRule="exact"/>
              <w:contextualSpacing/>
              <w:rPr>
                <w:b/>
                <w:sz w:val="16"/>
                <w:lang w:val="en-US"/>
              </w:rPr>
            </w:pPr>
            <w:r w:rsidRPr="001C32D9">
              <w:rPr>
                <w:rFonts w:ascii="Calibri" w:hAnsi="Calibri" w:cs="Calibri"/>
                <w:sz w:val="16"/>
              </w:rPr>
              <w:t>369355807</w:t>
            </w:r>
          </w:p>
        </w:tc>
      </w:tr>
      <w:tr w:rsidR="0052034B" w14:paraId="3F45C589" w14:textId="77777777" w:rsidTr="00D24145">
        <w:trPr>
          <w:trHeight w:val="270"/>
        </w:trPr>
        <w:tc>
          <w:tcPr>
            <w:tcW w:w="988" w:type="dxa"/>
          </w:tcPr>
          <w:p w14:paraId="2D886B3B" w14:textId="77777777" w:rsidR="0052034B" w:rsidRPr="001C32D9" w:rsidRDefault="0052034B" w:rsidP="00D24145">
            <w:pPr>
              <w:spacing w:line="260" w:lineRule="exact"/>
              <w:contextualSpacing/>
              <w:rPr>
                <w:b/>
                <w:i/>
                <w:iCs/>
                <w:sz w:val="16"/>
                <w:lang w:val="en-US"/>
              </w:rPr>
            </w:pPr>
            <w:r w:rsidRPr="001C32D9">
              <w:rPr>
                <w:rFonts w:ascii="Calibri" w:hAnsi="Calibri" w:cs="Calibri"/>
                <w:b/>
                <w:i/>
                <w:iCs/>
                <w:sz w:val="16"/>
              </w:rPr>
              <w:t>PIK3R2</w:t>
            </w:r>
          </w:p>
        </w:tc>
        <w:tc>
          <w:tcPr>
            <w:tcW w:w="1490" w:type="dxa"/>
          </w:tcPr>
          <w:p w14:paraId="658671ED" w14:textId="77777777" w:rsidR="0052034B" w:rsidRPr="001C32D9" w:rsidRDefault="0052034B" w:rsidP="00D24145">
            <w:pPr>
              <w:spacing w:line="260" w:lineRule="exact"/>
              <w:contextualSpacing/>
              <w:rPr>
                <w:b/>
                <w:sz w:val="16"/>
                <w:lang w:val="en-US"/>
              </w:rPr>
            </w:pPr>
            <w:r w:rsidRPr="001C32D9">
              <w:rPr>
                <w:rFonts w:ascii="Calibri" w:hAnsi="Calibri" w:cs="Calibri"/>
                <w:sz w:val="16"/>
              </w:rPr>
              <w:t>NM_005027.4</w:t>
            </w:r>
          </w:p>
        </w:tc>
        <w:tc>
          <w:tcPr>
            <w:tcW w:w="1628" w:type="dxa"/>
          </w:tcPr>
          <w:p w14:paraId="71CD737A" w14:textId="77777777" w:rsidR="0052034B" w:rsidRPr="001C32D9" w:rsidRDefault="0052034B" w:rsidP="00D24145">
            <w:pPr>
              <w:spacing w:line="260" w:lineRule="exact"/>
              <w:contextualSpacing/>
              <w:rPr>
                <w:b/>
                <w:sz w:val="16"/>
                <w:lang w:val="en-US"/>
              </w:rPr>
            </w:pPr>
            <w:r w:rsidRPr="001C32D9">
              <w:rPr>
                <w:rFonts w:ascii="Calibri" w:hAnsi="Calibri" w:cs="Calibri"/>
                <w:sz w:val="16"/>
              </w:rPr>
              <w:t>c.1938C&gt;T; p.I646I</w:t>
            </w:r>
          </w:p>
        </w:tc>
        <w:tc>
          <w:tcPr>
            <w:tcW w:w="1148" w:type="dxa"/>
          </w:tcPr>
          <w:p w14:paraId="71D3FC1D" w14:textId="77777777" w:rsidR="0052034B" w:rsidRPr="001C32D9" w:rsidRDefault="0052034B" w:rsidP="00D24145">
            <w:pPr>
              <w:spacing w:line="260" w:lineRule="exact"/>
              <w:contextualSpacing/>
              <w:rPr>
                <w:b/>
                <w:sz w:val="16"/>
                <w:lang w:val="en-US"/>
              </w:rPr>
            </w:pPr>
            <w:r w:rsidRPr="001C32D9">
              <w:rPr>
                <w:rFonts w:ascii="Calibri" w:hAnsi="Calibri" w:cs="Calibri"/>
                <w:sz w:val="16"/>
              </w:rPr>
              <w:t>synonymous</w:t>
            </w:r>
          </w:p>
        </w:tc>
        <w:tc>
          <w:tcPr>
            <w:tcW w:w="882" w:type="dxa"/>
          </w:tcPr>
          <w:p w14:paraId="6C7BDAD8" w14:textId="77777777" w:rsidR="0052034B" w:rsidRPr="001C32D9" w:rsidRDefault="0052034B" w:rsidP="00D24145">
            <w:pPr>
              <w:spacing w:line="260" w:lineRule="exact"/>
              <w:contextualSpacing/>
              <w:rPr>
                <w:b/>
                <w:sz w:val="16"/>
                <w:lang w:val="en-US"/>
              </w:rPr>
            </w:pPr>
            <w:r w:rsidRPr="001C32D9">
              <w:rPr>
                <w:rFonts w:ascii="Calibri" w:hAnsi="Calibri" w:cs="Calibri"/>
                <w:sz w:val="16"/>
              </w:rPr>
              <w:t>19.070; 23.5</w:t>
            </w:r>
          </w:p>
        </w:tc>
        <w:tc>
          <w:tcPr>
            <w:tcW w:w="969" w:type="dxa"/>
          </w:tcPr>
          <w:p w14:paraId="6687897A" w14:textId="77777777" w:rsidR="0052034B" w:rsidRPr="001C32D9" w:rsidRDefault="0052034B" w:rsidP="00D24145">
            <w:pPr>
              <w:spacing w:line="260" w:lineRule="exact"/>
              <w:contextualSpacing/>
              <w:rPr>
                <w:b/>
                <w:sz w:val="16"/>
                <w:lang w:val="en-US"/>
              </w:rPr>
            </w:pPr>
            <w:r w:rsidRPr="001C32D9">
              <w:rPr>
                <w:rFonts w:ascii="Calibri" w:hAnsi="Calibri" w:cs="Calibri"/>
                <w:sz w:val="16"/>
              </w:rPr>
              <w:t> NA</w:t>
            </w:r>
          </w:p>
        </w:tc>
        <w:tc>
          <w:tcPr>
            <w:tcW w:w="853" w:type="dxa"/>
          </w:tcPr>
          <w:p w14:paraId="78B1F4A5" w14:textId="77777777" w:rsidR="0052034B" w:rsidRPr="001C32D9" w:rsidRDefault="0052034B" w:rsidP="00D24145">
            <w:pPr>
              <w:spacing w:line="260" w:lineRule="exact"/>
              <w:contextualSpacing/>
              <w:rPr>
                <w:b/>
                <w:sz w:val="16"/>
                <w:lang w:val="en-US"/>
              </w:rPr>
            </w:pPr>
            <w:r w:rsidRPr="001C32D9">
              <w:rPr>
                <w:rFonts w:ascii="Calibri" w:hAnsi="Calibri" w:cs="Calibri"/>
                <w:sz w:val="16"/>
              </w:rPr>
              <w:t>0.068</w:t>
            </w:r>
          </w:p>
        </w:tc>
        <w:tc>
          <w:tcPr>
            <w:tcW w:w="994" w:type="dxa"/>
          </w:tcPr>
          <w:p w14:paraId="5E034A49" w14:textId="77777777" w:rsidR="0052034B" w:rsidRPr="001C32D9" w:rsidRDefault="0052034B" w:rsidP="00D24145">
            <w:pPr>
              <w:spacing w:line="260" w:lineRule="exact"/>
              <w:contextualSpacing/>
              <w:rPr>
                <w:b/>
                <w:sz w:val="16"/>
                <w:lang w:val="en-US"/>
              </w:rPr>
            </w:pPr>
            <w:r w:rsidRPr="001C32D9">
              <w:rPr>
                <w:rFonts w:ascii="Calibri" w:hAnsi="Calibri" w:cs="Calibri"/>
                <w:sz w:val="16"/>
              </w:rPr>
              <w:t>146987351</w:t>
            </w:r>
          </w:p>
        </w:tc>
      </w:tr>
      <w:tr w:rsidR="0052034B" w14:paraId="25FF3D7E" w14:textId="77777777" w:rsidTr="00D24145">
        <w:trPr>
          <w:trHeight w:val="233"/>
        </w:trPr>
        <w:tc>
          <w:tcPr>
            <w:tcW w:w="988" w:type="dxa"/>
          </w:tcPr>
          <w:p w14:paraId="72B7EBA3" w14:textId="77777777" w:rsidR="0052034B" w:rsidRPr="001C32D9" w:rsidRDefault="0052034B" w:rsidP="00D24145">
            <w:pPr>
              <w:spacing w:line="260" w:lineRule="exact"/>
              <w:contextualSpacing/>
              <w:rPr>
                <w:b/>
                <w:i/>
                <w:iCs/>
                <w:sz w:val="16"/>
                <w:lang w:val="en-US"/>
              </w:rPr>
            </w:pPr>
            <w:r w:rsidRPr="001C32D9">
              <w:rPr>
                <w:rFonts w:ascii="Calibri" w:hAnsi="Calibri" w:cs="Calibri"/>
                <w:b/>
                <w:i/>
                <w:iCs/>
                <w:sz w:val="16"/>
              </w:rPr>
              <w:t>LRBA</w:t>
            </w:r>
          </w:p>
        </w:tc>
        <w:tc>
          <w:tcPr>
            <w:tcW w:w="1490" w:type="dxa"/>
          </w:tcPr>
          <w:p w14:paraId="14D7C860" w14:textId="77777777" w:rsidR="0052034B" w:rsidRPr="001C32D9" w:rsidRDefault="0052034B" w:rsidP="00D24145">
            <w:pPr>
              <w:spacing w:line="260" w:lineRule="exact"/>
              <w:contextualSpacing/>
              <w:rPr>
                <w:b/>
                <w:sz w:val="16"/>
                <w:lang w:val="en-US"/>
              </w:rPr>
            </w:pPr>
            <w:r w:rsidRPr="001C32D9">
              <w:rPr>
                <w:rFonts w:ascii="Calibri" w:hAnsi="Calibri" w:cs="Calibri"/>
                <w:sz w:val="16"/>
              </w:rPr>
              <w:t>NM_006726.4</w:t>
            </w:r>
          </w:p>
        </w:tc>
        <w:tc>
          <w:tcPr>
            <w:tcW w:w="1628" w:type="dxa"/>
          </w:tcPr>
          <w:p w14:paraId="352EBD9A" w14:textId="77777777" w:rsidR="0052034B" w:rsidRPr="001C32D9" w:rsidRDefault="0052034B" w:rsidP="00D24145">
            <w:pPr>
              <w:spacing w:line="260" w:lineRule="exact"/>
              <w:contextualSpacing/>
              <w:rPr>
                <w:b/>
                <w:sz w:val="16"/>
                <w:lang w:val="en-US"/>
              </w:rPr>
            </w:pPr>
            <w:r w:rsidRPr="001C32D9">
              <w:rPr>
                <w:rFonts w:ascii="Calibri" w:hAnsi="Calibri" w:cs="Calibri"/>
                <w:sz w:val="16"/>
              </w:rPr>
              <w:t>c.1903_1905delGGT; p.G635del</w:t>
            </w:r>
          </w:p>
        </w:tc>
        <w:tc>
          <w:tcPr>
            <w:tcW w:w="1148" w:type="dxa"/>
          </w:tcPr>
          <w:p w14:paraId="5D2C95A9" w14:textId="77777777" w:rsidR="0052034B" w:rsidRPr="001C32D9" w:rsidRDefault="0052034B" w:rsidP="00D24145">
            <w:pPr>
              <w:spacing w:line="260" w:lineRule="exact"/>
              <w:contextualSpacing/>
              <w:rPr>
                <w:b/>
                <w:sz w:val="16"/>
                <w:lang w:val="en-US"/>
              </w:rPr>
            </w:pPr>
            <w:r w:rsidRPr="001C32D9">
              <w:rPr>
                <w:rFonts w:ascii="Calibri" w:hAnsi="Calibri" w:cs="Calibri"/>
                <w:sz w:val="16"/>
              </w:rPr>
              <w:t>in-frame</w:t>
            </w:r>
          </w:p>
        </w:tc>
        <w:tc>
          <w:tcPr>
            <w:tcW w:w="882" w:type="dxa"/>
          </w:tcPr>
          <w:p w14:paraId="127650A2" w14:textId="77777777" w:rsidR="0052034B" w:rsidRPr="001C32D9" w:rsidRDefault="0052034B" w:rsidP="00D24145">
            <w:pPr>
              <w:spacing w:line="260" w:lineRule="exact"/>
              <w:contextualSpacing/>
              <w:rPr>
                <w:b/>
                <w:sz w:val="16"/>
                <w:lang w:val="en-US"/>
              </w:rPr>
            </w:pPr>
            <w:r w:rsidRPr="001C32D9">
              <w:rPr>
                <w:rFonts w:ascii="Calibri" w:hAnsi="Calibri" w:cs="Calibri"/>
                <w:sz w:val="16"/>
              </w:rPr>
              <w:t> NA; 23.5</w:t>
            </w:r>
          </w:p>
        </w:tc>
        <w:tc>
          <w:tcPr>
            <w:tcW w:w="969" w:type="dxa"/>
          </w:tcPr>
          <w:p w14:paraId="60002154" w14:textId="77777777" w:rsidR="0052034B" w:rsidRPr="001C32D9" w:rsidRDefault="0052034B" w:rsidP="00D24145">
            <w:pPr>
              <w:spacing w:line="260" w:lineRule="exact"/>
              <w:contextualSpacing/>
              <w:rPr>
                <w:b/>
                <w:sz w:val="16"/>
                <w:lang w:val="en-US"/>
              </w:rPr>
            </w:pPr>
            <w:r w:rsidRPr="001C32D9">
              <w:rPr>
                <w:rFonts w:ascii="Calibri" w:hAnsi="Calibri" w:cs="Calibri"/>
                <w:sz w:val="16"/>
              </w:rPr>
              <w:t> NA</w:t>
            </w:r>
          </w:p>
        </w:tc>
        <w:tc>
          <w:tcPr>
            <w:tcW w:w="853" w:type="dxa"/>
          </w:tcPr>
          <w:p w14:paraId="000B827D" w14:textId="77777777" w:rsidR="0052034B" w:rsidRPr="001C32D9" w:rsidRDefault="0052034B" w:rsidP="00D24145">
            <w:pPr>
              <w:spacing w:line="260" w:lineRule="exact"/>
              <w:contextualSpacing/>
              <w:rPr>
                <w:b/>
                <w:sz w:val="16"/>
                <w:lang w:val="en-US"/>
              </w:rPr>
            </w:pPr>
            <w:r w:rsidRPr="001C32D9">
              <w:rPr>
                <w:rFonts w:ascii="Calibri" w:hAnsi="Calibri" w:cs="Calibri"/>
                <w:sz w:val="16"/>
              </w:rPr>
              <w:t> -</w:t>
            </w:r>
          </w:p>
        </w:tc>
        <w:tc>
          <w:tcPr>
            <w:tcW w:w="994" w:type="dxa"/>
          </w:tcPr>
          <w:p w14:paraId="5499A942" w14:textId="77777777" w:rsidR="0052034B" w:rsidRPr="001C32D9" w:rsidRDefault="0052034B" w:rsidP="00D24145">
            <w:pPr>
              <w:keepNext/>
              <w:spacing w:line="260" w:lineRule="exact"/>
              <w:contextualSpacing/>
              <w:rPr>
                <w:b/>
                <w:sz w:val="16"/>
                <w:lang w:val="en-US"/>
              </w:rPr>
            </w:pPr>
            <w:r w:rsidRPr="001C32D9">
              <w:rPr>
                <w:rFonts w:ascii="Calibri" w:hAnsi="Calibri" w:cs="Calibri"/>
                <w:sz w:val="16"/>
              </w:rPr>
              <w:t> -</w:t>
            </w:r>
          </w:p>
        </w:tc>
      </w:tr>
    </w:tbl>
    <w:p w14:paraId="4BE6DD32" w14:textId="77777777" w:rsidR="0052034B" w:rsidRDefault="0052034B" w:rsidP="0052034B">
      <w:pPr>
        <w:pStyle w:val="Billedtekst"/>
        <w:spacing w:line="480" w:lineRule="auto"/>
        <w:jc w:val="both"/>
        <w:rPr>
          <w:b/>
          <w:i w:val="0"/>
          <w:color w:val="auto"/>
          <w:sz w:val="22"/>
          <w:szCs w:val="22"/>
        </w:rPr>
      </w:pPr>
    </w:p>
    <w:p w14:paraId="72C09982" w14:textId="3D8ABBA5" w:rsidR="0052034B" w:rsidRPr="00F46A91" w:rsidRDefault="0052034B" w:rsidP="0052034B">
      <w:pPr>
        <w:pStyle w:val="Billedtekst"/>
        <w:spacing w:line="480" w:lineRule="auto"/>
        <w:jc w:val="both"/>
        <w:rPr>
          <w:sz w:val="22"/>
          <w:szCs w:val="22"/>
        </w:rPr>
      </w:pPr>
      <w:r w:rsidRPr="00707203">
        <w:rPr>
          <w:b/>
          <w:i w:val="0"/>
          <w:color w:val="auto"/>
          <w:sz w:val="20"/>
          <w:szCs w:val="22"/>
        </w:rPr>
        <w:t xml:space="preserve">Supplementary Table </w:t>
      </w:r>
      <w:r w:rsidRPr="00707203">
        <w:rPr>
          <w:b/>
          <w:i w:val="0"/>
          <w:color w:val="auto"/>
          <w:sz w:val="20"/>
          <w:szCs w:val="22"/>
        </w:rPr>
        <w:fldChar w:fldCharType="begin"/>
      </w:r>
      <w:r w:rsidRPr="00707203">
        <w:rPr>
          <w:b/>
          <w:i w:val="0"/>
          <w:color w:val="auto"/>
          <w:sz w:val="20"/>
          <w:szCs w:val="22"/>
        </w:rPr>
        <w:instrText xml:space="preserve"> SEQ Table \* ARABIC </w:instrText>
      </w:r>
      <w:r w:rsidRPr="00707203">
        <w:rPr>
          <w:b/>
          <w:i w:val="0"/>
          <w:color w:val="auto"/>
          <w:sz w:val="20"/>
          <w:szCs w:val="22"/>
        </w:rPr>
        <w:fldChar w:fldCharType="separate"/>
      </w:r>
      <w:r w:rsidRPr="00707203">
        <w:rPr>
          <w:b/>
          <w:i w:val="0"/>
          <w:noProof/>
          <w:color w:val="auto"/>
          <w:sz w:val="20"/>
          <w:szCs w:val="22"/>
        </w:rPr>
        <w:t>1</w:t>
      </w:r>
      <w:r w:rsidRPr="00707203">
        <w:rPr>
          <w:b/>
          <w:i w:val="0"/>
          <w:color w:val="auto"/>
          <w:sz w:val="20"/>
          <w:szCs w:val="22"/>
        </w:rPr>
        <w:fldChar w:fldCharType="end"/>
      </w:r>
      <w:r w:rsidRPr="00707203">
        <w:rPr>
          <w:b/>
          <w:i w:val="0"/>
          <w:color w:val="auto"/>
          <w:sz w:val="20"/>
          <w:szCs w:val="22"/>
        </w:rPr>
        <w:t xml:space="preserve">. Additional genetic variants identified in the patient by whole exome sequencing and not ascribed a disease-causing potential. </w:t>
      </w:r>
      <w:r w:rsidRPr="00707203">
        <w:rPr>
          <w:i w:val="0"/>
          <w:color w:val="auto"/>
          <w:sz w:val="20"/>
          <w:szCs w:val="22"/>
        </w:rPr>
        <w:t>C</w:t>
      </w:r>
      <w:r w:rsidRPr="00707203">
        <w:rPr>
          <w:rFonts w:cstheme="minorHAnsi"/>
          <w:i w:val="0"/>
          <w:color w:val="auto"/>
          <w:sz w:val="20"/>
          <w:szCs w:val="22"/>
        </w:rPr>
        <w:t>ADD</w:t>
      </w:r>
      <w:r w:rsidR="00BA4015">
        <w:rPr>
          <w:rFonts w:cstheme="minorHAnsi"/>
          <w:i w:val="0"/>
          <w:color w:val="auto"/>
          <w:sz w:val="20"/>
          <w:szCs w:val="22"/>
        </w:rPr>
        <w:t>,</w:t>
      </w:r>
      <w:r w:rsidRPr="00707203">
        <w:rPr>
          <w:rFonts w:cstheme="minorHAnsi"/>
          <w:i w:val="0"/>
          <w:color w:val="auto"/>
          <w:sz w:val="20"/>
          <w:szCs w:val="22"/>
        </w:rPr>
        <w:t xml:space="preserve"> Combined Annotation Dependent Depletion</w:t>
      </w:r>
      <w:r w:rsidR="00BA4015">
        <w:rPr>
          <w:rFonts w:cstheme="minorHAnsi"/>
          <w:i w:val="0"/>
          <w:color w:val="auto"/>
          <w:sz w:val="20"/>
          <w:szCs w:val="22"/>
        </w:rPr>
        <w:t>;</w:t>
      </w:r>
      <w:r w:rsidRPr="00707203">
        <w:rPr>
          <w:rFonts w:cstheme="minorHAnsi"/>
          <w:i w:val="0"/>
          <w:color w:val="auto"/>
          <w:sz w:val="20"/>
          <w:szCs w:val="22"/>
        </w:rPr>
        <w:t xml:space="preserve"> MSC</w:t>
      </w:r>
      <w:r w:rsidR="00BA4015">
        <w:rPr>
          <w:rFonts w:cstheme="minorHAnsi"/>
          <w:i w:val="0"/>
          <w:color w:val="auto"/>
          <w:sz w:val="20"/>
          <w:szCs w:val="22"/>
        </w:rPr>
        <w:t>,</w:t>
      </w:r>
      <w:r w:rsidRPr="00707203">
        <w:rPr>
          <w:rFonts w:cstheme="minorHAnsi"/>
          <w:i w:val="0"/>
          <w:color w:val="auto"/>
          <w:sz w:val="20"/>
          <w:szCs w:val="22"/>
        </w:rPr>
        <w:t xml:space="preserve"> Mutation significance cutoff</w:t>
      </w:r>
      <w:r w:rsidR="00BA4015">
        <w:rPr>
          <w:rFonts w:cstheme="minorHAnsi"/>
          <w:i w:val="0"/>
          <w:color w:val="auto"/>
          <w:sz w:val="20"/>
          <w:szCs w:val="22"/>
        </w:rPr>
        <w:t xml:space="preserve">; </w:t>
      </w:r>
      <w:r w:rsidRPr="00707203">
        <w:rPr>
          <w:rFonts w:cstheme="minorHAnsi"/>
          <w:i w:val="0"/>
          <w:color w:val="auto"/>
          <w:sz w:val="20"/>
          <w:szCs w:val="22"/>
        </w:rPr>
        <w:t>SIFT</w:t>
      </w:r>
      <w:r w:rsidR="00BA4015">
        <w:rPr>
          <w:rFonts w:cstheme="minorHAnsi"/>
          <w:i w:val="0"/>
          <w:color w:val="auto"/>
          <w:sz w:val="20"/>
          <w:szCs w:val="22"/>
        </w:rPr>
        <w:t xml:space="preserve">, </w:t>
      </w:r>
      <w:r w:rsidRPr="00707203">
        <w:rPr>
          <w:rFonts w:cstheme="minorHAnsi"/>
          <w:i w:val="0"/>
          <w:color w:val="auto"/>
          <w:sz w:val="20"/>
          <w:szCs w:val="22"/>
        </w:rPr>
        <w:t>Sorting Intolerant From Tolerant</w:t>
      </w:r>
      <w:r w:rsidR="00BA4015">
        <w:rPr>
          <w:rFonts w:cstheme="minorHAnsi"/>
          <w:i w:val="0"/>
          <w:color w:val="auto"/>
          <w:sz w:val="20"/>
          <w:szCs w:val="22"/>
        </w:rPr>
        <w:t>;</w:t>
      </w:r>
      <w:r w:rsidRPr="00707203">
        <w:rPr>
          <w:rFonts w:cstheme="minorHAnsi"/>
          <w:i w:val="0"/>
          <w:color w:val="auto"/>
          <w:sz w:val="20"/>
          <w:szCs w:val="22"/>
        </w:rPr>
        <w:t xml:space="preserve"> gnomAD</w:t>
      </w:r>
      <w:r w:rsidR="00BA4015">
        <w:rPr>
          <w:rFonts w:cstheme="minorHAnsi"/>
          <w:i w:val="0"/>
          <w:color w:val="auto"/>
          <w:sz w:val="20"/>
          <w:szCs w:val="22"/>
        </w:rPr>
        <w:t>,</w:t>
      </w:r>
      <w:r w:rsidRPr="00707203">
        <w:rPr>
          <w:rFonts w:cstheme="minorHAnsi"/>
          <w:i w:val="0"/>
          <w:color w:val="auto"/>
          <w:sz w:val="20"/>
          <w:szCs w:val="22"/>
        </w:rPr>
        <w:t xml:space="preserve"> The genome aggregation database</w:t>
      </w:r>
      <w:r w:rsidR="00BA4015">
        <w:rPr>
          <w:rFonts w:cstheme="minorHAnsi"/>
          <w:i w:val="0"/>
          <w:color w:val="auto"/>
          <w:sz w:val="20"/>
          <w:szCs w:val="22"/>
        </w:rPr>
        <w:t>;</w:t>
      </w:r>
      <w:r w:rsidRPr="00707203">
        <w:rPr>
          <w:rFonts w:cstheme="minorHAnsi"/>
          <w:i w:val="0"/>
          <w:color w:val="auto"/>
          <w:sz w:val="20"/>
          <w:szCs w:val="22"/>
        </w:rPr>
        <w:t xml:space="preserve"> </w:t>
      </w:r>
      <w:r w:rsidRPr="00707203">
        <w:rPr>
          <w:i w:val="0"/>
          <w:color w:val="auto"/>
          <w:sz w:val="20"/>
          <w:szCs w:val="22"/>
        </w:rPr>
        <w:t>NA</w:t>
      </w:r>
      <w:r w:rsidR="00BA4015">
        <w:rPr>
          <w:i w:val="0"/>
          <w:color w:val="auto"/>
          <w:sz w:val="20"/>
          <w:szCs w:val="22"/>
        </w:rPr>
        <w:t>,</w:t>
      </w:r>
      <w:r w:rsidRPr="00707203">
        <w:rPr>
          <w:i w:val="0"/>
          <w:color w:val="auto"/>
          <w:sz w:val="20"/>
          <w:szCs w:val="22"/>
        </w:rPr>
        <w:t xml:space="preserve"> Information not available</w:t>
      </w:r>
      <w:r w:rsidR="00BA4015">
        <w:rPr>
          <w:i w:val="0"/>
          <w:color w:val="auto"/>
          <w:sz w:val="20"/>
          <w:szCs w:val="22"/>
        </w:rPr>
        <w:t>;</w:t>
      </w:r>
      <w:r w:rsidRPr="00707203">
        <w:rPr>
          <w:i w:val="0"/>
          <w:color w:val="auto"/>
          <w:sz w:val="20"/>
          <w:szCs w:val="22"/>
        </w:rPr>
        <w:t xml:space="preserve"> -</w:t>
      </w:r>
      <w:r w:rsidR="00BA4015">
        <w:rPr>
          <w:i w:val="0"/>
          <w:color w:val="auto"/>
          <w:sz w:val="20"/>
          <w:szCs w:val="22"/>
        </w:rPr>
        <w:t xml:space="preserve">, </w:t>
      </w:r>
      <w:r w:rsidRPr="00707203">
        <w:rPr>
          <w:i w:val="0"/>
          <w:color w:val="auto"/>
          <w:sz w:val="20"/>
          <w:szCs w:val="22"/>
        </w:rPr>
        <w:t xml:space="preserve"> variant not reported in gnomAD</w:t>
      </w:r>
      <w:r w:rsidRPr="00F46A91">
        <w:rPr>
          <w:i w:val="0"/>
          <w:color w:val="auto"/>
          <w:sz w:val="22"/>
          <w:szCs w:val="22"/>
        </w:rPr>
        <w:t>.</w:t>
      </w:r>
      <w:r w:rsidRPr="00F46A91">
        <w:rPr>
          <w:color w:val="auto"/>
          <w:sz w:val="22"/>
          <w:szCs w:val="22"/>
        </w:rPr>
        <w:t xml:space="preserve"> </w:t>
      </w:r>
    </w:p>
    <w:p w14:paraId="61CE01F7" w14:textId="77777777" w:rsidR="0052034B" w:rsidRDefault="0052034B" w:rsidP="0052034B">
      <w:pPr>
        <w:spacing w:line="480" w:lineRule="auto"/>
        <w:jc w:val="both"/>
        <w:rPr>
          <w:b/>
          <w:lang w:val="en-US"/>
        </w:rPr>
      </w:pPr>
    </w:p>
    <w:p w14:paraId="372E56BE" w14:textId="77777777" w:rsidR="0052034B" w:rsidRDefault="0052034B" w:rsidP="0052034B">
      <w:pPr>
        <w:spacing w:line="480" w:lineRule="auto"/>
        <w:jc w:val="both"/>
        <w:rPr>
          <w:b/>
          <w:lang w:val="en-US"/>
        </w:rPr>
      </w:pPr>
    </w:p>
    <w:p w14:paraId="07C29417" w14:textId="77777777" w:rsidR="0052034B" w:rsidRDefault="0052034B" w:rsidP="0052034B">
      <w:pPr>
        <w:spacing w:line="480" w:lineRule="auto"/>
        <w:jc w:val="both"/>
        <w:rPr>
          <w:b/>
          <w:lang w:val="en-US"/>
        </w:rPr>
      </w:pPr>
    </w:p>
    <w:p w14:paraId="4EB7DA65" w14:textId="77777777" w:rsidR="0052034B" w:rsidRDefault="0052034B" w:rsidP="0052034B">
      <w:pPr>
        <w:spacing w:line="480" w:lineRule="auto"/>
        <w:jc w:val="both"/>
        <w:rPr>
          <w:b/>
          <w:lang w:val="en-US"/>
        </w:rPr>
      </w:pPr>
    </w:p>
    <w:p w14:paraId="7E423CB0" w14:textId="77777777" w:rsidR="0052034B" w:rsidRDefault="0052034B" w:rsidP="0052034B">
      <w:pPr>
        <w:spacing w:line="480" w:lineRule="auto"/>
        <w:jc w:val="both"/>
        <w:rPr>
          <w:b/>
          <w:lang w:val="en-US"/>
        </w:rPr>
      </w:pPr>
    </w:p>
    <w:tbl>
      <w:tblPr>
        <w:tblStyle w:val="Gittertabel1-lys"/>
        <w:tblW w:w="0" w:type="auto"/>
        <w:tblLook w:val="04A0" w:firstRow="1" w:lastRow="0" w:firstColumn="1" w:lastColumn="0" w:noHBand="0" w:noVBand="1"/>
      </w:tblPr>
      <w:tblGrid>
        <w:gridCol w:w="3539"/>
        <w:gridCol w:w="2552"/>
        <w:gridCol w:w="2400"/>
      </w:tblGrid>
      <w:tr w:rsidR="0052034B" w14:paraId="7A089E6D" w14:textId="77777777" w:rsidTr="00D24145">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539" w:type="dxa"/>
          </w:tcPr>
          <w:p w14:paraId="1D99AB11" w14:textId="77777777" w:rsidR="0052034B" w:rsidRPr="00BD584F" w:rsidRDefault="0052034B" w:rsidP="00D24145">
            <w:pPr>
              <w:rPr>
                <w:sz w:val="20"/>
                <w:lang w:val="en-US"/>
              </w:rPr>
            </w:pPr>
          </w:p>
        </w:tc>
        <w:tc>
          <w:tcPr>
            <w:tcW w:w="2552" w:type="dxa"/>
          </w:tcPr>
          <w:p w14:paraId="2B447A74" w14:textId="77777777" w:rsidR="0052034B" w:rsidRPr="00BD584F" w:rsidRDefault="0052034B" w:rsidP="00D24145">
            <w:pPr>
              <w:cnfStyle w:val="100000000000" w:firstRow="1" w:lastRow="0" w:firstColumn="0" w:lastColumn="0" w:oddVBand="0" w:evenVBand="0" w:oddHBand="0" w:evenHBand="0" w:firstRowFirstColumn="0" w:firstRowLastColumn="0" w:lastRowFirstColumn="0" w:lastRowLastColumn="0"/>
              <w:rPr>
                <w:sz w:val="20"/>
              </w:rPr>
            </w:pPr>
            <w:r w:rsidRPr="00BD584F">
              <w:rPr>
                <w:sz w:val="20"/>
              </w:rPr>
              <w:t>Patient value</w:t>
            </w:r>
          </w:p>
        </w:tc>
        <w:tc>
          <w:tcPr>
            <w:tcW w:w="2400" w:type="dxa"/>
          </w:tcPr>
          <w:p w14:paraId="7D1A6E5B" w14:textId="77777777" w:rsidR="0052034B" w:rsidRPr="00BD584F" w:rsidRDefault="0052034B" w:rsidP="00D24145">
            <w:pPr>
              <w:cnfStyle w:val="100000000000" w:firstRow="1" w:lastRow="0" w:firstColumn="0" w:lastColumn="0" w:oddVBand="0" w:evenVBand="0" w:oddHBand="0" w:evenHBand="0" w:firstRowFirstColumn="0" w:firstRowLastColumn="0" w:lastRowFirstColumn="0" w:lastRowLastColumn="0"/>
              <w:rPr>
                <w:sz w:val="20"/>
              </w:rPr>
            </w:pPr>
            <w:r w:rsidRPr="00BD584F">
              <w:rPr>
                <w:sz w:val="20"/>
              </w:rPr>
              <w:t>Normal value</w:t>
            </w:r>
          </w:p>
        </w:tc>
      </w:tr>
      <w:tr w:rsidR="0052034B" w14:paraId="0083D9C1" w14:textId="77777777" w:rsidTr="00D24145">
        <w:trPr>
          <w:trHeight w:val="286"/>
        </w:trPr>
        <w:tc>
          <w:tcPr>
            <w:cnfStyle w:val="001000000000" w:firstRow="0" w:lastRow="0" w:firstColumn="1" w:lastColumn="0" w:oddVBand="0" w:evenVBand="0" w:oddHBand="0" w:evenHBand="0" w:firstRowFirstColumn="0" w:firstRowLastColumn="0" w:lastRowFirstColumn="0" w:lastRowLastColumn="0"/>
            <w:tcW w:w="3539" w:type="dxa"/>
          </w:tcPr>
          <w:p w14:paraId="37B2C817" w14:textId="77777777" w:rsidR="0052034B" w:rsidRPr="00BD584F" w:rsidRDefault="0052034B" w:rsidP="00D24145">
            <w:pPr>
              <w:rPr>
                <w:sz w:val="20"/>
              </w:rPr>
            </w:pPr>
            <w:r>
              <w:rPr>
                <w:sz w:val="20"/>
              </w:rPr>
              <w:t>Total lymphocytes</w:t>
            </w:r>
          </w:p>
        </w:tc>
        <w:tc>
          <w:tcPr>
            <w:tcW w:w="2552" w:type="dxa"/>
          </w:tcPr>
          <w:p w14:paraId="60B2E402"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Pr>
                <w:sz w:val="20"/>
              </w:rPr>
              <w:t>0.3*</w:t>
            </w:r>
            <w:r w:rsidRPr="00BD584F">
              <w:rPr>
                <w:sz w:val="20"/>
              </w:rPr>
              <w:t>10</w:t>
            </w:r>
            <w:r w:rsidRPr="00BD584F">
              <w:rPr>
                <w:sz w:val="20"/>
                <w:vertAlign w:val="superscript"/>
              </w:rPr>
              <w:t xml:space="preserve">9 </w:t>
            </w:r>
            <w:r w:rsidRPr="00BD584F">
              <w:rPr>
                <w:sz w:val="20"/>
              </w:rPr>
              <w:t>cells/L</w:t>
            </w:r>
          </w:p>
        </w:tc>
        <w:tc>
          <w:tcPr>
            <w:tcW w:w="2400" w:type="dxa"/>
          </w:tcPr>
          <w:p w14:paraId="49E20FC5"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Pr>
                <w:sz w:val="20"/>
              </w:rPr>
              <w:t>1.10-9.90*1</w:t>
            </w:r>
            <w:r w:rsidRPr="00BD584F">
              <w:rPr>
                <w:sz w:val="20"/>
              </w:rPr>
              <w:t>0</w:t>
            </w:r>
            <w:r w:rsidRPr="00BD584F">
              <w:rPr>
                <w:sz w:val="20"/>
                <w:vertAlign w:val="superscript"/>
              </w:rPr>
              <w:t xml:space="preserve">9 </w:t>
            </w:r>
            <w:r w:rsidRPr="00BD584F">
              <w:rPr>
                <w:sz w:val="20"/>
              </w:rPr>
              <w:t>cells/L</w:t>
            </w:r>
          </w:p>
        </w:tc>
      </w:tr>
      <w:tr w:rsidR="0052034B" w14:paraId="61E52BFA" w14:textId="77777777" w:rsidTr="00D24145">
        <w:trPr>
          <w:trHeight w:val="286"/>
        </w:trPr>
        <w:tc>
          <w:tcPr>
            <w:cnfStyle w:val="001000000000" w:firstRow="0" w:lastRow="0" w:firstColumn="1" w:lastColumn="0" w:oddVBand="0" w:evenVBand="0" w:oddHBand="0" w:evenHBand="0" w:firstRowFirstColumn="0" w:firstRowLastColumn="0" w:lastRowFirstColumn="0" w:lastRowLastColumn="0"/>
            <w:tcW w:w="3539" w:type="dxa"/>
          </w:tcPr>
          <w:p w14:paraId="5D4564C7" w14:textId="77777777" w:rsidR="0052034B" w:rsidRPr="00BD584F" w:rsidRDefault="0052034B" w:rsidP="00D24145">
            <w:pPr>
              <w:rPr>
                <w:sz w:val="20"/>
              </w:rPr>
            </w:pPr>
            <w:r w:rsidRPr="00BD584F">
              <w:rPr>
                <w:sz w:val="20"/>
              </w:rPr>
              <w:t>CD3- CD56+ (NK) cells</w:t>
            </w:r>
          </w:p>
        </w:tc>
        <w:tc>
          <w:tcPr>
            <w:tcW w:w="2552" w:type="dxa"/>
          </w:tcPr>
          <w:p w14:paraId="4A3811D1"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 xml:space="preserve"> 0.01*10</w:t>
            </w:r>
            <w:r w:rsidRPr="00BD584F">
              <w:rPr>
                <w:sz w:val="20"/>
                <w:vertAlign w:val="superscript"/>
              </w:rPr>
              <w:t xml:space="preserve">9 </w:t>
            </w:r>
            <w:r w:rsidRPr="00BD584F">
              <w:rPr>
                <w:sz w:val="20"/>
              </w:rPr>
              <w:t>cells/L</w:t>
            </w:r>
          </w:p>
        </w:tc>
        <w:tc>
          <w:tcPr>
            <w:tcW w:w="2400" w:type="dxa"/>
          </w:tcPr>
          <w:p w14:paraId="641056F7"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0.05-0.85*10</w:t>
            </w:r>
            <w:r w:rsidRPr="00BD584F">
              <w:rPr>
                <w:sz w:val="20"/>
                <w:vertAlign w:val="superscript"/>
              </w:rPr>
              <w:t xml:space="preserve">9 </w:t>
            </w:r>
            <w:r w:rsidRPr="00BD584F">
              <w:rPr>
                <w:sz w:val="20"/>
              </w:rPr>
              <w:t>cells/L</w:t>
            </w:r>
          </w:p>
        </w:tc>
      </w:tr>
      <w:tr w:rsidR="0052034B" w14:paraId="514FCCB4" w14:textId="77777777" w:rsidTr="00D24145">
        <w:trPr>
          <w:trHeight w:val="299"/>
        </w:trPr>
        <w:tc>
          <w:tcPr>
            <w:cnfStyle w:val="001000000000" w:firstRow="0" w:lastRow="0" w:firstColumn="1" w:lastColumn="0" w:oddVBand="0" w:evenVBand="0" w:oddHBand="0" w:evenHBand="0" w:firstRowFirstColumn="0" w:firstRowLastColumn="0" w:lastRowFirstColumn="0" w:lastRowLastColumn="0"/>
            <w:tcW w:w="3539" w:type="dxa"/>
          </w:tcPr>
          <w:p w14:paraId="2FD50564" w14:textId="77777777" w:rsidR="0052034B" w:rsidRPr="00BD584F" w:rsidRDefault="0052034B" w:rsidP="00D24145">
            <w:pPr>
              <w:rPr>
                <w:sz w:val="20"/>
              </w:rPr>
            </w:pPr>
            <w:r w:rsidRPr="00BD584F">
              <w:rPr>
                <w:sz w:val="20"/>
              </w:rPr>
              <w:t>CD3+ (T) cells</w:t>
            </w:r>
          </w:p>
        </w:tc>
        <w:tc>
          <w:tcPr>
            <w:tcW w:w="2552" w:type="dxa"/>
          </w:tcPr>
          <w:p w14:paraId="1A3C9291"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1.26*10</w:t>
            </w:r>
            <w:r w:rsidRPr="00BD584F">
              <w:rPr>
                <w:sz w:val="20"/>
                <w:vertAlign w:val="superscript"/>
              </w:rPr>
              <w:t xml:space="preserve">9 </w:t>
            </w:r>
            <w:r w:rsidRPr="00BD584F">
              <w:rPr>
                <w:sz w:val="20"/>
              </w:rPr>
              <w:t>cells/L</w:t>
            </w:r>
          </w:p>
        </w:tc>
        <w:tc>
          <w:tcPr>
            <w:tcW w:w="2400" w:type="dxa"/>
          </w:tcPr>
          <w:p w14:paraId="20CF71DC"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1.95-6.70*10</w:t>
            </w:r>
            <w:r w:rsidRPr="00BD584F">
              <w:rPr>
                <w:sz w:val="20"/>
                <w:vertAlign w:val="superscript"/>
              </w:rPr>
              <w:t xml:space="preserve">9 </w:t>
            </w:r>
            <w:r w:rsidRPr="00BD584F">
              <w:rPr>
                <w:sz w:val="20"/>
              </w:rPr>
              <w:t>cells/L</w:t>
            </w:r>
          </w:p>
        </w:tc>
      </w:tr>
      <w:tr w:rsidR="0052034B" w14:paraId="699EE0F8" w14:textId="77777777" w:rsidTr="00D24145">
        <w:trPr>
          <w:trHeight w:val="299"/>
        </w:trPr>
        <w:tc>
          <w:tcPr>
            <w:cnfStyle w:val="001000000000" w:firstRow="0" w:lastRow="0" w:firstColumn="1" w:lastColumn="0" w:oddVBand="0" w:evenVBand="0" w:oddHBand="0" w:evenHBand="0" w:firstRowFirstColumn="0" w:firstRowLastColumn="0" w:lastRowFirstColumn="0" w:lastRowLastColumn="0"/>
            <w:tcW w:w="3539" w:type="dxa"/>
          </w:tcPr>
          <w:p w14:paraId="7D6CEFAD" w14:textId="77777777" w:rsidR="0052034B" w:rsidRPr="00BD584F" w:rsidRDefault="0052034B" w:rsidP="00D24145">
            <w:pPr>
              <w:rPr>
                <w:sz w:val="20"/>
              </w:rPr>
            </w:pPr>
            <w:r w:rsidRPr="00BD584F">
              <w:rPr>
                <w:sz w:val="20"/>
              </w:rPr>
              <w:t>CD3+ CD4+ (T) cells</w:t>
            </w:r>
          </w:p>
        </w:tc>
        <w:tc>
          <w:tcPr>
            <w:tcW w:w="2552" w:type="dxa"/>
          </w:tcPr>
          <w:p w14:paraId="5733BB54"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0.79*10</w:t>
            </w:r>
            <w:r w:rsidRPr="00BD584F">
              <w:rPr>
                <w:sz w:val="20"/>
                <w:vertAlign w:val="superscript"/>
              </w:rPr>
              <w:t xml:space="preserve">9 </w:t>
            </w:r>
            <w:r w:rsidRPr="00BD584F">
              <w:rPr>
                <w:sz w:val="20"/>
              </w:rPr>
              <w:t>cells/L</w:t>
            </w:r>
          </w:p>
        </w:tc>
        <w:tc>
          <w:tcPr>
            <w:tcW w:w="2400" w:type="dxa"/>
          </w:tcPr>
          <w:p w14:paraId="76A66C8A"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0.7-2.5*10</w:t>
            </w:r>
            <w:r w:rsidRPr="00BD584F">
              <w:rPr>
                <w:sz w:val="20"/>
                <w:vertAlign w:val="superscript"/>
              </w:rPr>
              <w:t xml:space="preserve">9 </w:t>
            </w:r>
            <w:r w:rsidRPr="00BD584F">
              <w:rPr>
                <w:sz w:val="20"/>
              </w:rPr>
              <w:t>cells/L</w:t>
            </w:r>
          </w:p>
        </w:tc>
      </w:tr>
      <w:tr w:rsidR="0052034B" w14:paraId="1B29B031" w14:textId="77777777" w:rsidTr="00D24145">
        <w:trPr>
          <w:trHeight w:val="299"/>
        </w:trPr>
        <w:tc>
          <w:tcPr>
            <w:cnfStyle w:val="001000000000" w:firstRow="0" w:lastRow="0" w:firstColumn="1" w:lastColumn="0" w:oddVBand="0" w:evenVBand="0" w:oddHBand="0" w:evenHBand="0" w:firstRowFirstColumn="0" w:firstRowLastColumn="0" w:lastRowFirstColumn="0" w:lastRowLastColumn="0"/>
            <w:tcW w:w="3539" w:type="dxa"/>
          </w:tcPr>
          <w:p w14:paraId="0F29673C" w14:textId="77777777" w:rsidR="0052034B" w:rsidRPr="00BD584F" w:rsidRDefault="0052034B" w:rsidP="00D24145">
            <w:pPr>
              <w:rPr>
                <w:sz w:val="20"/>
              </w:rPr>
            </w:pPr>
            <w:r w:rsidRPr="00BD584F">
              <w:rPr>
                <w:sz w:val="20"/>
              </w:rPr>
              <w:t>CD3+ CD8+ (T) cells</w:t>
            </w:r>
          </w:p>
        </w:tc>
        <w:tc>
          <w:tcPr>
            <w:tcW w:w="2552" w:type="dxa"/>
          </w:tcPr>
          <w:p w14:paraId="426A13CE"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0.44*10</w:t>
            </w:r>
            <w:r w:rsidRPr="00BD584F">
              <w:rPr>
                <w:sz w:val="20"/>
                <w:vertAlign w:val="superscript"/>
              </w:rPr>
              <w:t xml:space="preserve">9 </w:t>
            </w:r>
            <w:r w:rsidRPr="00BD584F">
              <w:rPr>
                <w:sz w:val="20"/>
              </w:rPr>
              <w:t>cells/L</w:t>
            </w:r>
          </w:p>
        </w:tc>
        <w:tc>
          <w:tcPr>
            <w:tcW w:w="2400" w:type="dxa"/>
          </w:tcPr>
          <w:p w14:paraId="7A86A9B6"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0.2-1.20*10</w:t>
            </w:r>
            <w:r w:rsidRPr="00BD584F">
              <w:rPr>
                <w:sz w:val="20"/>
                <w:vertAlign w:val="superscript"/>
              </w:rPr>
              <w:t xml:space="preserve">9 </w:t>
            </w:r>
            <w:r w:rsidRPr="00BD584F">
              <w:rPr>
                <w:sz w:val="20"/>
              </w:rPr>
              <w:t>cells/L</w:t>
            </w:r>
          </w:p>
        </w:tc>
      </w:tr>
      <w:tr w:rsidR="0052034B" w14:paraId="035DD9A2" w14:textId="77777777" w:rsidTr="00D24145">
        <w:trPr>
          <w:trHeight w:val="286"/>
        </w:trPr>
        <w:tc>
          <w:tcPr>
            <w:cnfStyle w:val="001000000000" w:firstRow="0" w:lastRow="0" w:firstColumn="1" w:lastColumn="0" w:oddVBand="0" w:evenVBand="0" w:oddHBand="0" w:evenHBand="0" w:firstRowFirstColumn="0" w:firstRowLastColumn="0" w:lastRowFirstColumn="0" w:lastRowLastColumn="0"/>
            <w:tcW w:w="3539" w:type="dxa"/>
          </w:tcPr>
          <w:p w14:paraId="2959120E" w14:textId="77777777" w:rsidR="0052034B" w:rsidRPr="00BD584F" w:rsidRDefault="0052034B" w:rsidP="00D24145">
            <w:pPr>
              <w:rPr>
                <w:sz w:val="20"/>
              </w:rPr>
            </w:pPr>
            <w:r w:rsidRPr="00BD584F">
              <w:rPr>
                <w:sz w:val="20"/>
              </w:rPr>
              <w:t>CD19+ (B) cells</w:t>
            </w:r>
          </w:p>
        </w:tc>
        <w:tc>
          <w:tcPr>
            <w:tcW w:w="2552" w:type="dxa"/>
          </w:tcPr>
          <w:p w14:paraId="59167D26"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0.07*10</w:t>
            </w:r>
            <w:r w:rsidRPr="00BD584F">
              <w:rPr>
                <w:sz w:val="20"/>
                <w:vertAlign w:val="superscript"/>
              </w:rPr>
              <w:t xml:space="preserve">9 </w:t>
            </w:r>
            <w:r w:rsidRPr="00BD584F">
              <w:rPr>
                <w:sz w:val="20"/>
              </w:rPr>
              <w:t>cells/L</w:t>
            </w:r>
          </w:p>
        </w:tc>
        <w:tc>
          <w:tcPr>
            <w:tcW w:w="2400" w:type="dxa"/>
          </w:tcPr>
          <w:p w14:paraId="4ECC0162"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1.10-9.90*10</w:t>
            </w:r>
            <w:r w:rsidRPr="00BD584F">
              <w:rPr>
                <w:sz w:val="20"/>
                <w:vertAlign w:val="superscript"/>
              </w:rPr>
              <w:t xml:space="preserve">9 </w:t>
            </w:r>
            <w:r w:rsidRPr="00BD584F">
              <w:rPr>
                <w:sz w:val="20"/>
              </w:rPr>
              <w:t>cells/L</w:t>
            </w:r>
          </w:p>
        </w:tc>
      </w:tr>
      <w:tr w:rsidR="0052034B" w14:paraId="58E50BDA" w14:textId="77777777" w:rsidTr="00D24145">
        <w:trPr>
          <w:trHeight w:val="286"/>
        </w:trPr>
        <w:tc>
          <w:tcPr>
            <w:cnfStyle w:val="001000000000" w:firstRow="0" w:lastRow="0" w:firstColumn="1" w:lastColumn="0" w:oddVBand="0" w:evenVBand="0" w:oddHBand="0" w:evenHBand="0" w:firstRowFirstColumn="0" w:firstRowLastColumn="0" w:lastRowFirstColumn="0" w:lastRowLastColumn="0"/>
            <w:tcW w:w="3539" w:type="dxa"/>
          </w:tcPr>
          <w:p w14:paraId="4272C4D6" w14:textId="77777777" w:rsidR="0052034B" w:rsidRPr="00BD584F" w:rsidRDefault="0052034B" w:rsidP="00D24145">
            <w:pPr>
              <w:rPr>
                <w:sz w:val="20"/>
                <w:vertAlign w:val="superscript"/>
                <w:lang w:val="en-US"/>
              </w:rPr>
            </w:pPr>
            <w:r w:rsidRPr="00BD584F">
              <w:rPr>
                <w:sz w:val="20"/>
                <w:lang w:val="en-US"/>
              </w:rPr>
              <w:t>NK cell degranulation (CD107a)</w:t>
            </w:r>
            <w:r w:rsidRPr="00BD584F">
              <w:rPr>
                <w:sz w:val="20"/>
                <w:vertAlign w:val="superscript"/>
                <w:lang w:val="en-US"/>
              </w:rPr>
              <w:t>a</w:t>
            </w:r>
          </w:p>
        </w:tc>
        <w:tc>
          <w:tcPr>
            <w:tcW w:w="2552" w:type="dxa"/>
          </w:tcPr>
          <w:p w14:paraId="47F62D4B"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24%</w:t>
            </w:r>
          </w:p>
        </w:tc>
        <w:tc>
          <w:tcPr>
            <w:tcW w:w="2400" w:type="dxa"/>
          </w:tcPr>
          <w:p w14:paraId="4A347122" w14:textId="77777777" w:rsidR="0052034B" w:rsidRPr="009E4C03" w:rsidRDefault="0052034B" w:rsidP="00D24145">
            <w:pPr>
              <w:cnfStyle w:val="000000000000" w:firstRow="0" w:lastRow="0" w:firstColumn="0" w:lastColumn="0" w:oddVBand="0" w:evenVBand="0" w:oddHBand="0" w:evenHBand="0" w:firstRowFirstColumn="0" w:firstRowLastColumn="0" w:lastRowFirstColumn="0" w:lastRowLastColumn="0"/>
              <w:rPr>
                <w:sz w:val="20"/>
                <w:vertAlign w:val="superscript"/>
              </w:rPr>
            </w:pPr>
            <w:r w:rsidRPr="00BD584F">
              <w:rPr>
                <w:sz w:val="20"/>
              </w:rPr>
              <w:t>19%</w:t>
            </w:r>
            <w:r>
              <w:rPr>
                <w:sz w:val="20"/>
                <w:vertAlign w:val="superscript"/>
              </w:rPr>
              <w:t>b</w:t>
            </w:r>
          </w:p>
        </w:tc>
      </w:tr>
      <w:tr w:rsidR="0052034B" w14:paraId="4CC38A10" w14:textId="77777777" w:rsidTr="00D24145">
        <w:trPr>
          <w:trHeight w:val="286"/>
        </w:trPr>
        <w:tc>
          <w:tcPr>
            <w:cnfStyle w:val="001000000000" w:firstRow="0" w:lastRow="0" w:firstColumn="1" w:lastColumn="0" w:oddVBand="0" w:evenVBand="0" w:oddHBand="0" w:evenHBand="0" w:firstRowFirstColumn="0" w:firstRowLastColumn="0" w:lastRowFirstColumn="0" w:lastRowLastColumn="0"/>
            <w:tcW w:w="3539" w:type="dxa"/>
          </w:tcPr>
          <w:p w14:paraId="6604969D" w14:textId="77777777" w:rsidR="0052034B" w:rsidRPr="00BD584F" w:rsidRDefault="0052034B" w:rsidP="00D24145">
            <w:pPr>
              <w:rPr>
                <w:sz w:val="20"/>
                <w:lang w:val="en-US"/>
              </w:rPr>
            </w:pPr>
            <w:r w:rsidRPr="00BD584F">
              <w:rPr>
                <w:sz w:val="20"/>
                <w:lang w:val="en-US"/>
              </w:rPr>
              <w:t>T cell degranulation</w:t>
            </w:r>
            <w:r>
              <w:rPr>
                <w:sz w:val="20"/>
                <w:lang w:val="en-US"/>
              </w:rPr>
              <w:t xml:space="preserve"> </w:t>
            </w:r>
            <w:r w:rsidRPr="00BD584F">
              <w:rPr>
                <w:sz w:val="20"/>
                <w:lang w:val="en-US"/>
              </w:rPr>
              <w:t>(CD107a)</w:t>
            </w:r>
            <w:r>
              <w:rPr>
                <w:sz w:val="20"/>
                <w:vertAlign w:val="superscript"/>
                <w:lang w:val="en-US"/>
              </w:rPr>
              <w:t>c</w:t>
            </w:r>
          </w:p>
        </w:tc>
        <w:tc>
          <w:tcPr>
            <w:tcW w:w="2552" w:type="dxa"/>
          </w:tcPr>
          <w:p w14:paraId="5912FEDE"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77%</w:t>
            </w:r>
          </w:p>
        </w:tc>
        <w:tc>
          <w:tcPr>
            <w:tcW w:w="2400" w:type="dxa"/>
          </w:tcPr>
          <w:p w14:paraId="48C871D3"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 xml:space="preserve"> &gt;5% </w:t>
            </w:r>
          </w:p>
        </w:tc>
      </w:tr>
      <w:tr w:rsidR="0052034B" w14:paraId="49BD4E13" w14:textId="77777777" w:rsidTr="00D24145">
        <w:trPr>
          <w:trHeight w:val="286"/>
        </w:trPr>
        <w:tc>
          <w:tcPr>
            <w:cnfStyle w:val="001000000000" w:firstRow="0" w:lastRow="0" w:firstColumn="1" w:lastColumn="0" w:oddVBand="0" w:evenVBand="0" w:oddHBand="0" w:evenHBand="0" w:firstRowFirstColumn="0" w:firstRowLastColumn="0" w:lastRowFirstColumn="0" w:lastRowLastColumn="0"/>
            <w:tcW w:w="3539" w:type="dxa"/>
          </w:tcPr>
          <w:p w14:paraId="04945C8F" w14:textId="77777777" w:rsidR="0052034B" w:rsidRPr="00BD584F" w:rsidRDefault="0052034B" w:rsidP="00D24145">
            <w:pPr>
              <w:rPr>
                <w:sz w:val="20"/>
              </w:rPr>
            </w:pPr>
            <w:r w:rsidRPr="00BD584F">
              <w:rPr>
                <w:sz w:val="20"/>
              </w:rPr>
              <w:t>NK cell-mediated cytotoxicity</w:t>
            </w:r>
            <w:r>
              <w:rPr>
                <w:sz w:val="20"/>
                <w:vertAlign w:val="superscript"/>
              </w:rPr>
              <w:t>d</w:t>
            </w:r>
          </w:p>
        </w:tc>
        <w:tc>
          <w:tcPr>
            <w:tcW w:w="2552" w:type="dxa"/>
          </w:tcPr>
          <w:p w14:paraId="4AAF9E22"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31 lytic units</w:t>
            </w:r>
          </w:p>
        </w:tc>
        <w:tc>
          <w:tcPr>
            <w:tcW w:w="2400" w:type="dxa"/>
          </w:tcPr>
          <w:p w14:paraId="4E52636E"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&gt;10 lytic units</w:t>
            </w:r>
          </w:p>
        </w:tc>
      </w:tr>
      <w:tr w:rsidR="0052034B" w14:paraId="269A8A14" w14:textId="77777777" w:rsidTr="00D24145">
        <w:trPr>
          <w:trHeight w:val="286"/>
        </w:trPr>
        <w:tc>
          <w:tcPr>
            <w:cnfStyle w:val="001000000000" w:firstRow="0" w:lastRow="0" w:firstColumn="1" w:lastColumn="0" w:oddVBand="0" w:evenVBand="0" w:oddHBand="0" w:evenHBand="0" w:firstRowFirstColumn="0" w:firstRowLastColumn="0" w:lastRowFirstColumn="0" w:lastRowLastColumn="0"/>
            <w:tcW w:w="3539" w:type="dxa"/>
          </w:tcPr>
          <w:p w14:paraId="7E6903F1" w14:textId="77777777" w:rsidR="0052034B" w:rsidRPr="00BD584F" w:rsidRDefault="0052034B" w:rsidP="00D24145">
            <w:pPr>
              <w:rPr>
                <w:sz w:val="20"/>
              </w:rPr>
            </w:pPr>
            <w:r w:rsidRPr="00BD584F">
              <w:rPr>
                <w:sz w:val="20"/>
              </w:rPr>
              <w:t>IgG</w:t>
            </w:r>
          </w:p>
        </w:tc>
        <w:tc>
          <w:tcPr>
            <w:tcW w:w="2552" w:type="dxa"/>
          </w:tcPr>
          <w:p w14:paraId="1DC93AF9"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6.5 g/L</w:t>
            </w:r>
          </w:p>
        </w:tc>
        <w:tc>
          <w:tcPr>
            <w:tcW w:w="2400" w:type="dxa"/>
          </w:tcPr>
          <w:p w14:paraId="4BE83733"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4.1-12.0 g/L</w:t>
            </w:r>
          </w:p>
        </w:tc>
      </w:tr>
      <w:tr w:rsidR="0052034B" w14:paraId="3C21D1BA" w14:textId="77777777" w:rsidTr="00D24145">
        <w:trPr>
          <w:trHeight w:val="299"/>
        </w:trPr>
        <w:tc>
          <w:tcPr>
            <w:cnfStyle w:val="001000000000" w:firstRow="0" w:lastRow="0" w:firstColumn="1" w:lastColumn="0" w:oddVBand="0" w:evenVBand="0" w:oddHBand="0" w:evenHBand="0" w:firstRowFirstColumn="0" w:firstRowLastColumn="0" w:lastRowFirstColumn="0" w:lastRowLastColumn="0"/>
            <w:tcW w:w="3539" w:type="dxa"/>
          </w:tcPr>
          <w:p w14:paraId="11AFDFFC" w14:textId="77777777" w:rsidR="0052034B" w:rsidRPr="00BD584F" w:rsidRDefault="0052034B" w:rsidP="00D24145">
            <w:pPr>
              <w:rPr>
                <w:sz w:val="20"/>
              </w:rPr>
            </w:pPr>
            <w:r w:rsidRPr="00BD584F">
              <w:rPr>
                <w:sz w:val="20"/>
              </w:rPr>
              <w:t>IgM</w:t>
            </w:r>
          </w:p>
        </w:tc>
        <w:tc>
          <w:tcPr>
            <w:tcW w:w="2552" w:type="dxa"/>
          </w:tcPr>
          <w:p w14:paraId="23307B4C"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0.25 g/L</w:t>
            </w:r>
          </w:p>
        </w:tc>
        <w:tc>
          <w:tcPr>
            <w:tcW w:w="2400" w:type="dxa"/>
          </w:tcPr>
          <w:p w14:paraId="15F6E7A8"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0.30-1.84 g/L</w:t>
            </w:r>
          </w:p>
        </w:tc>
      </w:tr>
      <w:tr w:rsidR="0052034B" w14:paraId="58329575" w14:textId="77777777" w:rsidTr="00D24145">
        <w:trPr>
          <w:trHeight w:val="299"/>
        </w:trPr>
        <w:tc>
          <w:tcPr>
            <w:cnfStyle w:val="001000000000" w:firstRow="0" w:lastRow="0" w:firstColumn="1" w:lastColumn="0" w:oddVBand="0" w:evenVBand="0" w:oddHBand="0" w:evenHBand="0" w:firstRowFirstColumn="0" w:firstRowLastColumn="0" w:lastRowFirstColumn="0" w:lastRowLastColumn="0"/>
            <w:tcW w:w="3539" w:type="dxa"/>
          </w:tcPr>
          <w:p w14:paraId="7877A129" w14:textId="77777777" w:rsidR="0052034B" w:rsidRPr="00BD584F" w:rsidRDefault="0052034B" w:rsidP="00D24145">
            <w:pPr>
              <w:rPr>
                <w:sz w:val="20"/>
              </w:rPr>
            </w:pPr>
            <w:r w:rsidRPr="00BD584F">
              <w:rPr>
                <w:sz w:val="20"/>
              </w:rPr>
              <w:t>IgA</w:t>
            </w:r>
          </w:p>
        </w:tc>
        <w:tc>
          <w:tcPr>
            <w:tcW w:w="2552" w:type="dxa"/>
          </w:tcPr>
          <w:p w14:paraId="206EA4DF" w14:textId="77777777" w:rsidR="0052034B" w:rsidRPr="00BD584F" w:rsidRDefault="0052034B" w:rsidP="00D24145">
            <w:pPr>
              <w:cnfStyle w:val="000000000000" w:firstRow="0" w:lastRow="0" w:firstColumn="0" w:lastColumn="0" w:oddVBand="0" w:evenVBand="0" w:oddHBand="0" w:evenHBand="0" w:firstRowFirstColumn="0" w:firstRowLastColumn="0" w:lastRowFirstColumn="0" w:lastRowLastColumn="0"/>
              <w:rPr>
                <w:sz w:val="20"/>
              </w:rPr>
            </w:pPr>
            <w:r w:rsidRPr="00BD584F">
              <w:rPr>
                <w:sz w:val="20"/>
              </w:rPr>
              <w:t>0.48 g/L</w:t>
            </w:r>
          </w:p>
        </w:tc>
        <w:tc>
          <w:tcPr>
            <w:tcW w:w="2400" w:type="dxa"/>
          </w:tcPr>
          <w:p w14:paraId="4FB7C5F8" w14:textId="77777777" w:rsidR="0052034B" w:rsidRPr="00BD584F" w:rsidRDefault="0052034B" w:rsidP="00D24145">
            <w:pPr>
              <w:keepNext/>
              <w:cnfStyle w:val="000000000000" w:firstRow="0" w:lastRow="0" w:firstColumn="0" w:lastColumn="0" w:oddVBand="0" w:evenVBand="0" w:oddHBand="0" w:evenHBand="0" w:firstRowFirstColumn="0" w:firstRowLastColumn="0" w:lastRowFirstColumn="0" w:lastRowLastColumn="0"/>
              <w:rPr>
                <w:sz w:val="20"/>
              </w:rPr>
            </w:pPr>
            <w:r w:rsidRPr="00BD584F">
              <w:rPr>
                <w:sz w:val="20"/>
              </w:rPr>
              <w:t>0.09-1.37 g/L</w:t>
            </w:r>
          </w:p>
        </w:tc>
      </w:tr>
    </w:tbl>
    <w:p w14:paraId="279C8598" w14:textId="77777777" w:rsidR="0052034B" w:rsidRPr="00707203" w:rsidRDefault="0052034B" w:rsidP="00707203">
      <w:pPr>
        <w:pStyle w:val="Billedtekst"/>
        <w:spacing w:after="0" w:line="480" w:lineRule="auto"/>
        <w:contextualSpacing/>
        <w:jc w:val="both"/>
        <w:rPr>
          <w:b/>
          <w:i w:val="0"/>
          <w:color w:val="auto"/>
          <w:sz w:val="20"/>
          <w:szCs w:val="22"/>
          <w:vertAlign w:val="superscript"/>
        </w:rPr>
      </w:pPr>
      <w:r w:rsidRPr="00707203">
        <w:rPr>
          <w:b/>
          <w:i w:val="0"/>
          <w:color w:val="auto"/>
          <w:sz w:val="20"/>
          <w:szCs w:val="22"/>
        </w:rPr>
        <w:t xml:space="preserve">Supplementary Table </w:t>
      </w:r>
      <w:r w:rsidRPr="00707203">
        <w:rPr>
          <w:b/>
          <w:i w:val="0"/>
          <w:color w:val="auto"/>
          <w:sz w:val="20"/>
          <w:szCs w:val="22"/>
        </w:rPr>
        <w:fldChar w:fldCharType="begin"/>
      </w:r>
      <w:r w:rsidRPr="00707203">
        <w:rPr>
          <w:b/>
          <w:i w:val="0"/>
          <w:color w:val="auto"/>
          <w:sz w:val="20"/>
          <w:szCs w:val="22"/>
        </w:rPr>
        <w:instrText xml:space="preserve"> SEQ Table \* ARABIC </w:instrText>
      </w:r>
      <w:r w:rsidRPr="00707203">
        <w:rPr>
          <w:b/>
          <w:i w:val="0"/>
          <w:color w:val="auto"/>
          <w:sz w:val="20"/>
          <w:szCs w:val="22"/>
        </w:rPr>
        <w:fldChar w:fldCharType="separate"/>
      </w:r>
      <w:r w:rsidRPr="00707203">
        <w:rPr>
          <w:b/>
          <w:i w:val="0"/>
          <w:noProof/>
          <w:color w:val="auto"/>
          <w:sz w:val="20"/>
          <w:szCs w:val="22"/>
        </w:rPr>
        <w:t>2</w:t>
      </w:r>
      <w:r w:rsidRPr="00707203">
        <w:rPr>
          <w:b/>
          <w:i w:val="0"/>
          <w:color w:val="auto"/>
          <w:sz w:val="20"/>
          <w:szCs w:val="22"/>
        </w:rPr>
        <w:fldChar w:fldCharType="end"/>
      </w:r>
      <w:r w:rsidRPr="00707203">
        <w:rPr>
          <w:b/>
          <w:i w:val="0"/>
          <w:color w:val="auto"/>
          <w:sz w:val="20"/>
          <w:szCs w:val="22"/>
        </w:rPr>
        <w:t>. Results from clinical Immunological investigations in the patient during hospital admission.</w:t>
      </w:r>
    </w:p>
    <w:p w14:paraId="3ABDD4C3" w14:textId="0E4D74C6" w:rsidR="0052034B" w:rsidRPr="00707203" w:rsidRDefault="0052034B" w:rsidP="00707203">
      <w:pPr>
        <w:spacing w:after="0" w:line="480" w:lineRule="auto"/>
        <w:contextualSpacing/>
        <w:jc w:val="both"/>
        <w:rPr>
          <w:sz w:val="20"/>
          <w:lang w:val="en-US"/>
        </w:rPr>
      </w:pPr>
      <w:r w:rsidRPr="00707203">
        <w:rPr>
          <w:sz w:val="20"/>
          <w:vertAlign w:val="superscript"/>
          <w:lang w:val="en-US"/>
        </w:rPr>
        <w:t>a</w:t>
      </w:r>
      <w:r w:rsidRPr="00707203">
        <w:rPr>
          <w:sz w:val="20"/>
          <w:lang w:val="en-US"/>
        </w:rPr>
        <w:t>NK cell (CD3- CD16+ CD56+) degranulation was measured as the proportion of CD107a on the surface of NK cells following stimulation with K562 lymphoblast cell line.</w:t>
      </w:r>
    </w:p>
    <w:p w14:paraId="1F980DB1" w14:textId="4C857C83" w:rsidR="0052034B" w:rsidRPr="00707203" w:rsidRDefault="0052034B" w:rsidP="00707203">
      <w:pPr>
        <w:spacing w:after="0" w:line="480" w:lineRule="auto"/>
        <w:contextualSpacing/>
        <w:jc w:val="both"/>
        <w:rPr>
          <w:sz w:val="20"/>
          <w:lang w:val="en-US"/>
        </w:rPr>
      </w:pPr>
      <w:r w:rsidRPr="00707203">
        <w:rPr>
          <w:sz w:val="20"/>
          <w:vertAlign w:val="superscript"/>
          <w:lang w:val="en-US"/>
        </w:rPr>
        <w:t>b</w:t>
      </w:r>
      <w:r w:rsidRPr="00707203">
        <w:rPr>
          <w:sz w:val="20"/>
          <w:lang w:val="en-US"/>
        </w:rPr>
        <w:t>Measured in an age-matched healthy control.</w:t>
      </w:r>
    </w:p>
    <w:p w14:paraId="2751F267" w14:textId="38068A5A" w:rsidR="0052034B" w:rsidRPr="00707203" w:rsidRDefault="0052034B" w:rsidP="00707203">
      <w:pPr>
        <w:spacing w:after="0" w:line="480" w:lineRule="auto"/>
        <w:contextualSpacing/>
        <w:jc w:val="both"/>
        <w:rPr>
          <w:sz w:val="20"/>
          <w:lang w:val="en-US"/>
        </w:rPr>
      </w:pPr>
      <w:r w:rsidRPr="00707203">
        <w:rPr>
          <w:sz w:val="20"/>
          <w:vertAlign w:val="superscript"/>
          <w:lang w:val="en-US"/>
        </w:rPr>
        <w:t>c</w:t>
      </w:r>
      <w:r w:rsidRPr="00707203">
        <w:rPr>
          <w:sz w:val="20"/>
          <w:lang w:val="en-US"/>
        </w:rPr>
        <w:t>T cell (CD3+) degranulation after stimulation with anti-CD3 antibodies.</w:t>
      </w:r>
    </w:p>
    <w:p w14:paraId="0DCD2E9D" w14:textId="6DF67396" w:rsidR="0052034B" w:rsidRPr="00707203" w:rsidRDefault="0052034B" w:rsidP="00707203">
      <w:pPr>
        <w:spacing w:after="0" w:line="480" w:lineRule="auto"/>
        <w:contextualSpacing/>
        <w:jc w:val="both"/>
        <w:rPr>
          <w:sz w:val="20"/>
          <w:lang w:val="en-US"/>
        </w:rPr>
      </w:pPr>
      <w:r w:rsidRPr="00707203">
        <w:rPr>
          <w:sz w:val="20"/>
          <w:vertAlign w:val="superscript"/>
          <w:lang w:val="en-US"/>
        </w:rPr>
        <w:t>d</w:t>
      </w:r>
      <w:r w:rsidRPr="00707203">
        <w:rPr>
          <w:sz w:val="20"/>
          <w:lang w:val="en-US"/>
        </w:rPr>
        <w:t>NK cell (CD3- CD56+) mediated cytotoxicity on the K562 lymphoblast cell line.</w:t>
      </w:r>
    </w:p>
    <w:p w14:paraId="76255F51" w14:textId="77777777" w:rsidR="0052034B" w:rsidRDefault="0052034B" w:rsidP="0052034B">
      <w:pPr>
        <w:spacing w:line="480" w:lineRule="auto"/>
        <w:jc w:val="both"/>
        <w:rPr>
          <w:b/>
          <w:sz w:val="28"/>
          <w:lang w:val="en-US"/>
        </w:rPr>
      </w:pPr>
    </w:p>
    <w:p w14:paraId="12C68CDB" w14:textId="77777777" w:rsidR="0052034B" w:rsidRDefault="0052034B" w:rsidP="0052034B">
      <w:pPr>
        <w:spacing w:line="480" w:lineRule="auto"/>
        <w:jc w:val="both"/>
        <w:rPr>
          <w:b/>
          <w:sz w:val="28"/>
          <w:lang w:val="en-US"/>
        </w:rPr>
      </w:pPr>
    </w:p>
    <w:p w14:paraId="66166CB9" w14:textId="77777777" w:rsidR="0052034B" w:rsidRDefault="0052034B" w:rsidP="0052034B">
      <w:pPr>
        <w:spacing w:line="480" w:lineRule="auto"/>
        <w:jc w:val="both"/>
        <w:rPr>
          <w:b/>
          <w:sz w:val="28"/>
          <w:lang w:val="en-US"/>
        </w:rPr>
      </w:pPr>
    </w:p>
    <w:p w14:paraId="0555D3C5" w14:textId="77777777" w:rsidR="0052034B" w:rsidRDefault="0052034B" w:rsidP="0052034B">
      <w:pPr>
        <w:spacing w:line="480" w:lineRule="auto"/>
        <w:jc w:val="both"/>
        <w:rPr>
          <w:b/>
          <w:sz w:val="28"/>
          <w:lang w:val="en-US"/>
        </w:rPr>
      </w:pPr>
    </w:p>
    <w:p w14:paraId="48A9E8E2" w14:textId="77777777" w:rsidR="0052034B" w:rsidRDefault="0052034B" w:rsidP="0052034B">
      <w:pPr>
        <w:spacing w:line="480" w:lineRule="auto"/>
        <w:jc w:val="both"/>
        <w:rPr>
          <w:b/>
          <w:sz w:val="28"/>
          <w:lang w:val="en-US"/>
        </w:rPr>
      </w:pPr>
    </w:p>
    <w:p w14:paraId="0BC9DD5B" w14:textId="77777777" w:rsidR="0054652A" w:rsidRPr="006E1062" w:rsidRDefault="0054652A" w:rsidP="0054652A">
      <w:pPr>
        <w:spacing w:line="480" w:lineRule="auto"/>
        <w:jc w:val="both"/>
        <w:rPr>
          <w:lang w:val="en-US"/>
        </w:rPr>
      </w:pPr>
    </w:p>
    <w:sectPr w:rsidR="0054652A" w:rsidRPr="006E10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62"/>
    <w:rsid w:val="001B576B"/>
    <w:rsid w:val="00201C89"/>
    <w:rsid w:val="0052034B"/>
    <w:rsid w:val="0054652A"/>
    <w:rsid w:val="00660934"/>
    <w:rsid w:val="006E1062"/>
    <w:rsid w:val="00707203"/>
    <w:rsid w:val="00956FD6"/>
    <w:rsid w:val="009C5E89"/>
    <w:rsid w:val="00B119D0"/>
    <w:rsid w:val="00BA4015"/>
    <w:rsid w:val="00C65EA1"/>
    <w:rsid w:val="00DB662A"/>
    <w:rsid w:val="00E75D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1C55"/>
  <w15:chartTrackingRefBased/>
  <w15:docId w15:val="{6487845D-3965-48A9-81E6-B9C0684C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5"/>
    <w:unhideWhenUsed/>
    <w:qFormat/>
    <w:rsid w:val="0052034B"/>
    <w:pPr>
      <w:spacing w:after="200" w:line="240" w:lineRule="auto"/>
    </w:pPr>
    <w:rPr>
      <w:i/>
      <w:iCs/>
      <w:color w:val="44546A" w:themeColor="text2"/>
      <w:sz w:val="18"/>
      <w:szCs w:val="18"/>
      <w:lang w:val="en-US"/>
    </w:rPr>
  </w:style>
  <w:style w:type="table" w:styleId="Tabel-Gitter">
    <w:name w:val="Table Grid"/>
    <w:basedOn w:val="Tabel-Normal"/>
    <w:uiPriority w:val="39"/>
    <w:rsid w:val="0052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1-lys">
    <w:name w:val="Grid Table 1 Light"/>
    <w:basedOn w:val="Tabel-Normal"/>
    <w:uiPriority w:val="46"/>
    <w:rsid w:val="005203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1467</Words>
  <Characters>8970</Characters>
  <Application>Microsoft Office Word</Application>
  <DocSecurity>0</DocSecurity>
  <Lines>172</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Mogensen</dc:creator>
  <cp:keywords/>
  <dc:description/>
  <cp:lastModifiedBy>Trine Mogensen</cp:lastModifiedBy>
  <cp:revision>3</cp:revision>
  <dcterms:created xsi:type="dcterms:W3CDTF">2022-06-28T15:14:00Z</dcterms:created>
  <dcterms:modified xsi:type="dcterms:W3CDTF">2022-06-28T15:15:00Z</dcterms:modified>
</cp:coreProperties>
</file>