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9A0DB" w14:textId="77777777" w:rsidR="00006845" w:rsidRDefault="00006845" w:rsidP="00006845">
      <w:pPr>
        <w:pStyle w:val="TableTitle"/>
        <w:jc w:val="center"/>
      </w:pPr>
      <w:r w:rsidRPr="003F652A">
        <w:t xml:space="preserve">STROBE </w:t>
      </w:r>
      <w:r>
        <w:t>S</w:t>
      </w:r>
      <w:r w:rsidRPr="003F652A">
        <w:t>tatement</w:t>
      </w:r>
    </w:p>
    <w:p w14:paraId="671CCCD2" w14:textId="77777777" w:rsidR="00006845" w:rsidRPr="003F652A" w:rsidRDefault="00006845" w:rsidP="00006845">
      <w:pPr>
        <w:pStyle w:val="TableTitle"/>
        <w:jc w:val="both"/>
      </w:pPr>
    </w:p>
    <w:tbl>
      <w:tblPr>
        <w:tblW w:w="0" w:type="auto"/>
        <w:tblBorders>
          <w:insideH w:val="single" w:sz="4" w:space="0" w:color="auto"/>
        </w:tblBorders>
        <w:tblLook w:val="0000" w:firstRow="0" w:lastRow="0" w:firstColumn="0" w:lastColumn="0" w:noHBand="0" w:noVBand="0"/>
      </w:tblPr>
      <w:tblGrid>
        <w:gridCol w:w="1591"/>
        <w:gridCol w:w="440"/>
        <w:gridCol w:w="667"/>
        <w:gridCol w:w="6943"/>
      </w:tblGrid>
      <w:tr w:rsidR="00006845" w:rsidRPr="0022554A" w14:paraId="125C630F" w14:textId="77777777" w:rsidTr="003B3CBB">
        <w:tc>
          <w:tcPr>
            <w:tcW w:w="0" w:type="auto"/>
            <w:gridSpan w:val="2"/>
          </w:tcPr>
          <w:p w14:paraId="56EA7745" w14:textId="77777777" w:rsidR="00006845" w:rsidRPr="0022554A" w:rsidRDefault="00006845" w:rsidP="003B3CBB">
            <w:pPr>
              <w:tabs>
                <w:tab w:val="left" w:pos="5400"/>
              </w:tabs>
              <w:jc w:val="both"/>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BEE69E1" w14:textId="77777777" w:rsidR="00006845" w:rsidRPr="0022554A" w:rsidRDefault="00006845" w:rsidP="003B3CBB">
            <w:pPr>
              <w:pStyle w:val="TableHeader"/>
              <w:tabs>
                <w:tab w:val="left" w:pos="5400"/>
              </w:tabs>
              <w:jc w:val="both"/>
              <w:rPr>
                <w:bCs/>
                <w:sz w:val="20"/>
              </w:rPr>
            </w:pPr>
            <w:r w:rsidRPr="0022554A">
              <w:rPr>
                <w:bCs/>
                <w:sz w:val="20"/>
              </w:rPr>
              <w:t>Item No</w:t>
            </w:r>
          </w:p>
        </w:tc>
        <w:tc>
          <w:tcPr>
            <w:tcW w:w="0" w:type="auto"/>
            <w:vAlign w:val="bottom"/>
          </w:tcPr>
          <w:p w14:paraId="0460D873" w14:textId="77777777" w:rsidR="00006845" w:rsidRPr="0022554A" w:rsidRDefault="00006845" w:rsidP="003B3CBB">
            <w:pPr>
              <w:pStyle w:val="TableHeader"/>
              <w:tabs>
                <w:tab w:val="left" w:pos="5400"/>
              </w:tabs>
              <w:jc w:val="center"/>
              <w:rPr>
                <w:bCs/>
                <w:sz w:val="20"/>
              </w:rPr>
            </w:pPr>
            <w:r w:rsidRPr="0022554A">
              <w:rPr>
                <w:bCs/>
                <w:sz w:val="20"/>
              </w:rPr>
              <w:t>Recommendation</w:t>
            </w:r>
          </w:p>
        </w:tc>
      </w:tr>
      <w:tr w:rsidR="00006845" w:rsidRPr="0022554A" w14:paraId="78C384F8" w14:textId="77777777" w:rsidTr="003B3CBB">
        <w:tc>
          <w:tcPr>
            <w:tcW w:w="0" w:type="auto"/>
            <w:gridSpan w:val="2"/>
            <w:vMerge w:val="restart"/>
          </w:tcPr>
          <w:p w14:paraId="7D510186" w14:textId="6A623DED" w:rsidR="00006845" w:rsidRPr="002602FB" w:rsidRDefault="00006845" w:rsidP="003B3CBB">
            <w:pPr>
              <w:tabs>
                <w:tab w:val="left" w:pos="5400"/>
              </w:tabs>
              <w:jc w:val="both"/>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27B47209" w14:textId="77777777" w:rsidR="00006845" w:rsidRPr="0046240F" w:rsidRDefault="00006845" w:rsidP="003B3CBB">
            <w:pPr>
              <w:tabs>
                <w:tab w:val="left" w:pos="5400"/>
              </w:tabs>
              <w:jc w:val="both"/>
              <w:rPr>
                <w:sz w:val="20"/>
              </w:rPr>
            </w:pPr>
            <w:r w:rsidRPr="0046240F">
              <w:rPr>
                <w:sz w:val="20"/>
              </w:rPr>
              <w:t>1</w:t>
            </w:r>
          </w:p>
        </w:tc>
        <w:tc>
          <w:tcPr>
            <w:tcW w:w="0" w:type="auto"/>
          </w:tcPr>
          <w:p w14:paraId="50877C97" w14:textId="121E0D57" w:rsidR="00006845" w:rsidRPr="002C0C15" w:rsidRDefault="009C11C3" w:rsidP="009C11C3">
            <w:pPr>
              <w:tabs>
                <w:tab w:val="left" w:pos="5400"/>
              </w:tabs>
              <w:jc w:val="both"/>
              <w:rPr>
                <w:sz w:val="20"/>
              </w:rPr>
            </w:pPr>
            <w:r w:rsidRPr="009C11C3">
              <w:rPr>
                <w:sz w:val="20"/>
              </w:rPr>
              <w:t>FOUR score versus GCS in patients with</w:t>
            </w:r>
            <w:r>
              <w:rPr>
                <w:sz w:val="20"/>
              </w:rPr>
              <w:t xml:space="preserve"> </w:t>
            </w:r>
            <w:r w:rsidRPr="009C11C3">
              <w:rPr>
                <w:sz w:val="20"/>
              </w:rPr>
              <w:t>traumatic brain injury in the prehospital setting</w:t>
            </w:r>
          </w:p>
        </w:tc>
      </w:tr>
      <w:tr w:rsidR="00006845" w:rsidRPr="0022554A" w14:paraId="183CD44C" w14:textId="77777777" w:rsidTr="003B3CBB">
        <w:tc>
          <w:tcPr>
            <w:tcW w:w="0" w:type="auto"/>
            <w:gridSpan w:val="2"/>
            <w:vMerge/>
          </w:tcPr>
          <w:p w14:paraId="7FD10F4F" w14:textId="77777777" w:rsidR="00006845" w:rsidRPr="0022554A" w:rsidRDefault="00006845" w:rsidP="003B3CBB">
            <w:pPr>
              <w:tabs>
                <w:tab w:val="left" w:pos="5400"/>
              </w:tabs>
              <w:jc w:val="both"/>
              <w:rPr>
                <w:bCs/>
                <w:sz w:val="20"/>
              </w:rPr>
            </w:pPr>
            <w:bookmarkStart w:id="11" w:name="bold6" w:colFirst="0" w:colLast="0"/>
            <w:bookmarkStart w:id="12" w:name="italic7" w:colFirst="0" w:colLast="0"/>
          </w:p>
        </w:tc>
        <w:tc>
          <w:tcPr>
            <w:tcW w:w="0" w:type="auto"/>
            <w:vMerge/>
          </w:tcPr>
          <w:p w14:paraId="12453539" w14:textId="77777777" w:rsidR="00006845" w:rsidRPr="0022554A" w:rsidRDefault="00006845" w:rsidP="003B3CBB">
            <w:pPr>
              <w:tabs>
                <w:tab w:val="left" w:pos="5400"/>
              </w:tabs>
              <w:jc w:val="both"/>
              <w:rPr>
                <w:sz w:val="20"/>
              </w:rPr>
            </w:pPr>
          </w:p>
        </w:tc>
        <w:tc>
          <w:tcPr>
            <w:tcW w:w="0" w:type="auto"/>
          </w:tcPr>
          <w:p w14:paraId="0417985D" w14:textId="13E3BAB9" w:rsidR="00006845" w:rsidRPr="001F5E88" w:rsidRDefault="00982F42" w:rsidP="003B3CBB">
            <w:pPr>
              <w:jc w:val="both"/>
              <w:rPr>
                <w:color w:val="FF0000"/>
              </w:rPr>
            </w:pPr>
            <w:r w:rsidRPr="00E8026C">
              <w:rPr>
                <w:sz w:val="20"/>
              </w:rPr>
              <w:t xml:space="preserve">We evaluated </w:t>
            </w:r>
            <w:r>
              <w:rPr>
                <w:sz w:val="20"/>
              </w:rPr>
              <w:t xml:space="preserve">the </w:t>
            </w:r>
            <w:r w:rsidRPr="00E8026C">
              <w:rPr>
                <w:sz w:val="20"/>
              </w:rPr>
              <w:t xml:space="preserve">GCS and FOUR score in the prehospital </w:t>
            </w:r>
            <w:r>
              <w:rPr>
                <w:sz w:val="20"/>
              </w:rPr>
              <w:t>setting</w:t>
            </w:r>
            <w:r w:rsidRPr="00E8026C">
              <w:rPr>
                <w:sz w:val="20"/>
              </w:rPr>
              <w:t xml:space="preserve"> at three different </w:t>
            </w:r>
            <w:r>
              <w:rPr>
                <w:sz w:val="20"/>
              </w:rPr>
              <w:t xml:space="preserve">prehospital </w:t>
            </w:r>
            <w:r w:rsidRPr="00E8026C">
              <w:rPr>
                <w:sz w:val="20"/>
              </w:rPr>
              <w:t>timepoints, and we reassessed the scores in surviving patients 24 hours, one month and three months after the injury. Then, we compared the outcomes.</w:t>
            </w:r>
            <w:r>
              <w:rPr>
                <w:sz w:val="20"/>
              </w:rPr>
              <w:t xml:space="preserve"> </w:t>
            </w:r>
            <w:r w:rsidR="001F5E88" w:rsidRPr="00EE412C">
              <w:rPr>
                <w:sz w:val="20"/>
              </w:rPr>
              <w:t>In our study, the results of our research confirm that there are no practical or clinical differences between the GCS and FOUR scores in terms of predicting morality outcome</w:t>
            </w:r>
            <w:r w:rsidR="001F5E88">
              <w:rPr>
                <w:sz w:val="20"/>
              </w:rPr>
              <w:t>s</w:t>
            </w:r>
            <w:r w:rsidR="001F5E88" w:rsidRPr="00EE412C">
              <w:rPr>
                <w:sz w:val="20"/>
              </w:rPr>
              <w:t xml:space="preserve"> 24 hours, one month, and three months after injury. </w:t>
            </w:r>
            <w:r w:rsidR="001F5E88">
              <w:rPr>
                <w:sz w:val="20"/>
              </w:rPr>
              <w:t>No s</w:t>
            </w:r>
            <w:r w:rsidR="001F5E88" w:rsidRPr="00EE412C">
              <w:rPr>
                <w:sz w:val="20"/>
              </w:rPr>
              <w:t>tatistically significant differences were found in the Youden index or the area under the ROC curve 24 hours</w:t>
            </w:r>
            <w:r w:rsidR="001F5E88">
              <w:rPr>
                <w:sz w:val="20"/>
              </w:rPr>
              <w:t>,</w:t>
            </w:r>
            <w:r w:rsidR="001F5E88" w:rsidRPr="00EE412C">
              <w:rPr>
                <w:sz w:val="20"/>
              </w:rPr>
              <w:t xml:space="preserve"> one </w:t>
            </w:r>
            <w:r w:rsidR="001F5E88">
              <w:rPr>
                <w:sz w:val="20"/>
              </w:rPr>
              <w:t>month or</w:t>
            </w:r>
            <w:r w:rsidR="001F5E88" w:rsidRPr="00EE412C">
              <w:rPr>
                <w:sz w:val="20"/>
              </w:rPr>
              <w:t xml:space="preserve"> three months after the injury.</w:t>
            </w:r>
          </w:p>
        </w:tc>
      </w:tr>
      <w:tr w:rsidR="00006845" w:rsidRPr="0022554A" w14:paraId="21E5B3A6" w14:textId="77777777" w:rsidTr="003B3CBB">
        <w:tc>
          <w:tcPr>
            <w:tcW w:w="0" w:type="auto"/>
            <w:gridSpan w:val="4"/>
          </w:tcPr>
          <w:p w14:paraId="70A91709" w14:textId="71F4BF8A" w:rsidR="00006845" w:rsidRPr="0022554A" w:rsidRDefault="00006845" w:rsidP="003B3CBB">
            <w:pPr>
              <w:pStyle w:val="TableSubHead"/>
              <w:tabs>
                <w:tab w:val="left" w:pos="5400"/>
              </w:tabs>
              <w:jc w:val="both"/>
              <w:rPr>
                <w:sz w:val="20"/>
              </w:rPr>
            </w:pPr>
            <w:bookmarkStart w:id="13" w:name="bold7"/>
            <w:bookmarkStart w:id="14" w:name="italic8"/>
            <w:bookmarkEnd w:id="11"/>
            <w:bookmarkEnd w:id="12"/>
            <w:r w:rsidRPr="0022554A">
              <w:rPr>
                <w:sz w:val="20"/>
              </w:rPr>
              <w:t>Introduction</w:t>
            </w:r>
            <w:bookmarkEnd w:id="13"/>
            <w:bookmarkEnd w:id="14"/>
          </w:p>
        </w:tc>
      </w:tr>
      <w:tr w:rsidR="00006845" w:rsidRPr="0022554A" w14:paraId="1330136D" w14:textId="77777777" w:rsidTr="003B3CBB">
        <w:tc>
          <w:tcPr>
            <w:tcW w:w="0" w:type="auto"/>
            <w:gridSpan w:val="2"/>
          </w:tcPr>
          <w:p w14:paraId="0429B90E" w14:textId="77777777" w:rsidR="00006845" w:rsidRPr="0022554A" w:rsidRDefault="00006845" w:rsidP="003B3CBB">
            <w:pPr>
              <w:tabs>
                <w:tab w:val="left" w:pos="5400"/>
              </w:tabs>
              <w:jc w:val="both"/>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4FAD0814" w14:textId="77777777" w:rsidR="00006845" w:rsidRPr="0022554A" w:rsidRDefault="00006845" w:rsidP="003B3CBB">
            <w:pPr>
              <w:tabs>
                <w:tab w:val="left" w:pos="5400"/>
              </w:tabs>
              <w:jc w:val="both"/>
              <w:rPr>
                <w:sz w:val="20"/>
              </w:rPr>
            </w:pPr>
            <w:r w:rsidRPr="0022554A">
              <w:rPr>
                <w:sz w:val="20"/>
              </w:rPr>
              <w:t>2</w:t>
            </w:r>
          </w:p>
        </w:tc>
        <w:tc>
          <w:tcPr>
            <w:tcW w:w="0" w:type="auto"/>
          </w:tcPr>
          <w:p w14:paraId="3C1BD7BC" w14:textId="3F51A5B1" w:rsidR="00006845" w:rsidRPr="0022554A" w:rsidRDefault="00006845" w:rsidP="003B3CBB">
            <w:pPr>
              <w:tabs>
                <w:tab w:val="left" w:pos="5400"/>
              </w:tabs>
              <w:jc w:val="both"/>
              <w:rPr>
                <w:sz w:val="20"/>
              </w:rPr>
            </w:pPr>
            <w:r w:rsidRPr="009F53B2">
              <w:rPr>
                <w:sz w:val="20"/>
              </w:rPr>
              <w:t>The intent of this study was to compare GCS and FOUR scores and to verify their predicting power outcome in TBI coma patients out of hospital setting</w:t>
            </w:r>
            <w:r>
              <w:rPr>
                <w:sz w:val="20"/>
              </w:rPr>
              <w:t>.</w:t>
            </w:r>
          </w:p>
        </w:tc>
      </w:tr>
      <w:tr w:rsidR="00006845" w:rsidRPr="0022554A" w14:paraId="68DA7CBF" w14:textId="77777777" w:rsidTr="003B3CBB">
        <w:tc>
          <w:tcPr>
            <w:tcW w:w="0" w:type="auto"/>
            <w:gridSpan w:val="2"/>
          </w:tcPr>
          <w:p w14:paraId="3666050E" w14:textId="77777777" w:rsidR="00006845" w:rsidRPr="0022554A" w:rsidRDefault="00006845" w:rsidP="003B3CBB">
            <w:pPr>
              <w:tabs>
                <w:tab w:val="left" w:pos="5400"/>
              </w:tabs>
              <w:jc w:val="both"/>
              <w:rPr>
                <w:bCs/>
                <w:sz w:val="20"/>
              </w:rPr>
            </w:pPr>
            <w:bookmarkStart w:id="19" w:name="bold10" w:colFirst="0" w:colLast="0"/>
            <w:bookmarkStart w:id="20" w:name="italic11" w:colFirst="0" w:colLast="0"/>
            <w:r w:rsidRPr="0022554A">
              <w:rPr>
                <w:bCs/>
                <w:sz w:val="20"/>
              </w:rPr>
              <w:t>Objectives</w:t>
            </w:r>
          </w:p>
        </w:tc>
        <w:tc>
          <w:tcPr>
            <w:tcW w:w="0" w:type="auto"/>
          </w:tcPr>
          <w:p w14:paraId="02DCB65E" w14:textId="77777777" w:rsidR="00006845" w:rsidRPr="0022554A" w:rsidRDefault="00006845" w:rsidP="003B3CBB">
            <w:pPr>
              <w:tabs>
                <w:tab w:val="left" w:pos="5400"/>
              </w:tabs>
              <w:jc w:val="both"/>
              <w:rPr>
                <w:sz w:val="20"/>
              </w:rPr>
            </w:pPr>
            <w:r w:rsidRPr="0022554A">
              <w:rPr>
                <w:sz w:val="20"/>
              </w:rPr>
              <w:t>3</w:t>
            </w:r>
          </w:p>
        </w:tc>
        <w:tc>
          <w:tcPr>
            <w:tcW w:w="0" w:type="auto"/>
          </w:tcPr>
          <w:p w14:paraId="684CE42D" w14:textId="5663B5CA" w:rsidR="00006845" w:rsidRPr="00FF0DFF" w:rsidRDefault="00006845" w:rsidP="003B3CBB">
            <w:pPr>
              <w:spacing w:before="27"/>
              <w:jc w:val="both"/>
            </w:pPr>
            <w:r w:rsidRPr="009F53B2">
              <w:rPr>
                <w:bCs/>
                <w:color w:val="231F20"/>
                <w:sz w:val="20"/>
              </w:rPr>
              <w:t xml:space="preserve">GCS predict </w:t>
            </w:r>
            <w:r>
              <w:rPr>
                <w:bCs/>
                <w:color w:val="231F20"/>
                <w:sz w:val="20"/>
              </w:rPr>
              <w:t xml:space="preserve">some </w:t>
            </w:r>
            <w:r w:rsidRPr="009F53B2">
              <w:rPr>
                <w:bCs/>
                <w:color w:val="231F20"/>
                <w:sz w:val="20"/>
              </w:rPr>
              <w:t>chances of neurological recovery</w:t>
            </w:r>
            <w:r>
              <w:rPr>
                <w:bCs/>
                <w:color w:val="231F20"/>
                <w:sz w:val="20"/>
              </w:rPr>
              <w:t>, but p</w:t>
            </w:r>
            <w:r w:rsidRPr="009F53B2">
              <w:rPr>
                <w:bCs/>
                <w:color w:val="231F20"/>
                <w:sz w:val="20"/>
              </w:rPr>
              <w:t xml:space="preserve">resents several weaknesses, </w:t>
            </w:r>
            <w:r w:rsidRPr="001533E6">
              <w:rPr>
                <w:bCs/>
                <w:color w:val="231F20"/>
                <w:sz w:val="20"/>
              </w:rPr>
              <w:t xml:space="preserve">such as limited utility in intubated patients as well as </w:t>
            </w:r>
            <w:r w:rsidRPr="009F53B2">
              <w:rPr>
                <w:bCs/>
                <w:color w:val="231F20"/>
                <w:sz w:val="20"/>
              </w:rPr>
              <w:t>inability to estimate brainstem reflexes. Considering these limitations</w:t>
            </w:r>
            <w:r>
              <w:rPr>
                <w:bCs/>
                <w:color w:val="231F20"/>
                <w:sz w:val="20"/>
              </w:rPr>
              <w:t xml:space="preserve">, </w:t>
            </w:r>
            <w:r w:rsidRPr="009F53B2">
              <w:rPr>
                <w:bCs/>
                <w:color w:val="231F20"/>
                <w:sz w:val="20"/>
              </w:rPr>
              <w:t>FOUR</w:t>
            </w:r>
            <w:r>
              <w:rPr>
                <w:bCs/>
                <w:color w:val="231F20"/>
                <w:sz w:val="20"/>
              </w:rPr>
              <w:t xml:space="preserve"> score </w:t>
            </w:r>
            <w:r w:rsidRPr="009F53B2">
              <w:rPr>
                <w:bCs/>
                <w:color w:val="231F20"/>
                <w:sz w:val="20"/>
              </w:rPr>
              <w:t xml:space="preserve">has been developed to overcome </w:t>
            </w:r>
            <w:r w:rsidR="00572092">
              <w:rPr>
                <w:bCs/>
                <w:color w:val="231F20"/>
                <w:sz w:val="20"/>
              </w:rPr>
              <w:t xml:space="preserve">the particular </w:t>
            </w:r>
            <w:r w:rsidRPr="009F53B2">
              <w:rPr>
                <w:bCs/>
                <w:color w:val="231F20"/>
                <w:sz w:val="20"/>
              </w:rPr>
              <w:t>shortcoming</w:t>
            </w:r>
            <w:r>
              <w:rPr>
                <w:bCs/>
                <w:color w:val="231F20"/>
                <w:sz w:val="20"/>
              </w:rPr>
              <w:t xml:space="preserve">s </w:t>
            </w:r>
            <w:r w:rsidRPr="001D24E7">
              <w:rPr>
                <w:bCs/>
                <w:color w:val="231F20"/>
                <w:sz w:val="20"/>
              </w:rPr>
              <w:t xml:space="preserve">and to provide </w:t>
            </w:r>
            <w:r w:rsidRPr="009F53B2">
              <w:rPr>
                <w:bCs/>
                <w:color w:val="231F20"/>
                <w:sz w:val="20"/>
              </w:rPr>
              <w:t xml:space="preserve">further neurological details that might </w:t>
            </w:r>
            <w:r w:rsidRPr="00D6146A">
              <w:rPr>
                <w:bCs/>
                <w:color w:val="231F20"/>
                <w:sz w:val="20"/>
              </w:rPr>
              <w:t xml:space="preserve">lead to a better prediction of outcomes in </w:t>
            </w:r>
            <w:r w:rsidRPr="009F53B2">
              <w:rPr>
                <w:bCs/>
                <w:color w:val="231F20"/>
                <w:sz w:val="20"/>
              </w:rPr>
              <w:t>coma patients</w:t>
            </w:r>
            <w:r>
              <w:rPr>
                <w:bCs/>
                <w:color w:val="231F20"/>
                <w:sz w:val="20"/>
              </w:rPr>
              <w:t>, also in pre-hospital setting.</w:t>
            </w:r>
          </w:p>
        </w:tc>
      </w:tr>
      <w:tr w:rsidR="00006845" w:rsidRPr="0022554A" w14:paraId="493ED0B2" w14:textId="77777777" w:rsidTr="003B3CBB">
        <w:tc>
          <w:tcPr>
            <w:tcW w:w="0" w:type="auto"/>
            <w:gridSpan w:val="4"/>
          </w:tcPr>
          <w:p w14:paraId="20F09989" w14:textId="6E76805F" w:rsidR="00006845" w:rsidRPr="0022554A" w:rsidRDefault="00006845" w:rsidP="003B3CBB">
            <w:pPr>
              <w:pStyle w:val="TableSubHead"/>
              <w:tabs>
                <w:tab w:val="left" w:pos="5400"/>
              </w:tabs>
              <w:jc w:val="both"/>
              <w:rPr>
                <w:sz w:val="20"/>
              </w:rPr>
            </w:pPr>
            <w:bookmarkStart w:id="21" w:name="bold11"/>
            <w:bookmarkStart w:id="22" w:name="italic12"/>
            <w:bookmarkEnd w:id="19"/>
            <w:bookmarkEnd w:id="20"/>
            <w:r w:rsidRPr="0022554A">
              <w:rPr>
                <w:sz w:val="20"/>
              </w:rPr>
              <w:t>Methods</w:t>
            </w:r>
            <w:bookmarkEnd w:id="21"/>
            <w:bookmarkEnd w:id="22"/>
          </w:p>
        </w:tc>
      </w:tr>
      <w:tr w:rsidR="00006845" w:rsidRPr="0022554A" w14:paraId="698AB758" w14:textId="77777777" w:rsidTr="003B3CBB">
        <w:tc>
          <w:tcPr>
            <w:tcW w:w="0" w:type="auto"/>
            <w:gridSpan w:val="2"/>
          </w:tcPr>
          <w:p w14:paraId="09D911C9" w14:textId="77777777" w:rsidR="00006845" w:rsidRPr="0022554A" w:rsidRDefault="00006845" w:rsidP="003B3CBB">
            <w:pPr>
              <w:tabs>
                <w:tab w:val="left" w:pos="5400"/>
              </w:tabs>
              <w:jc w:val="both"/>
              <w:rPr>
                <w:bCs/>
                <w:sz w:val="20"/>
              </w:rPr>
            </w:pPr>
            <w:bookmarkStart w:id="23" w:name="bold12" w:colFirst="0" w:colLast="0"/>
            <w:bookmarkStart w:id="24" w:name="italic13" w:colFirst="0" w:colLast="0"/>
            <w:r w:rsidRPr="0022554A">
              <w:rPr>
                <w:bCs/>
                <w:sz w:val="20"/>
              </w:rPr>
              <w:t>Study design</w:t>
            </w:r>
          </w:p>
        </w:tc>
        <w:tc>
          <w:tcPr>
            <w:tcW w:w="0" w:type="auto"/>
          </w:tcPr>
          <w:p w14:paraId="678C0CAE" w14:textId="77777777" w:rsidR="00006845" w:rsidRPr="0022554A" w:rsidRDefault="00006845" w:rsidP="003B3CBB">
            <w:pPr>
              <w:tabs>
                <w:tab w:val="left" w:pos="5400"/>
              </w:tabs>
              <w:jc w:val="both"/>
              <w:rPr>
                <w:sz w:val="20"/>
              </w:rPr>
            </w:pPr>
            <w:r w:rsidRPr="0022554A">
              <w:rPr>
                <w:sz w:val="20"/>
              </w:rPr>
              <w:t>4</w:t>
            </w:r>
          </w:p>
        </w:tc>
        <w:tc>
          <w:tcPr>
            <w:tcW w:w="0" w:type="auto"/>
          </w:tcPr>
          <w:p w14:paraId="02CF660D" w14:textId="77777777" w:rsidR="00006845" w:rsidRPr="0022554A" w:rsidRDefault="00006845" w:rsidP="003B3CBB">
            <w:pPr>
              <w:tabs>
                <w:tab w:val="left" w:pos="5400"/>
              </w:tabs>
              <w:jc w:val="both"/>
              <w:rPr>
                <w:sz w:val="20"/>
              </w:rPr>
            </w:pPr>
            <w:r w:rsidRPr="009F53B2">
              <w:rPr>
                <w:sz w:val="20"/>
              </w:rPr>
              <w:t>We performed a prospective observational cohort study</w:t>
            </w:r>
            <w:r>
              <w:rPr>
                <w:sz w:val="20"/>
              </w:rPr>
              <w:t>.</w:t>
            </w:r>
          </w:p>
        </w:tc>
      </w:tr>
      <w:tr w:rsidR="00006845" w:rsidRPr="0022554A" w14:paraId="55C64344" w14:textId="77777777" w:rsidTr="003B3CBB">
        <w:tc>
          <w:tcPr>
            <w:tcW w:w="0" w:type="auto"/>
            <w:gridSpan w:val="2"/>
          </w:tcPr>
          <w:p w14:paraId="09A894C6" w14:textId="77777777" w:rsidR="00006845" w:rsidRPr="0022554A" w:rsidRDefault="00006845" w:rsidP="003B3CBB">
            <w:pPr>
              <w:tabs>
                <w:tab w:val="left" w:pos="5400"/>
              </w:tabs>
              <w:jc w:val="both"/>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23602654" w14:textId="77777777" w:rsidR="00006845" w:rsidRPr="0022554A" w:rsidRDefault="00006845" w:rsidP="003B3CBB">
            <w:pPr>
              <w:tabs>
                <w:tab w:val="left" w:pos="5400"/>
              </w:tabs>
              <w:jc w:val="both"/>
              <w:rPr>
                <w:sz w:val="20"/>
              </w:rPr>
            </w:pPr>
            <w:r w:rsidRPr="0022554A">
              <w:rPr>
                <w:sz w:val="20"/>
              </w:rPr>
              <w:t>5</w:t>
            </w:r>
          </w:p>
        </w:tc>
        <w:tc>
          <w:tcPr>
            <w:tcW w:w="0" w:type="auto"/>
          </w:tcPr>
          <w:p w14:paraId="3AAB3969" w14:textId="6D5536C7" w:rsidR="00006845" w:rsidRPr="00906F0A" w:rsidRDefault="00572092" w:rsidP="003B3CBB">
            <w:pPr>
              <w:ind w:right="-20"/>
              <w:jc w:val="both"/>
            </w:pPr>
            <w:r w:rsidRPr="00572092">
              <w:rPr>
                <w:sz w:val="20"/>
              </w:rPr>
              <w:t>TBI patients were treated by emergency prehospital medical unit personnel (team formed by a physician specialized in emergency medicine, and two highly skilled critical care technicians). The arrival time to the nearest regional hospital was up to 15 minutes. All patients were treated according to the ATLS guidelines.</w:t>
            </w:r>
          </w:p>
        </w:tc>
      </w:tr>
      <w:bookmarkEnd w:id="25"/>
      <w:bookmarkEnd w:id="26"/>
      <w:tr w:rsidR="00006845" w:rsidRPr="0022554A" w14:paraId="68AFCAF2" w14:textId="77777777" w:rsidTr="003B3CBB">
        <w:tc>
          <w:tcPr>
            <w:tcW w:w="0" w:type="auto"/>
            <w:gridSpan w:val="2"/>
            <w:vMerge w:val="restart"/>
          </w:tcPr>
          <w:p w14:paraId="320F648A" w14:textId="77777777" w:rsidR="00006845" w:rsidRPr="0022554A" w:rsidRDefault="00006845" w:rsidP="003B3CBB">
            <w:pPr>
              <w:tabs>
                <w:tab w:val="left" w:pos="5400"/>
              </w:tabs>
              <w:jc w:val="both"/>
              <w:rPr>
                <w:bCs/>
                <w:sz w:val="20"/>
              </w:rPr>
            </w:pPr>
            <w:r w:rsidRPr="0022554A">
              <w:rPr>
                <w:bCs/>
                <w:sz w:val="20"/>
              </w:rPr>
              <w:t>Participants</w:t>
            </w:r>
          </w:p>
        </w:tc>
        <w:tc>
          <w:tcPr>
            <w:tcW w:w="0" w:type="auto"/>
            <w:vMerge w:val="restart"/>
          </w:tcPr>
          <w:p w14:paraId="1390DDFF" w14:textId="77777777" w:rsidR="00006845" w:rsidRPr="0022554A" w:rsidRDefault="00006845" w:rsidP="003B3CBB">
            <w:pPr>
              <w:tabs>
                <w:tab w:val="left" w:pos="5400"/>
              </w:tabs>
              <w:jc w:val="both"/>
              <w:rPr>
                <w:sz w:val="20"/>
              </w:rPr>
            </w:pPr>
            <w:r w:rsidRPr="0022554A">
              <w:rPr>
                <w:sz w:val="20"/>
              </w:rPr>
              <w:t>6</w:t>
            </w:r>
          </w:p>
        </w:tc>
        <w:tc>
          <w:tcPr>
            <w:tcW w:w="0" w:type="auto"/>
          </w:tcPr>
          <w:p w14:paraId="6B31497D" w14:textId="77777777" w:rsidR="00F124BC" w:rsidRDefault="00F124BC" w:rsidP="003B3CBB">
            <w:pPr>
              <w:jc w:val="both"/>
              <w:rPr>
                <w:sz w:val="20"/>
              </w:rPr>
            </w:pPr>
            <w:r w:rsidRPr="00F124BC">
              <w:rPr>
                <w:sz w:val="20"/>
              </w:rPr>
              <w:t xml:space="preserve">Our inclusion criteria were minor or moderate-to-severe TBI patients with altered mental status and/or coma due to road traffic or motor vehicle incidents, falls, impacts, assaults and violence, etc. either in polytrauma or isolated head injury situations. </w:t>
            </w:r>
          </w:p>
          <w:p w14:paraId="2A616E45" w14:textId="77777777" w:rsidR="00F124BC" w:rsidRDefault="00F124BC" w:rsidP="003B3CBB">
            <w:pPr>
              <w:jc w:val="both"/>
              <w:rPr>
                <w:sz w:val="20"/>
              </w:rPr>
            </w:pPr>
            <w:r w:rsidRPr="00F124BC">
              <w:rPr>
                <w:sz w:val="20"/>
              </w:rPr>
              <w:t>We did not include patients under the age of 18, patients who required CPR or patients who died before arriving at the hospital.</w:t>
            </w:r>
            <w:r>
              <w:rPr>
                <w:sz w:val="20"/>
              </w:rPr>
              <w:t xml:space="preserve"> </w:t>
            </w:r>
          </w:p>
          <w:p w14:paraId="372384F0" w14:textId="2F74F944" w:rsidR="00006845" w:rsidRPr="00906F0A" w:rsidRDefault="00F124BC" w:rsidP="003B3CBB">
            <w:pPr>
              <w:jc w:val="both"/>
            </w:pPr>
            <w:r w:rsidRPr="00E8026C">
              <w:rPr>
                <w:sz w:val="20"/>
              </w:rPr>
              <w:t xml:space="preserve">We evaluated </w:t>
            </w:r>
            <w:r>
              <w:rPr>
                <w:sz w:val="20"/>
              </w:rPr>
              <w:t xml:space="preserve">the </w:t>
            </w:r>
            <w:r w:rsidRPr="00E8026C">
              <w:rPr>
                <w:sz w:val="20"/>
              </w:rPr>
              <w:t xml:space="preserve">GCS and FOUR score in the prehospital </w:t>
            </w:r>
            <w:r>
              <w:rPr>
                <w:sz w:val="20"/>
              </w:rPr>
              <w:t>setting</w:t>
            </w:r>
            <w:r w:rsidRPr="00E8026C">
              <w:rPr>
                <w:sz w:val="20"/>
              </w:rPr>
              <w:t xml:space="preserve"> at three different time points: immediately at first contact with the patient at the scene, after the management of the patient by the prehospital medical unit, and during the patient handover by ambulance staff at the hospital. We also </w:t>
            </w:r>
            <w:r>
              <w:rPr>
                <w:sz w:val="20"/>
              </w:rPr>
              <w:t>compared the</w:t>
            </w:r>
            <w:r w:rsidRPr="00E8026C">
              <w:rPr>
                <w:sz w:val="20"/>
              </w:rPr>
              <w:t xml:space="preserve"> GCS and FOUR score </w:t>
            </w:r>
            <w:r>
              <w:rPr>
                <w:sz w:val="20"/>
              </w:rPr>
              <w:t xml:space="preserve">data </w:t>
            </w:r>
            <w:r w:rsidRPr="00E8026C">
              <w:rPr>
                <w:sz w:val="20"/>
              </w:rPr>
              <w:t xml:space="preserve">in patients who survived 24 hours </w:t>
            </w:r>
            <w:r>
              <w:rPr>
                <w:sz w:val="20"/>
              </w:rPr>
              <w:t>and</w:t>
            </w:r>
            <w:r w:rsidRPr="00E8026C">
              <w:rPr>
                <w:sz w:val="20"/>
              </w:rPr>
              <w:t xml:space="preserve"> one and three months after the injury </w:t>
            </w:r>
            <w:r>
              <w:rPr>
                <w:sz w:val="20"/>
              </w:rPr>
              <w:t>in regard to</w:t>
            </w:r>
            <w:r w:rsidRPr="00E8026C">
              <w:rPr>
                <w:sz w:val="20"/>
              </w:rPr>
              <w:t xml:space="preserve"> outcomes.</w:t>
            </w:r>
          </w:p>
        </w:tc>
      </w:tr>
      <w:tr w:rsidR="00006845" w:rsidRPr="0022554A" w14:paraId="281C70A4" w14:textId="77777777" w:rsidTr="003B3CBB">
        <w:tc>
          <w:tcPr>
            <w:tcW w:w="0" w:type="auto"/>
            <w:gridSpan w:val="2"/>
            <w:vMerge/>
          </w:tcPr>
          <w:p w14:paraId="3B098500" w14:textId="77777777" w:rsidR="00006845" w:rsidRPr="0022554A" w:rsidRDefault="00006845" w:rsidP="003B3CBB">
            <w:pPr>
              <w:tabs>
                <w:tab w:val="left" w:pos="5400"/>
              </w:tabs>
              <w:jc w:val="both"/>
              <w:rPr>
                <w:bCs/>
                <w:sz w:val="20"/>
              </w:rPr>
            </w:pPr>
            <w:bookmarkStart w:id="27" w:name="bold14" w:colFirst="0" w:colLast="0"/>
            <w:bookmarkStart w:id="28" w:name="italic15" w:colFirst="0" w:colLast="0"/>
          </w:p>
        </w:tc>
        <w:tc>
          <w:tcPr>
            <w:tcW w:w="0" w:type="auto"/>
            <w:vMerge/>
          </w:tcPr>
          <w:p w14:paraId="774017BB" w14:textId="77777777" w:rsidR="00006845" w:rsidRPr="0022554A" w:rsidRDefault="00006845" w:rsidP="003B3CBB">
            <w:pPr>
              <w:tabs>
                <w:tab w:val="left" w:pos="5400"/>
              </w:tabs>
              <w:jc w:val="both"/>
              <w:rPr>
                <w:sz w:val="20"/>
              </w:rPr>
            </w:pPr>
          </w:p>
        </w:tc>
        <w:tc>
          <w:tcPr>
            <w:tcW w:w="0" w:type="auto"/>
          </w:tcPr>
          <w:p w14:paraId="70DB4CC1" w14:textId="32B97678" w:rsidR="00006845" w:rsidRPr="00231956" w:rsidRDefault="00231956" w:rsidP="00A31D6D">
            <w:pPr>
              <w:jc w:val="both"/>
            </w:pPr>
            <w:commentRangeStart w:id="29"/>
            <w:r w:rsidRPr="00EE412C">
              <w:rPr>
                <w:sz w:val="20"/>
              </w:rPr>
              <w:t>We</w:t>
            </w:r>
            <w:commentRangeEnd w:id="29"/>
            <w:r w:rsidRPr="00EE412C">
              <w:rPr>
                <w:sz w:val="20"/>
              </w:rPr>
              <w:commentReference w:id="29"/>
            </w:r>
            <w:r w:rsidRPr="00EE412C">
              <w:rPr>
                <w:sz w:val="20"/>
              </w:rPr>
              <w:t xml:space="preserve"> included 200 patients with TBI in our study (133 men and 67 women).</w:t>
            </w:r>
            <w:r>
              <w:rPr>
                <w:sz w:val="20"/>
              </w:rPr>
              <w:t xml:space="preserve"> </w:t>
            </w:r>
            <w:r w:rsidRPr="00231956">
              <w:rPr>
                <w:sz w:val="20"/>
              </w:rPr>
              <w:t>Within 24 hours after the injury, 6 patients (3%) died. One month after the injury, we registered 23 deceased patients (</w:t>
            </w:r>
            <w:commentRangeStart w:id="30"/>
            <w:r w:rsidRPr="00231956">
              <w:rPr>
                <w:sz w:val="20"/>
              </w:rPr>
              <w:t>11,5</w:t>
            </w:r>
            <w:commentRangeEnd w:id="30"/>
            <w:r w:rsidRPr="00231956">
              <w:rPr>
                <w:sz w:val="20"/>
                <w:lang w:val="en-US"/>
              </w:rPr>
              <w:commentReference w:id="30"/>
            </w:r>
            <w:r w:rsidRPr="00231956">
              <w:rPr>
                <w:sz w:val="20"/>
              </w:rPr>
              <w:t>%), and three months after the injury, we recorded a cumulative total of 25 deceased patients (12.5% of the total number of studied patients).</w:t>
            </w:r>
            <w:r>
              <w:rPr>
                <w:sz w:val="20"/>
              </w:rPr>
              <w:t xml:space="preserve"> </w:t>
            </w:r>
            <w:r w:rsidRPr="00EE412C">
              <w:rPr>
                <w:sz w:val="20"/>
                <w:lang w:eastAsia="sl-SI"/>
              </w:rPr>
              <w:t xml:space="preserve">Among all patients, </w:t>
            </w:r>
            <w:r w:rsidRPr="00EE412C">
              <w:rPr>
                <w:sz w:val="20"/>
              </w:rPr>
              <w:t xml:space="preserve">33 out of 200 (16,5%) were ET intubated (with </w:t>
            </w:r>
            <w:r w:rsidRPr="00EE412C">
              <w:rPr>
                <w:sz w:val="20"/>
              </w:rPr>
              <w:lastRenderedPageBreak/>
              <w:t>appropriate sedation, analgesia and muscular relaxation), mechanically ventilated and monitored with end-tidal CO</w:t>
            </w:r>
            <w:r w:rsidRPr="00EE412C">
              <w:rPr>
                <w:sz w:val="20"/>
                <w:vertAlign w:val="subscript"/>
              </w:rPr>
              <w:t>2</w:t>
            </w:r>
            <w:r w:rsidRPr="00EE412C">
              <w:rPr>
                <w:sz w:val="20"/>
                <w:lang w:eastAsia="sl-SI"/>
              </w:rPr>
              <w:t>. No missing data were present in the final dataset.</w:t>
            </w:r>
          </w:p>
        </w:tc>
      </w:tr>
      <w:tr w:rsidR="00006845" w:rsidRPr="0022554A" w14:paraId="79DAA76C" w14:textId="77777777" w:rsidTr="003B3CBB">
        <w:tc>
          <w:tcPr>
            <w:tcW w:w="0" w:type="auto"/>
            <w:gridSpan w:val="2"/>
          </w:tcPr>
          <w:p w14:paraId="661A060A" w14:textId="77777777" w:rsidR="00006845" w:rsidRPr="0022554A" w:rsidRDefault="00006845" w:rsidP="003B3CBB">
            <w:pPr>
              <w:tabs>
                <w:tab w:val="left" w:pos="5400"/>
              </w:tabs>
              <w:jc w:val="both"/>
              <w:rPr>
                <w:bCs/>
                <w:sz w:val="20"/>
              </w:rPr>
            </w:pPr>
            <w:bookmarkStart w:id="31" w:name="bold16" w:colFirst="0" w:colLast="0"/>
            <w:bookmarkStart w:id="32" w:name="italic17" w:colFirst="0" w:colLast="0"/>
            <w:bookmarkEnd w:id="27"/>
            <w:bookmarkEnd w:id="28"/>
            <w:r w:rsidRPr="0022554A">
              <w:rPr>
                <w:bCs/>
                <w:sz w:val="20"/>
              </w:rPr>
              <w:lastRenderedPageBreak/>
              <w:t>Variables</w:t>
            </w:r>
          </w:p>
        </w:tc>
        <w:tc>
          <w:tcPr>
            <w:tcW w:w="0" w:type="auto"/>
          </w:tcPr>
          <w:p w14:paraId="0F668BE5" w14:textId="77777777" w:rsidR="00006845" w:rsidRPr="0022554A" w:rsidRDefault="00006845" w:rsidP="003B3CBB">
            <w:pPr>
              <w:tabs>
                <w:tab w:val="left" w:pos="5400"/>
              </w:tabs>
              <w:jc w:val="both"/>
              <w:rPr>
                <w:sz w:val="20"/>
              </w:rPr>
            </w:pPr>
            <w:r w:rsidRPr="0022554A">
              <w:rPr>
                <w:sz w:val="20"/>
              </w:rPr>
              <w:t>7</w:t>
            </w:r>
          </w:p>
        </w:tc>
        <w:tc>
          <w:tcPr>
            <w:tcW w:w="0" w:type="auto"/>
          </w:tcPr>
          <w:p w14:paraId="6C1196FF" w14:textId="377EEF8A" w:rsidR="00006845" w:rsidRPr="0022554A" w:rsidRDefault="00006845" w:rsidP="003B3CBB">
            <w:pPr>
              <w:jc w:val="both"/>
              <w:rPr>
                <w:sz w:val="20"/>
              </w:rPr>
            </w:pPr>
            <w:r w:rsidRPr="009F53B2">
              <w:rPr>
                <w:sz w:val="20"/>
              </w:rPr>
              <w:t xml:space="preserve">The sensitivity, specificity, correct prediction and </w:t>
            </w:r>
            <w:r w:rsidR="00231956" w:rsidRPr="00231956">
              <w:rPr>
                <w:sz w:val="20"/>
              </w:rPr>
              <w:t>Youden’s J-statistic was used to assess the performance of a dichotomous diagnostic test.</w:t>
            </w:r>
            <w:r w:rsidR="00231956">
              <w:rPr>
                <w:sz w:val="20"/>
              </w:rPr>
              <w:t xml:space="preserve"> </w:t>
            </w:r>
            <w:r w:rsidRPr="009F53B2">
              <w:rPr>
                <w:sz w:val="20"/>
              </w:rPr>
              <w:t>Youden index were obtained with two-by-two table. For each score, ROC curves were obtained.</w:t>
            </w:r>
            <w:r>
              <w:rPr>
                <w:sz w:val="20"/>
              </w:rPr>
              <w:t xml:space="preserve"> </w:t>
            </w:r>
            <w:r w:rsidR="00A31D6D" w:rsidRPr="00A31D6D">
              <w:rPr>
                <w:sz w:val="20"/>
              </w:rPr>
              <w:t>The outcome prediction data were analysed with McNemar’s test. P &lt; 0.05 was considered statistically significant.</w:t>
            </w:r>
          </w:p>
        </w:tc>
      </w:tr>
      <w:tr w:rsidR="00006845" w:rsidRPr="0022554A" w14:paraId="14D44638" w14:textId="77777777" w:rsidTr="003B3CBB">
        <w:trPr>
          <w:trHeight w:val="294"/>
        </w:trPr>
        <w:tc>
          <w:tcPr>
            <w:tcW w:w="0" w:type="auto"/>
            <w:gridSpan w:val="2"/>
          </w:tcPr>
          <w:p w14:paraId="5455E4ED" w14:textId="673277EE" w:rsidR="00006845" w:rsidRPr="0022554A" w:rsidRDefault="00006845" w:rsidP="00E245F6">
            <w:pPr>
              <w:tabs>
                <w:tab w:val="left" w:pos="5400"/>
              </w:tabs>
              <w:rPr>
                <w:bCs/>
                <w:sz w:val="20"/>
              </w:rPr>
            </w:pPr>
            <w:bookmarkStart w:id="33" w:name="bold17"/>
            <w:bookmarkStart w:id="34" w:name="italic18"/>
            <w:bookmarkEnd w:id="31"/>
            <w:bookmarkEnd w:id="32"/>
            <w:r w:rsidRPr="0022554A">
              <w:rPr>
                <w:bCs/>
                <w:sz w:val="20"/>
              </w:rPr>
              <w:t>Data</w:t>
            </w:r>
            <w:r w:rsidR="00E245F6">
              <w:rPr>
                <w:bCs/>
                <w:sz w:val="20"/>
              </w:rPr>
              <w:t xml:space="preserve"> </w:t>
            </w:r>
            <w:r w:rsidRPr="0022554A">
              <w:rPr>
                <w:bCs/>
                <w:sz w:val="20"/>
              </w:rPr>
              <w:t>sources/</w:t>
            </w:r>
            <w:bookmarkStart w:id="35" w:name="bold18"/>
            <w:bookmarkStart w:id="36" w:name="italic19"/>
            <w:bookmarkEnd w:id="33"/>
            <w:bookmarkEnd w:id="34"/>
            <w:r>
              <w:rPr>
                <w:bCs/>
                <w:sz w:val="20"/>
              </w:rPr>
              <w:t xml:space="preserve"> </w:t>
            </w:r>
            <w:r w:rsidRPr="0022554A">
              <w:rPr>
                <w:bCs/>
                <w:sz w:val="20"/>
              </w:rPr>
              <w:t>measurement</w:t>
            </w:r>
            <w:bookmarkEnd w:id="35"/>
            <w:bookmarkEnd w:id="36"/>
          </w:p>
        </w:tc>
        <w:tc>
          <w:tcPr>
            <w:tcW w:w="0" w:type="auto"/>
          </w:tcPr>
          <w:p w14:paraId="7E3C3A53" w14:textId="162FDA5A" w:rsidR="00006845" w:rsidRPr="0022554A" w:rsidRDefault="00006845" w:rsidP="003B3CBB">
            <w:pPr>
              <w:tabs>
                <w:tab w:val="left" w:pos="5400"/>
              </w:tabs>
              <w:jc w:val="both"/>
              <w:rPr>
                <w:sz w:val="20"/>
              </w:rPr>
            </w:pPr>
            <w:r w:rsidRPr="0022554A">
              <w:rPr>
                <w:sz w:val="20"/>
              </w:rPr>
              <w:t>8</w:t>
            </w:r>
          </w:p>
        </w:tc>
        <w:tc>
          <w:tcPr>
            <w:tcW w:w="0" w:type="auto"/>
          </w:tcPr>
          <w:p w14:paraId="6796875F" w14:textId="08FF243E" w:rsidR="00006845" w:rsidRPr="0022554A" w:rsidRDefault="001379C8" w:rsidP="003B3CBB">
            <w:pPr>
              <w:tabs>
                <w:tab w:val="left" w:pos="5400"/>
              </w:tabs>
              <w:jc w:val="both"/>
              <w:rPr>
                <w:sz w:val="20"/>
              </w:rPr>
            </w:pPr>
            <w:r w:rsidRPr="001379C8">
              <w:rPr>
                <w:sz w:val="20"/>
              </w:rPr>
              <w:t xml:space="preserve">The comparisons of the areas under the ROC curves and the analyses of the differences of the Youden index were performed using the method described by Hanley and McNeil. </w:t>
            </w:r>
          </w:p>
        </w:tc>
      </w:tr>
      <w:tr w:rsidR="00006845" w:rsidRPr="0022554A" w14:paraId="004CA8B9" w14:textId="77777777" w:rsidTr="003B3CBB">
        <w:tc>
          <w:tcPr>
            <w:tcW w:w="0" w:type="auto"/>
            <w:gridSpan w:val="2"/>
          </w:tcPr>
          <w:p w14:paraId="2E968BBD" w14:textId="77777777" w:rsidR="00006845" w:rsidRPr="0022554A" w:rsidRDefault="00006845" w:rsidP="003B3CBB">
            <w:pPr>
              <w:tabs>
                <w:tab w:val="left" w:pos="5400"/>
              </w:tabs>
              <w:jc w:val="both"/>
              <w:rPr>
                <w:bCs/>
                <w:color w:val="000000"/>
                <w:sz w:val="20"/>
              </w:rPr>
            </w:pPr>
            <w:bookmarkStart w:id="37" w:name="bold20" w:colFirst="0" w:colLast="0"/>
            <w:bookmarkStart w:id="38" w:name="italic20" w:colFirst="0" w:colLast="0"/>
            <w:r w:rsidRPr="0022554A">
              <w:rPr>
                <w:bCs/>
                <w:color w:val="000000"/>
                <w:sz w:val="20"/>
              </w:rPr>
              <w:t>Bias</w:t>
            </w:r>
          </w:p>
        </w:tc>
        <w:tc>
          <w:tcPr>
            <w:tcW w:w="0" w:type="auto"/>
          </w:tcPr>
          <w:p w14:paraId="607BB0BE" w14:textId="77777777" w:rsidR="00006845" w:rsidRPr="0022554A" w:rsidRDefault="00006845" w:rsidP="003B3CBB">
            <w:pPr>
              <w:tabs>
                <w:tab w:val="left" w:pos="5400"/>
              </w:tabs>
              <w:jc w:val="both"/>
              <w:rPr>
                <w:sz w:val="20"/>
              </w:rPr>
            </w:pPr>
            <w:r w:rsidRPr="0022554A">
              <w:rPr>
                <w:sz w:val="20"/>
              </w:rPr>
              <w:t>9</w:t>
            </w:r>
          </w:p>
        </w:tc>
        <w:tc>
          <w:tcPr>
            <w:tcW w:w="0" w:type="auto"/>
          </w:tcPr>
          <w:p w14:paraId="0438561F" w14:textId="77777777" w:rsidR="00006845" w:rsidRPr="0022554A" w:rsidRDefault="00006845" w:rsidP="003B3CBB">
            <w:pPr>
              <w:tabs>
                <w:tab w:val="left" w:pos="5400"/>
              </w:tabs>
              <w:jc w:val="both"/>
              <w:rPr>
                <w:color w:val="000000"/>
                <w:sz w:val="20"/>
              </w:rPr>
            </w:pPr>
            <w:r>
              <w:rPr>
                <w:color w:val="000000"/>
                <w:sz w:val="20"/>
              </w:rPr>
              <w:t xml:space="preserve">All physicians that performed FOUR score in our study, were properly instructed.  </w:t>
            </w:r>
          </w:p>
        </w:tc>
      </w:tr>
      <w:tr w:rsidR="00006845" w:rsidRPr="0022554A" w14:paraId="569281C7" w14:textId="77777777" w:rsidTr="003B3CBB">
        <w:tc>
          <w:tcPr>
            <w:tcW w:w="0" w:type="auto"/>
            <w:gridSpan w:val="2"/>
          </w:tcPr>
          <w:p w14:paraId="17F1834C" w14:textId="77777777" w:rsidR="00006845" w:rsidRPr="0022554A" w:rsidRDefault="00006845" w:rsidP="003B3CBB">
            <w:pPr>
              <w:tabs>
                <w:tab w:val="left" w:pos="5400"/>
              </w:tabs>
              <w:jc w:val="both"/>
              <w:rPr>
                <w:bCs/>
                <w:sz w:val="20"/>
              </w:rPr>
            </w:pPr>
            <w:bookmarkStart w:id="39" w:name="bold21" w:colFirst="0" w:colLast="0"/>
            <w:bookmarkStart w:id="40" w:name="italic21" w:colFirst="0" w:colLast="0"/>
            <w:bookmarkEnd w:id="37"/>
            <w:bookmarkEnd w:id="38"/>
            <w:r w:rsidRPr="0022554A">
              <w:rPr>
                <w:bCs/>
                <w:sz w:val="20"/>
              </w:rPr>
              <w:t>Study size</w:t>
            </w:r>
          </w:p>
        </w:tc>
        <w:tc>
          <w:tcPr>
            <w:tcW w:w="0" w:type="auto"/>
          </w:tcPr>
          <w:p w14:paraId="2746B608" w14:textId="77777777" w:rsidR="00006845" w:rsidRPr="0022554A" w:rsidRDefault="00006845" w:rsidP="003B3CBB">
            <w:pPr>
              <w:tabs>
                <w:tab w:val="left" w:pos="5400"/>
              </w:tabs>
              <w:jc w:val="both"/>
              <w:rPr>
                <w:sz w:val="20"/>
              </w:rPr>
            </w:pPr>
            <w:r w:rsidRPr="0022554A">
              <w:rPr>
                <w:sz w:val="20"/>
              </w:rPr>
              <w:t>10</w:t>
            </w:r>
          </w:p>
        </w:tc>
        <w:tc>
          <w:tcPr>
            <w:tcW w:w="0" w:type="auto"/>
          </w:tcPr>
          <w:p w14:paraId="5EC21452" w14:textId="77777777" w:rsidR="00006845" w:rsidRPr="0022554A" w:rsidRDefault="00006845" w:rsidP="003B3CBB">
            <w:pPr>
              <w:tabs>
                <w:tab w:val="left" w:pos="5400"/>
              </w:tabs>
              <w:jc w:val="both"/>
              <w:rPr>
                <w:sz w:val="20"/>
              </w:rPr>
            </w:pPr>
            <w:r>
              <w:rPr>
                <w:sz w:val="20"/>
              </w:rPr>
              <w:t xml:space="preserve">Study size was obtained with </w:t>
            </w:r>
            <w:r w:rsidRPr="00D03D3D">
              <w:rPr>
                <w:sz w:val="20"/>
              </w:rPr>
              <w:t>power analysis</w:t>
            </w:r>
            <w:r>
              <w:rPr>
                <w:sz w:val="20"/>
              </w:rPr>
              <w:t>.</w:t>
            </w:r>
          </w:p>
        </w:tc>
      </w:tr>
      <w:tr w:rsidR="00006845" w:rsidRPr="0022554A" w14:paraId="1B724BEC" w14:textId="77777777" w:rsidTr="003B3CBB">
        <w:tc>
          <w:tcPr>
            <w:tcW w:w="0" w:type="auto"/>
            <w:gridSpan w:val="2"/>
          </w:tcPr>
          <w:p w14:paraId="4D899006" w14:textId="4F01AD32" w:rsidR="00006845" w:rsidRPr="0022554A" w:rsidRDefault="00006845" w:rsidP="003B3CBB">
            <w:pPr>
              <w:tabs>
                <w:tab w:val="left" w:pos="5400"/>
              </w:tabs>
              <w:jc w:val="both"/>
              <w:rPr>
                <w:bCs/>
                <w:sz w:val="20"/>
              </w:rPr>
            </w:pPr>
            <w:bookmarkStart w:id="41" w:name="bold22"/>
            <w:bookmarkStart w:id="42" w:name="italic22"/>
            <w:bookmarkEnd w:id="39"/>
            <w:bookmarkEnd w:id="40"/>
            <w:r w:rsidRPr="0022554A">
              <w:rPr>
                <w:bCs/>
                <w:sz w:val="20"/>
              </w:rPr>
              <w:t>Quantitative</w:t>
            </w:r>
            <w:bookmarkStart w:id="43" w:name="bold23"/>
            <w:bookmarkStart w:id="44" w:name="italic23"/>
            <w:bookmarkEnd w:id="41"/>
            <w:bookmarkEnd w:id="42"/>
            <w:r w:rsidRPr="0022554A">
              <w:rPr>
                <w:bCs/>
                <w:sz w:val="20"/>
              </w:rPr>
              <w:t xml:space="preserve"> variables</w:t>
            </w:r>
            <w:bookmarkEnd w:id="43"/>
            <w:bookmarkEnd w:id="44"/>
          </w:p>
        </w:tc>
        <w:tc>
          <w:tcPr>
            <w:tcW w:w="0" w:type="auto"/>
          </w:tcPr>
          <w:p w14:paraId="31672320" w14:textId="77777777" w:rsidR="00006845" w:rsidRPr="0022554A" w:rsidRDefault="00006845" w:rsidP="003B3CBB">
            <w:pPr>
              <w:tabs>
                <w:tab w:val="left" w:pos="5400"/>
              </w:tabs>
              <w:jc w:val="both"/>
              <w:rPr>
                <w:sz w:val="20"/>
              </w:rPr>
            </w:pPr>
            <w:r w:rsidRPr="0022554A">
              <w:rPr>
                <w:sz w:val="20"/>
              </w:rPr>
              <w:t>11</w:t>
            </w:r>
          </w:p>
        </w:tc>
        <w:tc>
          <w:tcPr>
            <w:tcW w:w="0" w:type="auto"/>
          </w:tcPr>
          <w:p w14:paraId="5CBB6082" w14:textId="4C189F9F" w:rsidR="00006845" w:rsidRPr="0022554A" w:rsidRDefault="00884F58" w:rsidP="003B3CBB">
            <w:pPr>
              <w:tabs>
                <w:tab w:val="left" w:pos="5400"/>
              </w:tabs>
              <w:jc w:val="both"/>
              <w:rPr>
                <w:sz w:val="20"/>
              </w:rPr>
            </w:pPr>
            <w:r w:rsidRPr="00E8026C">
              <w:rPr>
                <w:sz w:val="20"/>
              </w:rPr>
              <w:t xml:space="preserve">We calculated sensitivity (true positive) by choosing survivors with equal or more points </w:t>
            </w:r>
            <w:r>
              <w:rPr>
                <w:sz w:val="20"/>
              </w:rPr>
              <w:t>according to</w:t>
            </w:r>
            <w:r w:rsidRPr="00E8026C">
              <w:rPr>
                <w:sz w:val="20"/>
              </w:rPr>
              <w:t xml:space="preserve"> the selected cut-off point. In addition, we calculated specificity (true negative), where we chose non-survivors with fewer points </w:t>
            </w:r>
            <w:r>
              <w:rPr>
                <w:sz w:val="20"/>
              </w:rPr>
              <w:t>according</w:t>
            </w:r>
            <w:r w:rsidRPr="00E8026C">
              <w:rPr>
                <w:sz w:val="20"/>
              </w:rPr>
              <w:t xml:space="preserve"> to the selected cut-off point. The outcome with four severity scores accessed the predictive power of each cut-off point scoring system (the higher the index, the better the prediction </w:t>
            </w:r>
            <w:r>
              <w:rPr>
                <w:sz w:val="20"/>
              </w:rPr>
              <w:t>of</w:t>
            </w:r>
            <w:r w:rsidRPr="00E8026C">
              <w:rPr>
                <w:sz w:val="20"/>
              </w:rPr>
              <w:t xml:space="preserve"> the cut-off point). The percentages of correct predictions of </w:t>
            </w:r>
            <w:r w:rsidR="00B35F96">
              <w:rPr>
                <w:sz w:val="20"/>
              </w:rPr>
              <w:t>outcome</w:t>
            </w:r>
            <w:r w:rsidRPr="00E8026C">
              <w:rPr>
                <w:sz w:val="20"/>
              </w:rPr>
              <w:t xml:space="preserve"> were obtained </w:t>
            </w:r>
            <w:r>
              <w:rPr>
                <w:sz w:val="20"/>
              </w:rPr>
              <w:t>according to</w:t>
            </w:r>
            <w:r w:rsidRPr="00E8026C">
              <w:rPr>
                <w:sz w:val="20"/>
              </w:rPr>
              <w:t xml:space="preserve"> these cut-off points.</w:t>
            </w:r>
            <w:r>
              <w:rPr>
                <w:sz w:val="20"/>
              </w:rPr>
              <w:t xml:space="preserve"> </w:t>
            </w:r>
            <w:r w:rsidRPr="00E8026C">
              <w:rPr>
                <w:sz w:val="20"/>
              </w:rPr>
              <w:t>The greater the area under the ROC curve, the better the scoring system.</w:t>
            </w:r>
          </w:p>
        </w:tc>
      </w:tr>
      <w:tr w:rsidR="00006845" w:rsidRPr="0022554A" w14:paraId="49735F36" w14:textId="77777777" w:rsidTr="003B3CBB">
        <w:tc>
          <w:tcPr>
            <w:tcW w:w="0" w:type="auto"/>
            <w:gridSpan w:val="2"/>
          </w:tcPr>
          <w:p w14:paraId="0AD75768" w14:textId="2A18611E" w:rsidR="00006845" w:rsidRPr="0022554A" w:rsidRDefault="00006845" w:rsidP="003B3CBB">
            <w:pPr>
              <w:tabs>
                <w:tab w:val="left" w:pos="5400"/>
              </w:tabs>
              <w:jc w:val="both"/>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0" w:type="auto"/>
          </w:tcPr>
          <w:p w14:paraId="0240ECE1" w14:textId="77777777" w:rsidR="00006845" w:rsidRPr="0022554A" w:rsidRDefault="00006845" w:rsidP="003B3CBB">
            <w:pPr>
              <w:tabs>
                <w:tab w:val="left" w:pos="5400"/>
              </w:tabs>
              <w:jc w:val="both"/>
              <w:rPr>
                <w:sz w:val="20"/>
              </w:rPr>
            </w:pPr>
            <w:r w:rsidRPr="0022554A">
              <w:rPr>
                <w:sz w:val="20"/>
              </w:rPr>
              <w:t>12</w:t>
            </w:r>
          </w:p>
        </w:tc>
        <w:tc>
          <w:tcPr>
            <w:tcW w:w="0" w:type="auto"/>
          </w:tcPr>
          <w:p w14:paraId="37511912" w14:textId="77777777" w:rsidR="004747C9" w:rsidRDefault="004747C9" w:rsidP="003B3CBB">
            <w:pPr>
              <w:jc w:val="both"/>
              <w:rPr>
                <w:sz w:val="20"/>
              </w:rPr>
            </w:pPr>
            <w:r w:rsidRPr="004747C9">
              <w:rPr>
                <w:sz w:val="20"/>
              </w:rPr>
              <w:t>We used the χ² method with the best cut-off point for each model; we calculated sensitivity, specificity and correct prediction of the outcome with four severity scores. The Youden index, Z score, McNemar's test and ROC curve were also assessed. P &lt; 0.05 was considered statistically significant. Both scales were ranked with gain ratio.</w:t>
            </w:r>
          </w:p>
          <w:p w14:paraId="79DEE037" w14:textId="0BCEFFE8" w:rsidR="004747C9" w:rsidRDefault="004747C9" w:rsidP="003B3CBB">
            <w:pPr>
              <w:jc w:val="both"/>
              <w:rPr>
                <w:sz w:val="20"/>
              </w:rPr>
            </w:pPr>
            <w:r w:rsidRPr="009F53B2">
              <w:rPr>
                <w:sz w:val="20"/>
              </w:rPr>
              <w:t>The sensitivity, specificity, correct prediction and Youden index were obtained with two-by-two table</w:t>
            </w:r>
            <w:r w:rsidR="00006845" w:rsidRPr="009F53B2">
              <w:rPr>
                <w:sz w:val="20"/>
              </w:rPr>
              <w:t xml:space="preserve">. </w:t>
            </w:r>
            <w:r w:rsidRPr="00E8026C">
              <w:rPr>
                <w:sz w:val="20"/>
              </w:rPr>
              <w:t xml:space="preserve">We calculated sensitivity (true positive) by choosing survivors with equal or more points </w:t>
            </w:r>
            <w:r>
              <w:rPr>
                <w:sz w:val="20"/>
              </w:rPr>
              <w:t>according to</w:t>
            </w:r>
            <w:r w:rsidRPr="00E8026C">
              <w:rPr>
                <w:sz w:val="20"/>
              </w:rPr>
              <w:t xml:space="preserve"> the selected cut-off point.</w:t>
            </w:r>
            <w:r w:rsidR="00006845">
              <w:rPr>
                <w:sz w:val="20"/>
              </w:rPr>
              <w:t xml:space="preserve"> </w:t>
            </w:r>
            <w:r>
              <w:rPr>
                <w:sz w:val="20"/>
              </w:rPr>
              <w:t xml:space="preserve">We also </w:t>
            </w:r>
            <w:r w:rsidRPr="004747C9">
              <w:rPr>
                <w:sz w:val="20"/>
              </w:rPr>
              <w:t>calculated specificity (true negative), where we ch</w:t>
            </w:r>
            <w:r w:rsidR="00B10C88">
              <w:rPr>
                <w:sz w:val="20"/>
              </w:rPr>
              <w:t>o</w:t>
            </w:r>
            <w:r w:rsidRPr="004747C9">
              <w:rPr>
                <w:sz w:val="20"/>
              </w:rPr>
              <w:t xml:space="preserve">ose non-survivors with fewer points according to the selected cut-off point. The outcome with four severity scores accessed the predictive power of each cut-off point scoring system (the higher the index, the better the prediction of the cut-off point). The percentages of correct predictions of </w:t>
            </w:r>
            <w:r w:rsidR="00B35F96">
              <w:rPr>
                <w:sz w:val="20"/>
              </w:rPr>
              <w:t>outcome</w:t>
            </w:r>
            <w:r w:rsidRPr="004747C9">
              <w:rPr>
                <w:sz w:val="20"/>
              </w:rPr>
              <w:t xml:space="preserve"> were obtained according to these cut-off points. The greater the area under the ROC curve, the better the scoring system.</w:t>
            </w:r>
          </w:p>
          <w:p w14:paraId="242C1020" w14:textId="437F9D36" w:rsidR="00006845" w:rsidRPr="0007776D" w:rsidRDefault="00C457EC" w:rsidP="003B3CBB">
            <w:pPr>
              <w:jc w:val="both"/>
            </w:pPr>
            <w:r w:rsidRPr="00A31D6D">
              <w:rPr>
                <w:sz w:val="20"/>
              </w:rPr>
              <w:t>The outcome prediction data were analysed with McNemar’s test. P &lt; 0.05 was considered statistically significant.</w:t>
            </w:r>
            <w:r w:rsidR="00006845" w:rsidRPr="009F53B2">
              <w:rPr>
                <w:sz w:val="20"/>
              </w:rPr>
              <w:t xml:space="preserve"> </w:t>
            </w:r>
            <w:r w:rsidR="00DA6D6A" w:rsidRPr="00E8026C">
              <w:rPr>
                <w:sz w:val="20"/>
              </w:rPr>
              <w:t>Data were analysed with IBM SPSS Statistics for Windows, Version 21.0. Armonk, NY: IBM Corp.</w:t>
            </w:r>
          </w:p>
        </w:tc>
      </w:tr>
      <w:tr w:rsidR="00006845" w:rsidRPr="0022554A" w14:paraId="464CC8C8" w14:textId="77777777" w:rsidTr="003B3CBB">
        <w:tc>
          <w:tcPr>
            <w:tcW w:w="0" w:type="auto"/>
            <w:gridSpan w:val="4"/>
          </w:tcPr>
          <w:p w14:paraId="6A186E4F" w14:textId="69058355" w:rsidR="00006845" w:rsidRPr="0022554A" w:rsidRDefault="00006845" w:rsidP="003B3CBB">
            <w:pPr>
              <w:pStyle w:val="TableSubHead"/>
              <w:tabs>
                <w:tab w:val="left" w:pos="5400"/>
              </w:tabs>
              <w:jc w:val="both"/>
              <w:rPr>
                <w:sz w:val="20"/>
              </w:rPr>
            </w:pPr>
            <w:bookmarkStart w:id="47" w:name="bold28"/>
            <w:bookmarkStart w:id="48" w:name="italic30"/>
            <w:r w:rsidRPr="0022554A">
              <w:rPr>
                <w:sz w:val="20"/>
              </w:rPr>
              <w:t>Results</w:t>
            </w:r>
            <w:bookmarkEnd w:id="47"/>
            <w:bookmarkEnd w:id="48"/>
          </w:p>
        </w:tc>
      </w:tr>
      <w:tr w:rsidR="00ED1013" w:rsidRPr="0022554A" w14:paraId="374A4312" w14:textId="77777777" w:rsidTr="003B3CBB">
        <w:tc>
          <w:tcPr>
            <w:tcW w:w="0" w:type="auto"/>
          </w:tcPr>
          <w:p w14:paraId="0ABF72B5" w14:textId="77777777" w:rsidR="00ED1013" w:rsidRPr="0022554A" w:rsidRDefault="00ED1013" w:rsidP="00ED1013">
            <w:pPr>
              <w:tabs>
                <w:tab w:val="left" w:pos="5400"/>
              </w:tabs>
              <w:jc w:val="both"/>
              <w:rPr>
                <w:bCs/>
                <w:sz w:val="20"/>
              </w:rPr>
            </w:pPr>
            <w:bookmarkStart w:id="49" w:name="bold29"/>
            <w:bookmarkStart w:id="50" w:name="italic31"/>
            <w:r w:rsidRPr="0022554A">
              <w:rPr>
                <w:bCs/>
                <w:sz w:val="20"/>
              </w:rPr>
              <w:t>Participants</w:t>
            </w:r>
            <w:bookmarkEnd w:id="49"/>
            <w:bookmarkEnd w:id="50"/>
          </w:p>
        </w:tc>
        <w:tc>
          <w:tcPr>
            <w:tcW w:w="0" w:type="auto"/>
          </w:tcPr>
          <w:p w14:paraId="6DA03942" w14:textId="44D86FF5" w:rsidR="00ED1013" w:rsidRPr="0022554A" w:rsidRDefault="00ED1013" w:rsidP="00ED1013">
            <w:pPr>
              <w:tabs>
                <w:tab w:val="left" w:pos="5400"/>
              </w:tabs>
              <w:jc w:val="both"/>
              <w:rPr>
                <w:sz w:val="20"/>
              </w:rPr>
            </w:pPr>
            <w:r w:rsidRPr="0022554A">
              <w:rPr>
                <w:sz w:val="20"/>
              </w:rPr>
              <w:t>13</w:t>
            </w:r>
          </w:p>
        </w:tc>
        <w:tc>
          <w:tcPr>
            <w:tcW w:w="0" w:type="auto"/>
            <w:gridSpan w:val="2"/>
          </w:tcPr>
          <w:p w14:paraId="6964DB3D" w14:textId="77777777" w:rsidR="00ED1013" w:rsidRDefault="00ED1013" w:rsidP="00ED1013">
            <w:pPr>
              <w:tabs>
                <w:tab w:val="left" w:pos="5400"/>
              </w:tabs>
              <w:jc w:val="both"/>
              <w:rPr>
                <w:sz w:val="20"/>
              </w:rPr>
            </w:pPr>
            <w:commentRangeStart w:id="51"/>
            <w:r w:rsidRPr="00EE412C">
              <w:rPr>
                <w:sz w:val="20"/>
              </w:rPr>
              <w:t>We</w:t>
            </w:r>
            <w:commentRangeEnd w:id="51"/>
            <w:r w:rsidRPr="00EE412C">
              <w:rPr>
                <w:sz w:val="20"/>
              </w:rPr>
              <w:commentReference w:id="51"/>
            </w:r>
            <w:r w:rsidRPr="00EE412C">
              <w:rPr>
                <w:sz w:val="20"/>
              </w:rPr>
              <w:t xml:space="preserve"> included 200 patients with TBI in our study (133 men and 67 women).</w:t>
            </w:r>
            <w:r>
              <w:rPr>
                <w:sz w:val="20"/>
              </w:rPr>
              <w:t xml:space="preserve"> </w:t>
            </w:r>
            <w:r w:rsidRPr="00231956">
              <w:rPr>
                <w:sz w:val="20"/>
              </w:rPr>
              <w:t>Within 24 hours after the injury, 6 patients (3%) died. One month after the injury, we registered 23 deceased patients (</w:t>
            </w:r>
            <w:commentRangeStart w:id="52"/>
            <w:r w:rsidRPr="00231956">
              <w:rPr>
                <w:sz w:val="20"/>
              </w:rPr>
              <w:t>11,5</w:t>
            </w:r>
            <w:commentRangeEnd w:id="52"/>
            <w:r w:rsidRPr="00231956">
              <w:rPr>
                <w:sz w:val="20"/>
                <w:lang w:val="en-US"/>
              </w:rPr>
              <w:commentReference w:id="52"/>
            </w:r>
            <w:r w:rsidRPr="00231956">
              <w:rPr>
                <w:sz w:val="20"/>
              </w:rPr>
              <w:t>%), and three months after the injury, we recorded a cumulative total of 25 deceased patients (12.5% of the total number of studied patients).</w:t>
            </w:r>
            <w:r>
              <w:rPr>
                <w:sz w:val="20"/>
              </w:rPr>
              <w:t xml:space="preserve"> </w:t>
            </w:r>
          </w:p>
          <w:p w14:paraId="36C178F6" w14:textId="4140AE20" w:rsidR="00ED1013" w:rsidRPr="00B10C88" w:rsidRDefault="00ED1013" w:rsidP="00ED1013">
            <w:pPr>
              <w:tabs>
                <w:tab w:val="left" w:pos="5400"/>
              </w:tabs>
              <w:jc w:val="both"/>
              <w:rPr>
                <w:color w:val="000000"/>
                <w:sz w:val="20"/>
                <w:lang w:eastAsia="sl-SI"/>
              </w:rPr>
            </w:pPr>
            <w:r w:rsidRPr="00EE412C">
              <w:rPr>
                <w:sz w:val="20"/>
                <w:lang w:eastAsia="sl-SI"/>
              </w:rPr>
              <w:t>No missing data were present in the final dataset.</w:t>
            </w:r>
          </w:p>
        </w:tc>
      </w:tr>
      <w:tr w:rsidR="00ED1013" w:rsidRPr="0022554A" w14:paraId="5A0D6407" w14:textId="77777777" w:rsidTr="003B3CBB">
        <w:tc>
          <w:tcPr>
            <w:tcW w:w="0" w:type="auto"/>
          </w:tcPr>
          <w:p w14:paraId="19A79DF9" w14:textId="3A56EAC2" w:rsidR="00ED1013" w:rsidRPr="0022554A" w:rsidRDefault="00ED1013" w:rsidP="00ED1013">
            <w:pPr>
              <w:tabs>
                <w:tab w:val="left" w:pos="5400"/>
              </w:tabs>
              <w:jc w:val="both"/>
              <w:rPr>
                <w:bCs/>
                <w:sz w:val="20"/>
              </w:rPr>
            </w:pPr>
            <w:bookmarkStart w:id="53" w:name="bold33"/>
            <w:bookmarkStart w:id="54" w:name="italic34"/>
            <w:r w:rsidRPr="0022554A">
              <w:rPr>
                <w:bCs/>
                <w:sz w:val="20"/>
              </w:rPr>
              <w:t xml:space="preserve">Descriptive </w:t>
            </w:r>
            <w:bookmarkStart w:id="55" w:name="bold34"/>
            <w:bookmarkStart w:id="56" w:name="italic35"/>
            <w:bookmarkEnd w:id="53"/>
            <w:bookmarkEnd w:id="54"/>
            <w:r w:rsidRPr="0022554A">
              <w:rPr>
                <w:bCs/>
                <w:sz w:val="20"/>
              </w:rPr>
              <w:t>data</w:t>
            </w:r>
            <w:bookmarkEnd w:id="55"/>
            <w:bookmarkEnd w:id="56"/>
          </w:p>
        </w:tc>
        <w:tc>
          <w:tcPr>
            <w:tcW w:w="0" w:type="auto"/>
          </w:tcPr>
          <w:p w14:paraId="4E640F54" w14:textId="3E4BEBDC" w:rsidR="00ED1013" w:rsidRPr="0022554A" w:rsidRDefault="00ED1013" w:rsidP="00ED1013">
            <w:pPr>
              <w:tabs>
                <w:tab w:val="left" w:pos="5400"/>
              </w:tabs>
              <w:jc w:val="both"/>
              <w:rPr>
                <w:sz w:val="20"/>
              </w:rPr>
            </w:pPr>
            <w:r w:rsidRPr="0022554A">
              <w:rPr>
                <w:sz w:val="20"/>
              </w:rPr>
              <w:t>14</w:t>
            </w:r>
          </w:p>
        </w:tc>
        <w:tc>
          <w:tcPr>
            <w:tcW w:w="0" w:type="auto"/>
            <w:gridSpan w:val="2"/>
          </w:tcPr>
          <w:p w14:paraId="5635CCE9" w14:textId="30E32A45" w:rsidR="00ED1013" w:rsidRPr="00E8026C" w:rsidRDefault="00ED1013" w:rsidP="00ED1013">
            <w:pPr>
              <w:jc w:val="both"/>
              <w:rPr>
                <w:sz w:val="20"/>
              </w:rPr>
            </w:pPr>
            <w:r>
              <w:rPr>
                <w:sz w:val="20"/>
              </w:rPr>
              <w:t>W</w:t>
            </w:r>
            <w:r w:rsidRPr="00E8026C">
              <w:rPr>
                <w:sz w:val="20"/>
              </w:rPr>
              <w:t xml:space="preserve">e calculated sensitivity, specificity and correct prediction of the outcome with four severity scores. </w:t>
            </w:r>
            <w:r>
              <w:rPr>
                <w:sz w:val="20"/>
              </w:rPr>
              <w:t xml:space="preserve">The </w:t>
            </w:r>
            <w:r w:rsidRPr="00E8026C">
              <w:rPr>
                <w:sz w:val="20"/>
              </w:rPr>
              <w:t xml:space="preserve">Youden index, Z score, McNemar's test and ROC curve were also </w:t>
            </w:r>
            <w:r>
              <w:rPr>
                <w:sz w:val="20"/>
              </w:rPr>
              <w:t>assessed</w:t>
            </w:r>
            <w:r w:rsidRPr="00E8026C">
              <w:rPr>
                <w:sz w:val="20"/>
              </w:rPr>
              <w:t>. P &lt; 0.05 was considered statistically significant. Both scales were ranked with gain ratio.</w:t>
            </w:r>
          </w:p>
          <w:p w14:paraId="6FACFA5B" w14:textId="3A0FE178" w:rsidR="00ED1013" w:rsidRPr="0022554A" w:rsidRDefault="00ED1013" w:rsidP="00ED1013">
            <w:pPr>
              <w:jc w:val="both"/>
              <w:rPr>
                <w:sz w:val="20"/>
              </w:rPr>
            </w:pPr>
            <w:r w:rsidRPr="00E8026C">
              <w:rPr>
                <w:sz w:val="20"/>
              </w:rPr>
              <w:lastRenderedPageBreak/>
              <w:t xml:space="preserve">We used the </w:t>
            </w:r>
            <w:r>
              <w:rPr>
                <w:sz w:val="20"/>
              </w:rPr>
              <w:t>χ</w:t>
            </w:r>
            <w:r w:rsidRPr="00E8026C">
              <w:rPr>
                <w:sz w:val="20"/>
              </w:rPr>
              <w:t>² method with the best cut-off point for each model</w:t>
            </w:r>
            <w:r>
              <w:rPr>
                <w:sz w:val="20"/>
              </w:rPr>
              <w:t xml:space="preserve"> in </w:t>
            </w:r>
            <w:r w:rsidRPr="00C13036">
              <w:rPr>
                <w:sz w:val="20"/>
              </w:rPr>
              <w:t>three different moments at the scene</w:t>
            </w:r>
            <w:r>
              <w:rPr>
                <w:sz w:val="20"/>
              </w:rPr>
              <w:t>,</w:t>
            </w:r>
            <w:r w:rsidRPr="00C13036">
              <w:rPr>
                <w:sz w:val="20"/>
              </w:rPr>
              <w:t xml:space="preserve"> </w:t>
            </w:r>
            <w:r>
              <w:rPr>
                <w:sz w:val="20"/>
              </w:rPr>
              <w:t xml:space="preserve">than </w:t>
            </w:r>
            <w:r w:rsidRPr="00C13036">
              <w:rPr>
                <w:sz w:val="20"/>
              </w:rPr>
              <w:t xml:space="preserve">we </w:t>
            </w:r>
            <w:r>
              <w:rPr>
                <w:sz w:val="20"/>
              </w:rPr>
              <w:t xml:space="preserve">reassessed the scores scales in </w:t>
            </w:r>
            <w:r w:rsidRPr="00C13036">
              <w:rPr>
                <w:sz w:val="20"/>
              </w:rPr>
              <w:t xml:space="preserve">survived patient 24 hours, one and three months after the injury, and </w:t>
            </w:r>
            <w:r>
              <w:rPr>
                <w:sz w:val="20"/>
              </w:rPr>
              <w:t xml:space="preserve">later </w:t>
            </w:r>
            <w:r w:rsidRPr="00C13036">
              <w:rPr>
                <w:sz w:val="20"/>
              </w:rPr>
              <w:t>we compared the outcomes.</w:t>
            </w:r>
            <w:r>
              <w:rPr>
                <w:sz w:val="20"/>
              </w:rPr>
              <w:t xml:space="preserve"> </w:t>
            </w:r>
          </w:p>
        </w:tc>
      </w:tr>
      <w:tr w:rsidR="00ED1013" w:rsidRPr="0022554A" w14:paraId="4BB9DCBE" w14:textId="77777777" w:rsidTr="003B3CBB">
        <w:trPr>
          <w:trHeight w:val="295"/>
        </w:trPr>
        <w:tc>
          <w:tcPr>
            <w:tcW w:w="0" w:type="auto"/>
          </w:tcPr>
          <w:p w14:paraId="4EC33AD5" w14:textId="3B1AFFD1" w:rsidR="00ED1013" w:rsidRPr="0022554A" w:rsidRDefault="00ED1013" w:rsidP="00ED1013">
            <w:pPr>
              <w:tabs>
                <w:tab w:val="left" w:pos="5400"/>
              </w:tabs>
              <w:jc w:val="both"/>
              <w:rPr>
                <w:bCs/>
                <w:sz w:val="20"/>
              </w:rPr>
            </w:pPr>
            <w:bookmarkStart w:id="57" w:name="bold38" w:colFirst="0" w:colLast="0"/>
            <w:bookmarkStart w:id="58" w:name="italic38" w:colFirst="0" w:colLast="0"/>
            <w:r w:rsidRPr="0022554A">
              <w:rPr>
                <w:bCs/>
                <w:sz w:val="20"/>
              </w:rPr>
              <w:lastRenderedPageBreak/>
              <w:t>Outcome data</w:t>
            </w:r>
          </w:p>
        </w:tc>
        <w:tc>
          <w:tcPr>
            <w:tcW w:w="0" w:type="auto"/>
          </w:tcPr>
          <w:p w14:paraId="32B4D280" w14:textId="342A23F0" w:rsidR="00ED1013" w:rsidRPr="0022554A" w:rsidRDefault="00ED1013" w:rsidP="00ED1013">
            <w:pPr>
              <w:tabs>
                <w:tab w:val="left" w:pos="5400"/>
              </w:tabs>
              <w:jc w:val="both"/>
              <w:rPr>
                <w:sz w:val="20"/>
              </w:rPr>
            </w:pPr>
            <w:r w:rsidRPr="0022554A">
              <w:rPr>
                <w:sz w:val="20"/>
              </w:rPr>
              <w:t>15</w:t>
            </w:r>
          </w:p>
        </w:tc>
        <w:tc>
          <w:tcPr>
            <w:tcW w:w="0" w:type="auto"/>
            <w:gridSpan w:val="2"/>
          </w:tcPr>
          <w:p w14:paraId="24C2108F" w14:textId="56DF6AE8" w:rsidR="00ED1013" w:rsidRPr="00EE412C" w:rsidRDefault="00ED1013" w:rsidP="00ED1013">
            <w:pPr>
              <w:jc w:val="both"/>
              <w:rPr>
                <w:sz w:val="20"/>
              </w:rPr>
            </w:pPr>
            <w:r w:rsidRPr="00EE412C">
              <w:rPr>
                <w:sz w:val="20"/>
              </w:rPr>
              <w:t xml:space="preserve">In terms of </w:t>
            </w:r>
            <w:r>
              <w:rPr>
                <w:sz w:val="20"/>
              </w:rPr>
              <w:t xml:space="preserve">the </w:t>
            </w:r>
            <w:r w:rsidRPr="00EE412C">
              <w:rPr>
                <w:sz w:val="20"/>
              </w:rPr>
              <w:t>predictions of positive outcome</w:t>
            </w:r>
            <w:r>
              <w:rPr>
                <w:sz w:val="20"/>
              </w:rPr>
              <w:t>s</w:t>
            </w:r>
            <w:r w:rsidRPr="00EE412C">
              <w:rPr>
                <w:sz w:val="20"/>
              </w:rPr>
              <w:t>, our study showed the following:</w:t>
            </w:r>
          </w:p>
          <w:p w14:paraId="44020FFF" w14:textId="77777777" w:rsidR="00ED1013" w:rsidRPr="00EE412C" w:rsidRDefault="00ED1013" w:rsidP="00ED1013">
            <w:pPr>
              <w:jc w:val="both"/>
              <w:rPr>
                <w:sz w:val="20"/>
              </w:rPr>
            </w:pPr>
            <w:r w:rsidRPr="00EE412C">
              <w:rPr>
                <w:sz w:val="20"/>
              </w:rPr>
              <w:t>1. Twenty-four hours after the injury, the best cut-off points obtained were from the FOUR 1 and GCS 1 models.</w:t>
            </w:r>
          </w:p>
          <w:p w14:paraId="1E2C7F82" w14:textId="77777777" w:rsidR="00ED1013" w:rsidRPr="00EE412C" w:rsidRDefault="00ED1013" w:rsidP="00ED1013">
            <w:pPr>
              <w:jc w:val="both"/>
              <w:rPr>
                <w:sz w:val="20"/>
              </w:rPr>
            </w:pPr>
            <w:r w:rsidRPr="00EE412C">
              <w:rPr>
                <w:sz w:val="20"/>
              </w:rPr>
              <w:t>2. One month after the injury, the best cut-off points obtained were from the following models: FOUR 2 and GCS 3</w:t>
            </w:r>
            <w:r>
              <w:rPr>
                <w:sz w:val="20"/>
              </w:rPr>
              <w:t xml:space="preserve"> as well as</w:t>
            </w:r>
            <w:r w:rsidRPr="00EE412C">
              <w:rPr>
                <w:sz w:val="20"/>
              </w:rPr>
              <w:t xml:space="preserve"> FOUR 3 and GCS 3.</w:t>
            </w:r>
          </w:p>
          <w:p w14:paraId="69FA8B2B" w14:textId="541536F9" w:rsidR="00ED1013" w:rsidRPr="00B363F6" w:rsidRDefault="00ED1013" w:rsidP="00ED1013">
            <w:pPr>
              <w:jc w:val="both"/>
              <w:rPr>
                <w:b/>
                <w:sz w:val="20"/>
              </w:rPr>
            </w:pPr>
            <w:r w:rsidRPr="00EE412C">
              <w:rPr>
                <w:sz w:val="20"/>
              </w:rPr>
              <w:t xml:space="preserve">3. Three months after the injury, the best cut-off points obtained were from the following models: FOUR 2 and GCS 1, FOUR 3 and GCS 1, </w:t>
            </w:r>
            <w:r>
              <w:rPr>
                <w:sz w:val="20"/>
              </w:rPr>
              <w:t xml:space="preserve">and </w:t>
            </w:r>
            <w:r w:rsidRPr="00EE412C">
              <w:rPr>
                <w:sz w:val="20"/>
              </w:rPr>
              <w:t>GCS 1 and GCS 2.</w:t>
            </w:r>
          </w:p>
        </w:tc>
      </w:tr>
      <w:tr w:rsidR="00ED1013" w:rsidRPr="0022554A" w14:paraId="1E855912" w14:textId="77777777" w:rsidTr="003B3CBB">
        <w:tc>
          <w:tcPr>
            <w:tcW w:w="0" w:type="auto"/>
          </w:tcPr>
          <w:p w14:paraId="345642FC" w14:textId="77777777" w:rsidR="00ED1013" w:rsidRPr="005C3D04" w:rsidRDefault="00ED1013" w:rsidP="00ED1013">
            <w:pPr>
              <w:tabs>
                <w:tab w:val="left" w:pos="5400"/>
              </w:tabs>
              <w:jc w:val="both"/>
              <w:rPr>
                <w:bCs/>
                <w:sz w:val="20"/>
              </w:rPr>
            </w:pPr>
            <w:bookmarkStart w:id="59" w:name="italic40" w:colFirst="0" w:colLast="0"/>
            <w:bookmarkStart w:id="60" w:name="bold41" w:colFirst="0" w:colLast="0"/>
            <w:bookmarkEnd w:id="57"/>
            <w:bookmarkEnd w:id="58"/>
            <w:r w:rsidRPr="005C3D04">
              <w:rPr>
                <w:bCs/>
                <w:sz w:val="20"/>
              </w:rPr>
              <w:t>Main results</w:t>
            </w:r>
          </w:p>
        </w:tc>
        <w:tc>
          <w:tcPr>
            <w:tcW w:w="0" w:type="auto"/>
          </w:tcPr>
          <w:p w14:paraId="6C548ED7" w14:textId="77777777" w:rsidR="00ED1013" w:rsidRPr="005C3D04" w:rsidRDefault="00ED1013" w:rsidP="00ED1013">
            <w:pPr>
              <w:tabs>
                <w:tab w:val="left" w:pos="5400"/>
              </w:tabs>
              <w:jc w:val="both"/>
              <w:rPr>
                <w:sz w:val="20"/>
              </w:rPr>
            </w:pPr>
            <w:r w:rsidRPr="005C3D04">
              <w:rPr>
                <w:sz w:val="20"/>
              </w:rPr>
              <w:t>16</w:t>
            </w:r>
          </w:p>
        </w:tc>
        <w:tc>
          <w:tcPr>
            <w:tcW w:w="0" w:type="auto"/>
            <w:gridSpan w:val="2"/>
          </w:tcPr>
          <w:p w14:paraId="7994B933" w14:textId="48EDDEBA" w:rsidR="004C71C7" w:rsidRPr="00EE412C" w:rsidRDefault="004C71C7" w:rsidP="004C71C7">
            <w:pPr>
              <w:jc w:val="both"/>
              <w:rPr>
                <w:sz w:val="20"/>
              </w:rPr>
            </w:pPr>
            <w:r w:rsidRPr="00EE412C">
              <w:rPr>
                <w:sz w:val="20"/>
              </w:rPr>
              <w:t>The best cut-off points for predicting outcome</w:t>
            </w:r>
            <w:r>
              <w:rPr>
                <w:sz w:val="20"/>
              </w:rPr>
              <w:t>s</w:t>
            </w:r>
            <w:commentRangeStart w:id="61"/>
            <w:r w:rsidRPr="00EE412C">
              <w:rPr>
                <w:sz w:val="20"/>
              </w:rPr>
              <w:t xml:space="preserve"> </w:t>
            </w:r>
            <w:commentRangeEnd w:id="61"/>
            <w:r w:rsidRPr="00EE412C">
              <w:rPr>
                <w:rStyle w:val="Pripombasklic"/>
              </w:rPr>
              <w:commentReference w:id="61"/>
            </w:r>
            <w:r w:rsidRPr="00EE412C">
              <w:rPr>
                <w:sz w:val="20"/>
              </w:rPr>
              <w:t xml:space="preserve">within 24 hours after the injury were 12 for the FOUR 1 </w:t>
            </w:r>
            <w:r>
              <w:rPr>
                <w:sz w:val="20"/>
              </w:rPr>
              <w:t xml:space="preserve">model </w:t>
            </w:r>
            <w:r w:rsidRPr="00EE412C">
              <w:rPr>
                <w:sz w:val="20"/>
              </w:rPr>
              <w:t>and 8 for the GCS 1 model, evaluated immediate</w:t>
            </w:r>
            <w:r>
              <w:rPr>
                <w:sz w:val="20"/>
              </w:rPr>
              <w:t>ly upon</w:t>
            </w:r>
            <w:r w:rsidRPr="00EE412C">
              <w:rPr>
                <w:sz w:val="20"/>
              </w:rPr>
              <w:t xml:space="preserve"> first contact at the scene (1: first assessment).</w:t>
            </w:r>
            <w:r>
              <w:rPr>
                <w:sz w:val="20"/>
              </w:rPr>
              <w:t xml:space="preserve"> </w:t>
            </w:r>
            <w:r w:rsidRPr="00EE412C">
              <w:rPr>
                <w:sz w:val="20"/>
              </w:rPr>
              <w:t>We observed no statistically significant differences within 24 hours after the injury between the FOUR score and the GCS for assessments 2 and 3 (2: after initial management and intervention o</w:t>
            </w:r>
            <w:r>
              <w:rPr>
                <w:sz w:val="20"/>
              </w:rPr>
              <w:t>f</w:t>
            </w:r>
            <w:r w:rsidRPr="00EE412C">
              <w:rPr>
                <w:sz w:val="20"/>
              </w:rPr>
              <w:t xml:space="preserve"> the patient, 3: during patient handover by </w:t>
            </w:r>
            <w:r>
              <w:rPr>
                <w:sz w:val="20"/>
              </w:rPr>
              <w:t xml:space="preserve">the </w:t>
            </w:r>
            <w:r w:rsidRPr="00EE412C">
              <w:rPr>
                <w:sz w:val="20"/>
              </w:rPr>
              <w:t>ambulance staff at the hospital).</w:t>
            </w:r>
          </w:p>
          <w:p w14:paraId="09F70C64" w14:textId="7FF42957" w:rsidR="004C71C7" w:rsidRDefault="004C71C7" w:rsidP="004C71C7">
            <w:pPr>
              <w:jc w:val="both"/>
              <w:rPr>
                <w:sz w:val="20"/>
              </w:rPr>
            </w:pPr>
            <w:r w:rsidRPr="00EE412C">
              <w:rPr>
                <w:sz w:val="20"/>
              </w:rPr>
              <w:t>These results, according to McNemar's test, confirmed that the FOUR 1 model and the GCS 1 model showed slightly better predictive power in terms of patient outcome. The best cut-off</w:t>
            </w:r>
            <w:r>
              <w:rPr>
                <w:sz w:val="20"/>
              </w:rPr>
              <w:t xml:space="preserve"> value</w:t>
            </w:r>
            <w:r w:rsidRPr="00EE412C">
              <w:rPr>
                <w:sz w:val="20"/>
              </w:rPr>
              <w:t xml:space="preserve">s for the Youden index after 24 hours were 0.85 for the FOUR 1 model and 0.88 for the GCS 1 model. </w:t>
            </w:r>
          </w:p>
          <w:p w14:paraId="54E2D8A1" w14:textId="55F79FA6" w:rsidR="00FD4719" w:rsidRDefault="00FD4719" w:rsidP="004C71C7">
            <w:pPr>
              <w:jc w:val="both"/>
              <w:rPr>
                <w:sz w:val="20"/>
              </w:rPr>
            </w:pPr>
            <w:r w:rsidRPr="004C71C7">
              <w:rPr>
                <w:sz w:val="20"/>
              </w:rPr>
              <w:t>The area under the ROC curve (area ± standard error) obtained after 24 hours was 0.94 ± 0.02 for FOUR 1 and was almost the same at 0.93 ± 0.02 for GCS 1. We conclude that no differences in the Youden index or area under the ROC curve 24 hours after the injury were found.</w:t>
            </w:r>
          </w:p>
          <w:p w14:paraId="092E8AB7" w14:textId="0E74969A" w:rsidR="004C71C7" w:rsidRPr="00EE412C" w:rsidRDefault="004C71C7" w:rsidP="004C71C7">
            <w:pPr>
              <w:jc w:val="both"/>
            </w:pPr>
            <w:r w:rsidRPr="00EE412C">
              <w:rPr>
                <w:sz w:val="20"/>
              </w:rPr>
              <w:t xml:space="preserve">Analysis performed one month after the injury showed that the best cut-off point was 8 for the FOUR 2 and FOUR 3 models and 11 for the GCS 3 model. According to McNemar's test, these three models had the highest outcome prediction value among all combined models. The cut-off </w:t>
            </w:r>
            <w:r>
              <w:rPr>
                <w:sz w:val="20"/>
              </w:rPr>
              <w:t xml:space="preserve">value for the </w:t>
            </w:r>
            <w:r w:rsidRPr="00EE412C">
              <w:rPr>
                <w:sz w:val="20"/>
              </w:rPr>
              <w:t xml:space="preserve">Youden index was the same at 0.81 for the FOUR 2, FOUR 3 and GCS 3 models. The ROC curve was the same at 0.91 ± 0.04 for both the FOUR 2 and FOUR 3 models and </w:t>
            </w:r>
            <w:r>
              <w:rPr>
                <w:sz w:val="20"/>
              </w:rPr>
              <w:t xml:space="preserve">was </w:t>
            </w:r>
            <w:r w:rsidRPr="00EE412C">
              <w:rPr>
                <w:sz w:val="20"/>
              </w:rPr>
              <w:t xml:space="preserve">0.95 ± 0.05 for the GCS 3 model. No differences in </w:t>
            </w:r>
            <w:r>
              <w:rPr>
                <w:sz w:val="20"/>
              </w:rPr>
              <w:t xml:space="preserve">the </w:t>
            </w:r>
            <w:r w:rsidRPr="00EE412C">
              <w:rPr>
                <w:sz w:val="20"/>
              </w:rPr>
              <w:t>Youden index or area under the ROC curve were found.</w:t>
            </w:r>
          </w:p>
          <w:p w14:paraId="02F8D162" w14:textId="05B4AD01" w:rsidR="00ED1013" w:rsidRPr="005C3D04" w:rsidRDefault="004C71C7" w:rsidP="0052294A">
            <w:pPr>
              <w:jc w:val="both"/>
              <w:rPr>
                <w:sz w:val="20"/>
              </w:rPr>
            </w:pPr>
            <w:r w:rsidRPr="00EE412C">
              <w:rPr>
                <w:sz w:val="20"/>
              </w:rPr>
              <w:t xml:space="preserve">Data obtained from the analysis performed three months after the injury showed that among all combined models and according to McNemar's test, the best models were </w:t>
            </w:r>
            <w:r>
              <w:rPr>
                <w:sz w:val="20"/>
              </w:rPr>
              <w:t xml:space="preserve">the </w:t>
            </w:r>
            <w:r w:rsidRPr="00EE412C">
              <w:rPr>
                <w:sz w:val="20"/>
              </w:rPr>
              <w:t xml:space="preserve">FOUR 2 and FOUR 3 (both cut-off </w:t>
            </w:r>
            <w:r>
              <w:rPr>
                <w:sz w:val="20"/>
              </w:rPr>
              <w:t xml:space="preserve">values of </w:t>
            </w:r>
            <w:r w:rsidRPr="00EE412C">
              <w:rPr>
                <w:sz w:val="20"/>
              </w:rPr>
              <w:t>12) a</w:t>
            </w:r>
            <w:r>
              <w:rPr>
                <w:sz w:val="20"/>
              </w:rPr>
              <w:t>s well as</w:t>
            </w:r>
            <w:r w:rsidRPr="00EE412C">
              <w:rPr>
                <w:sz w:val="20"/>
              </w:rPr>
              <w:t xml:space="preserve"> GCS 1 (cut-off </w:t>
            </w:r>
            <w:r>
              <w:rPr>
                <w:sz w:val="20"/>
              </w:rPr>
              <w:t xml:space="preserve">value of </w:t>
            </w:r>
            <w:r w:rsidRPr="00EE412C">
              <w:rPr>
                <w:sz w:val="20"/>
              </w:rPr>
              <w:t xml:space="preserve">12) and GCS 2 (cut-off </w:t>
            </w:r>
            <w:r>
              <w:rPr>
                <w:sz w:val="20"/>
              </w:rPr>
              <w:t xml:space="preserve">value of </w:t>
            </w:r>
            <w:r w:rsidRPr="00EE412C">
              <w:rPr>
                <w:sz w:val="20"/>
              </w:rPr>
              <w:t xml:space="preserve">9) models. The Youden index values were 0.77 for the FOUR 2, FOUR 3 and CGS 2 models and 0.78 for the GCS 1 model. The ROC was 0.89 ± 0.04 for the FOUR 2 and FOUR 3 models, 0.93 ± 0.02 for the GCS 1 model and 0.95 ± 0.02 for the GCS 2 model. No significant differences in </w:t>
            </w:r>
            <w:r>
              <w:rPr>
                <w:sz w:val="20"/>
              </w:rPr>
              <w:t xml:space="preserve">the </w:t>
            </w:r>
            <w:r w:rsidRPr="00EE412C">
              <w:rPr>
                <w:sz w:val="20"/>
              </w:rPr>
              <w:t xml:space="preserve">Youden index or area under </w:t>
            </w:r>
            <w:r>
              <w:rPr>
                <w:sz w:val="20"/>
              </w:rPr>
              <w:t xml:space="preserve">the </w:t>
            </w:r>
            <w:r w:rsidRPr="00EE412C">
              <w:rPr>
                <w:sz w:val="20"/>
              </w:rPr>
              <w:t>ROC curve were found</w:t>
            </w:r>
            <w:r w:rsidR="0052294A">
              <w:rPr>
                <w:sz w:val="20"/>
              </w:rPr>
              <w:t>.</w:t>
            </w:r>
          </w:p>
        </w:tc>
      </w:tr>
      <w:tr w:rsidR="00ED1013" w:rsidRPr="0022554A" w14:paraId="74B8ABBC" w14:textId="77777777" w:rsidTr="003B3CBB">
        <w:tc>
          <w:tcPr>
            <w:tcW w:w="0" w:type="auto"/>
          </w:tcPr>
          <w:p w14:paraId="7CB6D16B" w14:textId="7391326C" w:rsidR="00ED1013" w:rsidRPr="005C3D04" w:rsidRDefault="00ED1013" w:rsidP="00ED1013">
            <w:pPr>
              <w:tabs>
                <w:tab w:val="left" w:pos="5400"/>
              </w:tabs>
              <w:jc w:val="both"/>
              <w:rPr>
                <w:bCs/>
                <w:sz w:val="20"/>
              </w:rPr>
            </w:pPr>
            <w:bookmarkStart w:id="62" w:name="italic43"/>
            <w:bookmarkStart w:id="63" w:name="bold44"/>
            <w:bookmarkEnd w:id="59"/>
            <w:bookmarkEnd w:id="60"/>
            <w:r w:rsidRPr="005C3D04">
              <w:rPr>
                <w:bCs/>
                <w:sz w:val="20"/>
              </w:rPr>
              <w:t>Other analyses</w:t>
            </w:r>
            <w:bookmarkEnd w:id="62"/>
            <w:bookmarkEnd w:id="63"/>
          </w:p>
        </w:tc>
        <w:tc>
          <w:tcPr>
            <w:tcW w:w="0" w:type="auto"/>
          </w:tcPr>
          <w:p w14:paraId="0C8CEA77" w14:textId="77777777" w:rsidR="00ED1013" w:rsidRPr="005C3D04" w:rsidRDefault="00ED1013" w:rsidP="00ED1013">
            <w:pPr>
              <w:tabs>
                <w:tab w:val="left" w:pos="5400"/>
              </w:tabs>
              <w:jc w:val="both"/>
              <w:rPr>
                <w:sz w:val="20"/>
              </w:rPr>
            </w:pPr>
            <w:r w:rsidRPr="005C3D04">
              <w:rPr>
                <w:sz w:val="20"/>
              </w:rPr>
              <w:t>17</w:t>
            </w:r>
          </w:p>
        </w:tc>
        <w:tc>
          <w:tcPr>
            <w:tcW w:w="0" w:type="auto"/>
            <w:gridSpan w:val="2"/>
          </w:tcPr>
          <w:p w14:paraId="64C5D322" w14:textId="77777777" w:rsidR="004C71C7" w:rsidRPr="004C71C7" w:rsidRDefault="004C71C7" w:rsidP="004C71C7">
            <w:pPr>
              <w:jc w:val="both"/>
              <w:rPr>
                <w:sz w:val="20"/>
              </w:rPr>
            </w:pPr>
            <w:r w:rsidRPr="004C71C7">
              <w:rPr>
                <w:sz w:val="20"/>
              </w:rPr>
              <w:t>In addition to the 24-hour follow-up outcomes, we also evaluated the GCS and FOUR scores in surviving patients one and three months after the injury.</w:t>
            </w:r>
          </w:p>
          <w:p w14:paraId="1441ACFA" w14:textId="7A4BC8F2" w:rsidR="004C71C7" w:rsidRPr="004C71C7" w:rsidRDefault="004C71C7" w:rsidP="004C71C7">
            <w:pPr>
              <w:jc w:val="both"/>
              <w:rPr>
                <w:sz w:val="20"/>
              </w:rPr>
            </w:pPr>
            <w:r w:rsidRPr="004C71C7">
              <w:rPr>
                <w:sz w:val="20"/>
              </w:rPr>
              <w:t xml:space="preserve">The two scores were also compared by drawing ROC curves to avoid bias of arbitrary cut-off points. The comparison of the GCS score and the FOUR score in patients who survived for 24 hours and for one and three months after the injury in regard to outcomes showed only a minimal significant difference in the correct prediction of outcomes in surviving patients 24 hours after the injury. </w:t>
            </w:r>
          </w:p>
          <w:p w14:paraId="03064807" w14:textId="77777777" w:rsidR="004C71C7" w:rsidRPr="004C71C7" w:rsidRDefault="004C71C7" w:rsidP="004C71C7">
            <w:pPr>
              <w:jc w:val="both"/>
              <w:rPr>
                <w:sz w:val="20"/>
              </w:rPr>
            </w:pPr>
          </w:p>
          <w:p w14:paraId="150B7C9F" w14:textId="695B02B4" w:rsidR="00ED1013" w:rsidRPr="005C3D04" w:rsidRDefault="00ED1013" w:rsidP="00ED1013">
            <w:pPr>
              <w:jc w:val="both"/>
              <w:rPr>
                <w:sz w:val="20"/>
              </w:rPr>
            </w:pPr>
          </w:p>
        </w:tc>
      </w:tr>
      <w:tr w:rsidR="00ED1013" w:rsidRPr="0022554A" w14:paraId="26E87318" w14:textId="77777777" w:rsidTr="003B3CBB">
        <w:tc>
          <w:tcPr>
            <w:tcW w:w="0" w:type="auto"/>
            <w:gridSpan w:val="4"/>
          </w:tcPr>
          <w:p w14:paraId="6BA1528A" w14:textId="7324C749" w:rsidR="00ED1013" w:rsidRPr="0022554A" w:rsidRDefault="00ED1013" w:rsidP="00ED1013">
            <w:pPr>
              <w:pStyle w:val="TableSubHead"/>
              <w:tabs>
                <w:tab w:val="left" w:pos="5400"/>
              </w:tabs>
              <w:jc w:val="both"/>
              <w:rPr>
                <w:sz w:val="20"/>
              </w:rPr>
            </w:pPr>
            <w:bookmarkStart w:id="64" w:name="italic44"/>
            <w:bookmarkStart w:id="65" w:name="bold45"/>
            <w:r w:rsidRPr="0022554A">
              <w:rPr>
                <w:sz w:val="20"/>
              </w:rPr>
              <w:t>Discussion</w:t>
            </w:r>
            <w:bookmarkEnd w:id="64"/>
            <w:bookmarkEnd w:id="65"/>
          </w:p>
        </w:tc>
      </w:tr>
      <w:tr w:rsidR="00ED1013" w:rsidRPr="0022554A" w14:paraId="659A9348" w14:textId="77777777" w:rsidTr="003B3CBB">
        <w:tc>
          <w:tcPr>
            <w:tcW w:w="0" w:type="auto"/>
          </w:tcPr>
          <w:p w14:paraId="3E94160B" w14:textId="77777777" w:rsidR="00ED1013" w:rsidRPr="0022554A" w:rsidRDefault="00ED1013" w:rsidP="00ED1013">
            <w:pPr>
              <w:tabs>
                <w:tab w:val="left" w:pos="5400"/>
              </w:tabs>
              <w:jc w:val="both"/>
              <w:rPr>
                <w:bCs/>
                <w:sz w:val="20"/>
              </w:rPr>
            </w:pPr>
            <w:bookmarkStart w:id="66" w:name="italic45" w:colFirst="0" w:colLast="0"/>
            <w:bookmarkStart w:id="67" w:name="bold46" w:colFirst="0" w:colLast="0"/>
            <w:r w:rsidRPr="0022554A">
              <w:rPr>
                <w:bCs/>
                <w:sz w:val="20"/>
              </w:rPr>
              <w:lastRenderedPageBreak/>
              <w:t>Key results</w:t>
            </w:r>
          </w:p>
        </w:tc>
        <w:tc>
          <w:tcPr>
            <w:tcW w:w="0" w:type="auto"/>
          </w:tcPr>
          <w:p w14:paraId="521E71EC" w14:textId="77777777" w:rsidR="00ED1013" w:rsidRPr="0022554A" w:rsidRDefault="00ED1013" w:rsidP="00ED1013">
            <w:pPr>
              <w:tabs>
                <w:tab w:val="left" w:pos="5400"/>
              </w:tabs>
              <w:jc w:val="both"/>
              <w:rPr>
                <w:sz w:val="20"/>
              </w:rPr>
            </w:pPr>
            <w:r w:rsidRPr="0022554A">
              <w:rPr>
                <w:sz w:val="20"/>
              </w:rPr>
              <w:t>18</w:t>
            </w:r>
          </w:p>
        </w:tc>
        <w:tc>
          <w:tcPr>
            <w:tcW w:w="0" w:type="auto"/>
            <w:gridSpan w:val="2"/>
          </w:tcPr>
          <w:p w14:paraId="750540F9" w14:textId="3C8D9DB9" w:rsidR="00ED1013" w:rsidRPr="00B2616C" w:rsidRDefault="009B2E04" w:rsidP="00ED1013">
            <w:pPr>
              <w:jc w:val="both"/>
            </w:pPr>
            <w:r w:rsidRPr="009B2E04">
              <w:rPr>
                <w:sz w:val="20"/>
              </w:rPr>
              <w:t xml:space="preserve">The results of our research confirm that there are no </w:t>
            </w:r>
            <w:r>
              <w:rPr>
                <w:sz w:val="20"/>
              </w:rPr>
              <w:t xml:space="preserve">significant statistical </w:t>
            </w:r>
            <w:r w:rsidRPr="009B2E04">
              <w:rPr>
                <w:sz w:val="20"/>
              </w:rPr>
              <w:t>differences between the GCS and FOUR scores in terms of predicting morality outcomes 24 hours, one month, and three months after injury.</w:t>
            </w:r>
          </w:p>
        </w:tc>
      </w:tr>
      <w:tr w:rsidR="00ED1013" w:rsidRPr="0022554A" w14:paraId="73F439BB" w14:textId="77777777" w:rsidTr="003B3CBB">
        <w:tc>
          <w:tcPr>
            <w:tcW w:w="0" w:type="auto"/>
          </w:tcPr>
          <w:p w14:paraId="761110B0" w14:textId="77777777" w:rsidR="00ED1013" w:rsidRPr="0022554A" w:rsidRDefault="00ED1013" w:rsidP="00ED1013">
            <w:pPr>
              <w:tabs>
                <w:tab w:val="left" w:pos="5400"/>
              </w:tabs>
              <w:jc w:val="both"/>
              <w:rPr>
                <w:bCs/>
                <w:sz w:val="20"/>
              </w:rPr>
            </w:pPr>
            <w:bookmarkStart w:id="68" w:name="italic46" w:colFirst="0" w:colLast="0"/>
            <w:bookmarkStart w:id="69" w:name="bold47" w:colFirst="0" w:colLast="0"/>
            <w:bookmarkEnd w:id="66"/>
            <w:bookmarkEnd w:id="67"/>
            <w:r w:rsidRPr="0022554A">
              <w:rPr>
                <w:bCs/>
                <w:sz w:val="20"/>
              </w:rPr>
              <w:t>Limitations</w:t>
            </w:r>
          </w:p>
        </w:tc>
        <w:tc>
          <w:tcPr>
            <w:tcW w:w="0" w:type="auto"/>
          </w:tcPr>
          <w:p w14:paraId="07BA207C" w14:textId="77777777" w:rsidR="00ED1013" w:rsidRPr="0022554A" w:rsidRDefault="00ED1013" w:rsidP="00ED1013">
            <w:pPr>
              <w:tabs>
                <w:tab w:val="left" w:pos="5400"/>
              </w:tabs>
              <w:jc w:val="both"/>
              <w:rPr>
                <w:sz w:val="20"/>
              </w:rPr>
            </w:pPr>
            <w:r w:rsidRPr="0022554A">
              <w:rPr>
                <w:sz w:val="20"/>
              </w:rPr>
              <w:t>19</w:t>
            </w:r>
          </w:p>
        </w:tc>
        <w:tc>
          <w:tcPr>
            <w:tcW w:w="0" w:type="auto"/>
            <w:gridSpan w:val="2"/>
          </w:tcPr>
          <w:p w14:paraId="0A7CE1EF" w14:textId="772E82D3" w:rsidR="00ED1013" w:rsidRPr="0022554A" w:rsidRDefault="00ED1013" w:rsidP="00ED1013">
            <w:pPr>
              <w:tabs>
                <w:tab w:val="left" w:pos="5400"/>
              </w:tabs>
              <w:jc w:val="both"/>
              <w:rPr>
                <w:sz w:val="20"/>
              </w:rPr>
            </w:pPr>
            <w:r>
              <w:rPr>
                <w:sz w:val="20"/>
              </w:rPr>
              <w:t xml:space="preserve">Our power analyses showed that our main </w:t>
            </w:r>
            <w:r w:rsidRPr="0022554A">
              <w:rPr>
                <w:sz w:val="20"/>
              </w:rPr>
              <w:t xml:space="preserve">limitations </w:t>
            </w:r>
            <w:r>
              <w:rPr>
                <w:sz w:val="20"/>
              </w:rPr>
              <w:t>to</w:t>
            </w:r>
            <w:r w:rsidRPr="0022554A">
              <w:rPr>
                <w:sz w:val="20"/>
              </w:rPr>
              <w:t xml:space="preserve"> the study</w:t>
            </w:r>
            <w:r>
              <w:rPr>
                <w:sz w:val="20"/>
              </w:rPr>
              <w:t xml:space="preserve"> is related to a limited time necessary to achieve statistically sufficient number of cases. Data collected on a larger metropolitan area, or study performed simultaneously in different urban area, should be advisable. </w:t>
            </w:r>
          </w:p>
        </w:tc>
      </w:tr>
      <w:tr w:rsidR="00ED1013" w:rsidRPr="0022554A" w14:paraId="670429B4" w14:textId="77777777" w:rsidTr="003B3CBB">
        <w:tc>
          <w:tcPr>
            <w:tcW w:w="0" w:type="auto"/>
          </w:tcPr>
          <w:p w14:paraId="7B57A5B4" w14:textId="77777777" w:rsidR="00ED1013" w:rsidRPr="0022554A" w:rsidRDefault="00ED1013" w:rsidP="00ED1013">
            <w:pPr>
              <w:tabs>
                <w:tab w:val="left" w:pos="5400"/>
              </w:tabs>
              <w:jc w:val="both"/>
              <w:rPr>
                <w:bCs/>
                <w:sz w:val="20"/>
              </w:rPr>
            </w:pPr>
            <w:bookmarkStart w:id="70" w:name="italic47" w:colFirst="0" w:colLast="0"/>
            <w:bookmarkStart w:id="71" w:name="bold48" w:colFirst="0" w:colLast="0"/>
            <w:bookmarkEnd w:id="68"/>
            <w:bookmarkEnd w:id="69"/>
            <w:r w:rsidRPr="0022554A">
              <w:rPr>
                <w:bCs/>
                <w:sz w:val="20"/>
              </w:rPr>
              <w:t>Interpretation</w:t>
            </w:r>
          </w:p>
        </w:tc>
        <w:tc>
          <w:tcPr>
            <w:tcW w:w="0" w:type="auto"/>
          </w:tcPr>
          <w:p w14:paraId="6C7CE472" w14:textId="77777777" w:rsidR="00ED1013" w:rsidRPr="0022554A" w:rsidRDefault="00ED1013" w:rsidP="00ED1013">
            <w:pPr>
              <w:tabs>
                <w:tab w:val="left" w:pos="5400"/>
              </w:tabs>
              <w:jc w:val="both"/>
              <w:rPr>
                <w:sz w:val="20"/>
              </w:rPr>
            </w:pPr>
            <w:r w:rsidRPr="0022554A">
              <w:rPr>
                <w:sz w:val="20"/>
              </w:rPr>
              <w:t>20</w:t>
            </w:r>
          </w:p>
        </w:tc>
        <w:tc>
          <w:tcPr>
            <w:tcW w:w="0" w:type="auto"/>
            <w:gridSpan w:val="2"/>
          </w:tcPr>
          <w:p w14:paraId="69F7EB20" w14:textId="003F5397" w:rsidR="00ED1013" w:rsidRPr="0022554A" w:rsidRDefault="00ED1013" w:rsidP="00ED1013">
            <w:pPr>
              <w:jc w:val="both"/>
              <w:rPr>
                <w:sz w:val="20"/>
              </w:rPr>
            </w:pPr>
            <w:r w:rsidRPr="00E8026C">
              <w:rPr>
                <w:sz w:val="20"/>
              </w:rPr>
              <w:t xml:space="preserve">The results of our research confirm that there are no practical </w:t>
            </w:r>
            <w:r>
              <w:rPr>
                <w:sz w:val="20"/>
              </w:rPr>
              <w:t>or</w:t>
            </w:r>
            <w:r w:rsidRPr="00E8026C">
              <w:rPr>
                <w:sz w:val="20"/>
              </w:rPr>
              <w:t xml:space="preserve"> clinical differences between the GCS and FOUR score scales in terms of predicting morality outcome 24 hours, one </w:t>
            </w:r>
            <w:r>
              <w:rPr>
                <w:sz w:val="20"/>
              </w:rPr>
              <w:t>month, and</w:t>
            </w:r>
            <w:r w:rsidRPr="00E8026C">
              <w:rPr>
                <w:sz w:val="20"/>
              </w:rPr>
              <w:t xml:space="preserve"> three months after injury. Due to the different </w:t>
            </w:r>
            <w:r>
              <w:rPr>
                <w:sz w:val="20"/>
              </w:rPr>
              <w:t xml:space="preserve">assessment </w:t>
            </w:r>
            <w:r w:rsidRPr="00E8026C">
              <w:rPr>
                <w:sz w:val="20"/>
              </w:rPr>
              <w:t>categories, the FOUR score is more effective in evaluating patients who are unconscious and dependent on mechanical ventilation.</w:t>
            </w:r>
          </w:p>
        </w:tc>
      </w:tr>
      <w:tr w:rsidR="00ED1013" w:rsidRPr="0022554A" w14:paraId="2909F351" w14:textId="77777777" w:rsidTr="003B3CBB">
        <w:tc>
          <w:tcPr>
            <w:tcW w:w="0" w:type="auto"/>
          </w:tcPr>
          <w:p w14:paraId="25C0BAA1" w14:textId="77777777" w:rsidR="00ED1013" w:rsidRPr="0022554A" w:rsidRDefault="00ED1013" w:rsidP="00ED1013">
            <w:pPr>
              <w:tabs>
                <w:tab w:val="left" w:pos="5400"/>
              </w:tabs>
              <w:jc w:val="both"/>
              <w:rPr>
                <w:bCs/>
                <w:sz w:val="20"/>
              </w:rPr>
            </w:pPr>
            <w:bookmarkStart w:id="72" w:name="italic48" w:colFirst="0" w:colLast="0"/>
            <w:bookmarkStart w:id="73" w:name="bold49" w:colFirst="0" w:colLast="0"/>
            <w:bookmarkEnd w:id="70"/>
            <w:bookmarkEnd w:id="71"/>
            <w:r w:rsidRPr="0022554A">
              <w:rPr>
                <w:bCs/>
                <w:sz w:val="20"/>
              </w:rPr>
              <w:t>Generalisability</w:t>
            </w:r>
          </w:p>
        </w:tc>
        <w:tc>
          <w:tcPr>
            <w:tcW w:w="0" w:type="auto"/>
          </w:tcPr>
          <w:p w14:paraId="6DC47CF7" w14:textId="77777777" w:rsidR="00ED1013" w:rsidRPr="0022554A" w:rsidRDefault="00ED1013" w:rsidP="00ED1013">
            <w:pPr>
              <w:tabs>
                <w:tab w:val="left" w:pos="5400"/>
              </w:tabs>
              <w:jc w:val="both"/>
              <w:rPr>
                <w:sz w:val="20"/>
              </w:rPr>
            </w:pPr>
            <w:r w:rsidRPr="0022554A">
              <w:rPr>
                <w:sz w:val="20"/>
              </w:rPr>
              <w:t>21</w:t>
            </w:r>
          </w:p>
        </w:tc>
        <w:tc>
          <w:tcPr>
            <w:tcW w:w="0" w:type="auto"/>
            <w:gridSpan w:val="2"/>
          </w:tcPr>
          <w:p w14:paraId="25FAFEB4" w14:textId="69793388" w:rsidR="00ED1013" w:rsidRPr="00A354CF" w:rsidRDefault="00A354CF" w:rsidP="00A354CF">
            <w:pPr>
              <w:jc w:val="both"/>
            </w:pPr>
            <w:r w:rsidRPr="00EE412C">
              <w:rPr>
                <w:sz w:val="20"/>
              </w:rPr>
              <w:t>We believe that the FOUR score has promising predictive outcome potential and could be regularly performed in the prehospital setting, especially in intubated patients with brain injur</w:t>
            </w:r>
            <w:r>
              <w:rPr>
                <w:sz w:val="20"/>
              </w:rPr>
              <w:t>ies</w:t>
            </w:r>
            <w:r w:rsidRPr="00EE412C">
              <w:rPr>
                <w:sz w:val="20"/>
              </w:rPr>
              <w:t>.</w:t>
            </w:r>
          </w:p>
        </w:tc>
      </w:tr>
      <w:tr w:rsidR="00ED1013" w:rsidRPr="0022554A" w14:paraId="063A9E87" w14:textId="77777777" w:rsidTr="003B3CBB">
        <w:tc>
          <w:tcPr>
            <w:tcW w:w="0" w:type="auto"/>
            <w:gridSpan w:val="4"/>
          </w:tcPr>
          <w:p w14:paraId="7DC83F8A" w14:textId="61449F98" w:rsidR="00ED1013" w:rsidRPr="0022554A" w:rsidRDefault="00ED1013" w:rsidP="00ED1013">
            <w:pPr>
              <w:pStyle w:val="TableSubHead"/>
              <w:tabs>
                <w:tab w:val="left" w:pos="5400"/>
              </w:tabs>
              <w:jc w:val="both"/>
              <w:rPr>
                <w:sz w:val="20"/>
              </w:rPr>
            </w:pPr>
            <w:bookmarkStart w:id="74" w:name="italic49"/>
            <w:bookmarkStart w:id="75" w:name="bold50"/>
            <w:bookmarkEnd w:id="72"/>
            <w:bookmarkEnd w:id="73"/>
            <w:r w:rsidRPr="0022554A">
              <w:rPr>
                <w:sz w:val="20"/>
              </w:rPr>
              <w:t>Other information</w:t>
            </w:r>
            <w:bookmarkEnd w:id="74"/>
            <w:bookmarkEnd w:id="75"/>
          </w:p>
        </w:tc>
      </w:tr>
      <w:tr w:rsidR="00ED1013" w:rsidRPr="0022554A" w14:paraId="3E3EF10E" w14:textId="77777777" w:rsidTr="003B3CBB">
        <w:tc>
          <w:tcPr>
            <w:tcW w:w="0" w:type="auto"/>
          </w:tcPr>
          <w:p w14:paraId="11E04B3B" w14:textId="77777777" w:rsidR="00ED1013" w:rsidRPr="0022554A" w:rsidRDefault="00ED1013" w:rsidP="00ED1013">
            <w:pPr>
              <w:tabs>
                <w:tab w:val="left" w:pos="5400"/>
              </w:tabs>
              <w:jc w:val="both"/>
              <w:rPr>
                <w:bCs/>
                <w:sz w:val="20"/>
              </w:rPr>
            </w:pPr>
            <w:bookmarkStart w:id="76" w:name="italic50" w:colFirst="0" w:colLast="0"/>
            <w:bookmarkStart w:id="77" w:name="bold51" w:colFirst="0" w:colLast="0"/>
            <w:r w:rsidRPr="0022554A">
              <w:rPr>
                <w:bCs/>
                <w:sz w:val="20"/>
              </w:rPr>
              <w:t>Funding</w:t>
            </w:r>
          </w:p>
        </w:tc>
        <w:tc>
          <w:tcPr>
            <w:tcW w:w="0" w:type="auto"/>
          </w:tcPr>
          <w:p w14:paraId="64B2D406" w14:textId="77777777" w:rsidR="00ED1013" w:rsidRPr="0022554A" w:rsidRDefault="00ED1013" w:rsidP="00ED1013">
            <w:pPr>
              <w:tabs>
                <w:tab w:val="left" w:pos="5400"/>
              </w:tabs>
              <w:jc w:val="both"/>
              <w:rPr>
                <w:sz w:val="20"/>
              </w:rPr>
            </w:pPr>
            <w:r w:rsidRPr="0022554A">
              <w:rPr>
                <w:sz w:val="20"/>
              </w:rPr>
              <w:t>22</w:t>
            </w:r>
          </w:p>
        </w:tc>
        <w:tc>
          <w:tcPr>
            <w:tcW w:w="0" w:type="auto"/>
            <w:gridSpan w:val="2"/>
          </w:tcPr>
          <w:p w14:paraId="3B7CCFDC" w14:textId="4B61A9A1" w:rsidR="00ED1013" w:rsidRPr="008561B4" w:rsidRDefault="00ED1013" w:rsidP="00ED1013">
            <w:pPr>
              <w:jc w:val="both"/>
            </w:pPr>
            <w:r w:rsidRPr="00E8026C">
              <w:rPr>
                <w:sz w:val="20"/>
              </w:rPr>
              <w:t xml:space="preserve">The intent of this study was to compare </w:t>
            </w:r>
            <w:r>
              <w:rPr>
                <w:sz w:val="20"/>
              </w:rPr>
              <w:t xml:space="preserve">the </w:t>
            </w:r>
            <w:r w:rsidRPr="00E8026C">
              <w:rPr>
                <w:sz w:val="20"/>
              </w:rPr>
              <w:t xml:space="preserve">GCS and FOUR score and to verify their </w:t>
            </w:r>
            <w:r>
              <w:rPr>
                <w:sz w:val="20"/>
              </w:rPr>
              <w:t xml:space="preserve">ability to </w:t>
            </w:r>
            <w:r w:rsidRPr="00E8026C">
              <w:rPr>
                <w:sz w:val="20"/>
              </w:rPr>
              <w:t>predict</w:t>
            </w:r>
            <w:r w:rsidR="00396530">
              <w:rPr>
                <w:sz w:val="20"/>
              </w:rPr>
              <w:t xml:space="preserve"> </w:t>
            </w:r>
            <w:r w:rsidRPr="00E8026C">
              <w:rPr>
                <w:sz w:val="20"/>
              </w:rPr>
              <w:t xml:space="preserve">outcome in TBI coma patients out of </w:t>
            </w:r>
            <w:r>
              <w:rPr>
                <w:sz w:val="20"/>
              </w:rPr>
              <w:t xml:space="preserve">the </w:t>
            </w:r>
            <w:r w:rsidRPr="00E8026C">
              <w:rPr>
                <w:sz w:val="20"/>
              </w:rPr>
              <w:t>hospital setting, specifically in the prehospital scenario.</w:t>
            </w:r>
            <w:r w:rsidRPr="00E8026C">
              <w:rPr>
                <w:bCs/>
                <w:color w:val="231F20"/>
                <w:sz w:val="20"/>
              </w:rPr>
              <w:t xml:space="preserve"> </w:t>
            </w:r>
            <w:r>
              <w:rPr>
                <w:bCs/>
                <w:color w:val="231F20"/>
                <w:sz w:val="20"/>
              </w:rPr>
              <w:t>Until</w:t>
            </w:r>
            <w:r w:rsidRPr="00E8026C">
              <w:rPr>
                <w:bCs/>
                <w:color w:val="231F20"/>
                <w:sz w:val="20"/>
              </w:rPr>
              <w:t xml:space="preserve"> now, these two scoring scales have not been compared in TBI patients in the prehospital </w:t>
            </w:r>
            <w:r>
              <w:rPr>
                <w:bCs/>
                <w:color w:val="231F20"/>
                <w:sz w:val="20"/>
              </w:rPr>
              <w:t>setting</w:t>
            </w:r>
            <w:r w:rsidRPr="00E8026C">
              <w:rPr>
                <w:bCs/>
                <w:color w:val="231F20"/>
                <w:sz w:val="20"/>
              </w:rPr>
              <w:t>.</w:t>
            </w:r>
          </w:p>
        </w:tc>
      </w:tr>
      <w:bookmarkEnd w:id="76"/>
      <w:bookmarkEnd w:id="77"/>
    </w:tbl>
    <w:p w14:paraId="0FB28087" w14:textId="77777777" w:rsidR="00006845" w:rsidRDefault="00006845" w:rsidP="00006845">
      <w:pPr>
        <w:pStyle w:val="TableNote"/>
        <w:tabs>
          <w:tab w:val="left" w:pos="5400"/>
        </w:tabs>
        <w:jc w:val="both"/>
        <w:rPr>
          <w:bCs/>
          <w:sz w:val="20"/>
        </w:rPr>
      </w:pPr>
    </w:p>
    <w:p w14:paraId="7D048BC0" w14:textId="77777777" w:rsidR="003B1B95" w:rsidRDefault="003B1B95"/>
    <w:sectPr w:rsidR="003B1B95" w:rsidSect="002602FB">
      <w:footerReference w:type="even" r:id="rId10"/>
      <w:footerReference w:type="default" r:id="rId11"/>
      <w:pgSz w:w="11909" w:h="16834"/>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 w:author="Uporabnik" w:date="2020-06-03T12:01:00Z" w:initials="U">
    <w:p w14:paraId="44D38E79" w14:textId="77777777" w:rsidR="00231956" w:rsidRPr="00EE412C" w:rsidRDefault="00231956" w:rsidP="00231956">
      <w:pPr>
        <w:pStyle w:val="Pripombabesedilo"/>
      </w:pPr>
      <w:r w:rsidRPr="00EE412C">
        <w:rPr>
          <w:rStyle w:val="Pripombasklic"/>
        </w:rPr>
        <w:annotationRef/>
      </w:r>
      <w:r w:rsidRPr="00EE412C">
        <w:t>Verjetno je mislil, da ta odstavek ne sodi v rezultate, ampak v metode. Jaz v the rezultatih ne vidim nič, kar bi izključno sodilo v metode.</w:t>
      </w:r>
    </w:p>
  </w:comment>
  <w:comment w:id="30" w:author="Editor" w:date="2020-09-15T09:36:00Z" w:initials="Ed">
    <w:p w14:paraId="5DD97B6E" w14:textId="77777777" w:rsidR="00231956" w:rsidRDefault="00231956" w:rsidP="00231956">
      <w:pPr>
        <w:pStyle w:val="Pripombabesedilo"/>
      </w:pPr>
      <w:r>
        <w:rPr>
          <w:rStyle w:val="Pripombasklic"/>
        </w:rPr>
        <w:annotationRef/>
      </w:r>
      <w:r w:rsidRPr="00E141D9">
        <w:t>Many English-language journals request the use of a period for the decimal place instead of the decimal comma (e.g., 1</w:t>
      </w:r>
      <w:r>
        <w:t>1</w:t>
      </w:r>
      <w:r w:rsidRPr="00E141D9">
        <w:t>.</w:t>
      </w:r>
      <w:r>
        <w:t>5</w:t>
      </w:r>
      <w:r w:rsidRPr="00E141D9">
        <w:t xml:space="preserve"> vs. 1</w:t>
      </w:r>
      <w:r>
        <w:t>1</w:t>
      </w:r>
      <w:r w:rsidRPr="00E141D9">
        <w:t>,</w:t>
      </w:r>
      <w:r>
        <w:t>5</w:t>
      </w:r>
      <w:r w:rsidRPr="00E141D9">
        <w:t>). Please review the journal's guidelines and make any appropriate changes throughout the manuscript and in any tables or figures.</w:t>
      </w:r>
    </w:p>
  </w:comment>
  <w:comment w:id="51" w:author="Uporabnik" w:date="2020-06-03T12:01:00Z" w:initials="U">
    <w:p w14:paraId="46F98374" w14:textId="77777777" w:rsidR="00ED1013" w:rsidRPr="00EE412C" w:rsidRDefault="00ED1013" w:rsidP="00231956">
      <w:pPr>
        <w:pStyle w:val="Pripombabesedilo"/>
      </w:pPr>
      <w:r w:rsidRPr="00EE412C">
        <w:rPr>
          <w:rStyle w:val="Pripombasklic"/>
        </w:rPr>
        <w:annotationRef/>
      </w:r>
      <w:r w:rsidRPr="00EE412C">
        <w:t>Verjetno je mislil, da ta odstavek ne sodi v rezultate, ampak v metode. Jaz v the rezultatih ne vidim nič, kar bi izključno sodilo v metode.</w:t>
      </w:r>
    </w:p>
  </w:comment>
  <w:comment w:id="52" w:author="Editor" w:date="2020-09-15T09:36:00Z" w:initials="Ed">
    <w:p w14:paraId="6D34C484" w14:textId="77777777" w:rsidR="00ED1013" w:rsidRDefault="00ED1013" w:rsidP="00231956">
      <w:pPr>
        <w:pStyle w:val="Pripombabesedilo"/>
      </w:pPr>
      <w:r>
        <w:rPr>
          <w:rStyle w:val="Pripombasklic"/>
        </w:rPr>
        <w:annotationRef/>
      </w:r>
      <w:r w:rsidRPr="00E141D9">
        <w:t>Many English-language journals request the use of a period for the decimal place instead of the decimal comma (e.g., 1</w:t>
      </w:r>
      <w:r>
        <w:t>1</w:t>
      </w:r>
      <w:r w:rsidRPr="00E141D9">
        <w:t>.</w:t>
      </w:r>
      <w:r>
        <w:t>5</w:t>
      </w:r>
      <w:r w:rsidRPr="00E141D9">
        <w:t xml:space="preserve"> vs. 1</w:t>
      </w:r>
      <w:r>
        <w:t>1</w:t>
      </w:r>
      <w:r w:rsidRPr="00E141D9">
        <w:t>,</w:t>
      </w:r>
      <w:r>
        <w:t>5</w:t>
      </w:r>
      <w:r w:rsidRPr="00E141D9">
        <w:t>). Please review the journal's guidelines and make any appropriate changes throughout the manuscript and in any tables or figures.</w:t>
      </w:r>
    </w:p>
  </w:comment>
  <w:comment w:id="61" w:author="Uporabnik" w:date="2020-06-03T11:51:00Z" w:initials="U">
    <w:p w14:paraId="770CEBAE" w14:textId="77777777" w:rsidR="004C71C7" w:rsidRPr="00EE412C" w:rsidRDefault="004C71C7" w:rsidP="004C71C7">
      <w:pPr>
        <w:pStyle w:val="Pripombabesedilo"/>
      </w:pPr>
      <w:r w:rsidRPr="00EE412C">
        <w:rPr>
          <w:rStyle w:val="Pripombasklic"/>
        </w:rPr>
        <w:annotationRef/>
      </w:r>
      <w:r w:rsidRPr="00EE412C">
        <w:t>Naši modeli so bili usmerjeni proti preživetju. Zato bi se jaz pojmu mortality izogibal, kajti v naših primerih mortaliteto ocenjuje spec, ki pa ni tako dobra kot senz zaradi malo umrlih bolnikov. Uporabil bi raje pojem positive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D38E79" w15:done="1"/>
  <w15:commentEx w15:paraId="5DD97B6E" w15:done="0"/>
  <w15:commentEx w15:paraId="46F98374" w15:done="1"/>
  <w15:commentEx w15:paraId="6D34C484" w15:done="0"/>
  <w15:commentEx w15:paraId="770CEBA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0981" w16cex:dateUtc="2020-09-15T13:36:00Z"/>
  <w16cex:commentExtensible w16cex:durableId="234E6CF7" w16cex:dateUtc="2020-09-15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D38E79" w16cid:durableId="230B06BF"/>
  <w16cid:commentId w16cid:paraId="5DD97B6E" w16cid:durableId="230B0981"/>
  <w16cid:commentId w16cid:paraId="46F98374" w16cid:durableId="234E6CF8"/>
  <w16cid:commentId w16cid:paraId="6D34C484" w16cid:durableId="234E6CF7"/>
  <w16cid:commentId w16cid:paraId="770CEBAE" w16cid:durableId="230B06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8A4DE" w14:textId="77777777" w:rsidR="00377A77" w:rsidRDefault="00377A77">
      <w:pPr>
        <w:spacing w:line="240" w:lineRule="auto"/>
      </w:pPr>
      <w:r>
        <w:separator/>
      </w:r>
    </w:p>
  </w:endnote>
  <w:endnote w:type="continuationSeparator" w:id="0">
    <w:p w14:paraId="00A4723A" w14:textId="77777777" w:rsidR="00377A77" w:rsidRDefault="00377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977BC" w14:textId="77777777" w:rsidR="00A13C96" w:rsidRDefault="00FC25F5" w:rsidP="00A13C9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6734614" w14:textId="77777777" w:rsidR="00A13C96" w:rsidRDefault="00377A77" w:rsidP="005D0CF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D524" w14:textId="77777777" w:rsidR="00A13C96" w:rsidRDefault="00FC25F5" w:rsidP="007F7FA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2</w:t>
    </w:r>
    <w:r>
      <w:rPr>
        <w:rStyle w:val="tevilkastrani"/>
      </w:rPr>
      <w:fldChar w:fldCharType="end"/>
    </w:r>
  </w:p>
  <w:p w14:paraId="5ED686AA" w14:textId="77777777" w:rsidR="00A13C96" w:rsidRDefault="00377A77" w:rsidP="005D0CFC">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D33D3" w14:textId="77777777" w:rsidR="00377A77" w:rsidRDefault="00377A77">
      <w:pPr>
        <w:spacing w:line="240" w:lineRule="auto"/>
      </w:pPr>
      <w:r>
        <w:separator/>
      </w:r>
    </w:p>
  </w:footnote>
  <w:footnote w:type="continuationSeparator" w:id="0">
    <w:p w14:paraId="17E4A246" w14:textId="77777777" w:rsidR="00377A77" w:rsidRDefault="00377A77">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45"/>
    <w:rsid w:val="00004D2A"/>
    <w:rsid w:val="00006845"/>
    <w:rsid w:val="001379C8"/>
    <w:rsid w:val="001E3DFF"/>
    <w:rsid w:val="001F5E88"/>
    <w:rsid w:val="00231956"/>
    <w:rsid w:val="00377A77"/>
    <w:rsid w:val="00396530"/>
    <w:rsid w:val="003B1B95"/>
    <w:rsid w:val="004747C9"/>
    <w:rsid w:val="004C71C7"/>
    <w:rsid w:val="0052294A"/>
    <w:rsid w:val="00561484"/>
    <w:rsid w:val="00572092"/>
    <w:rsid w:val="008561B4"/>
    <w:rsid w:val="00884F58"/>
    <w:rsid w:val="00891CCC"/>
    <w:rsid w:val="00982F42"/>
    <w:rsid w:val="009B2E04"/>
    <w:rsid w:val="009B5DFD"/>
    <w:rsid w:val="009C11C3"/>
    <w:rsid w:val="009E3AD4"/>
    <w:rsid w:val="00A31D6D"/>
    <w:rsid w:val="00A354CF"/>
    <w:rsid w:val="00A40294"/>
    <w:rsid w:val="00A82021"/>
    <w:rsid w:val="00B10C88"/>
    <w:rsid w:val="00B35F96"/>
    <w:rsid w:val="00BF3124"/>
    <w:rsid w:val="00C457EC"/>
    <w:rsid w:val="00DA6D6A"/>
    <w:rsid w:val="00E131E7"/>
    <w:rsid w:val="00E245F6"/>
    <w:rsid w:val="00ED1013"/>
    <w:rsid w:val="00F02CF3"/>
    <w:rsid w:val="00F124BC"/>
    <w:rsid w:val="00F15063"/>
    <w:rsid w:val="00FC25F5"/>
    <w:rsid w:val="00FD4719"/>
    <w:rsid w:val="00FE2F5F"/>
    <w:rsid w:val="00FF39E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B401"/>
  <w15:chartTrackingRefBased/>
  <w15:docId w15:val="{E3D40477-7E61-4FCC-A194-C441E165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06845"/>
    <w:pPr>
      <w:spacing w:after="0" w:line="300" w:lineRule="exact"/>
    </w:pPr>
    <w:rPr>
      <w:rFonts w:ascii="Times New Roman" w:eastAsia="Times New Roman" w:hAnsi="Times New Roman" w:cs="Times New Roman"/>
      <w:noProof/>
      <w:sz w:val="24"/>
      <w:szCs w:val="20"/>
      <w:lang w:val="en-GB"/>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006845"/>
    <w:pPr>
      <w:tabs>
        <w:tab w:val="center" w:pos="4153"/>
        <w:tab w:val="right" w:pos="8306"/>
      </w:tabs>
      <w:spacing w:line="240" w:lineRule="auto"/>
    </w:pPr>
    <w:rPr>
      <w:rFonts w:ascii="Arial" w:hAnsi="Arial"/>
      <w:sz w:val="20"/>
    </w:rPr>
  </w:style>
  <w:style w:type="character" w:customStyle="1" w:styleId="NogaZnak">
    <w:name w:val="Noga Znak"/>
    <w:basedOn w:val="Privzetapisavaodstavka"/>
    <w:link w:val="Noga"/>
    <w:rsid w:val="00006845"/>
    <w:rPr>
      <w:rFonts w:ascii="Arial" w:eastAsia="Times New Roman" w:hAnsi="Arial" w:cs="Times New Roman"/>
      <w:sz w:val="20"/>
      <w:szCs w:val="20"/>
      <w:lang w:val="en-GB"/>
    </w:rPr>
  </w:style>
  <w:style w:type="character" w:styleId="tevilkastrani">
    <w:name w:val="page number"/>
    <w:basedOn w:val="Privzetapisavaodstavka"/>
    <w:rsid w:val="00006845"/>
  </w:style>
  <w:style w:type="paragraph" w:customStyle="1" w:styleId="TableNote">
    <w:name w:val="TableNote"/>
    <w:basedOn w:val="Navaden"/>
    <w:rsid w:val="00006845"/>
  </w:style>
  <w:style w:type="paragraph" w:customStyle="1" w:styleId="TableTitle">
    <w:name w:val="TableTitle"/>
    <w:basedOn w:val="Navaden"/>
    <w:rsid w:val="00006845"/>
  </w:style>
  <w:style w:type="paragraph" w:customStyle="1" w:styleId="TableHeader">
    <w:name w:val="TableHeader"/>
    <w:basedOn w:val="Navaden"/>
    <w:rsid w:val="00006845"/>
    <w:pPr>
      <w:spacing w:before="120" w:line="240" w:lineRule="auto"/>
    </w:pPr>
    <w:rPr>
      <w:b/>
    </w:rPr>
  </w:style>
  <w:style w:type="paragraph" w:customStyle="1" w:styleId="TableSubHead">
    <w:name w:val="TableSubHead"/>
    <w:basedOn w:val="TableHeader"/>
    <w:rsid w:val="00006845"/>
  </w:style>
  <w:style w:type="character" w:styleId="Pripombasklic">
    <w:name w:val="annotation reference"/>
    <w:basedOn w:val="Privzetapisavaodstavka"/>
    <w:uiPriority w:val="99"/>
    <w:semiHidden/>
    <w:unhideWhenUsed/>
    <w:rsid w:val="00231956"/>
    <w:rPr>
      <w:rFonts w:ascii="Tahoma" w:hAnsi="Tahoma" w:cs="Tahoma"/>
      <w:b w:val="0"/>
      <w:i w:val="0"/>
      <w:caps w:val="0"/>
      <w:strike w:val="0"/>
      <w:sz w:val="16"/>
      <w:szCs w:val="16"/>
      <w:u w:val="none"/>
    </w:rPr>
  </w:style>
  <w:style w:type="paragraph" w:styleId="Pripombabesedilo">
    <w:name w:val="annotation text"/>
    <w:basedOn w:val="Navaden"/>
    <w:link w:val="PripombabesediloZnak"/>
    <w:uiPriority w:val="99"/>
    <w:semiHidden/>
    <w:unhideWhenUsed/>
    <w:rsid w:val="00231956"/>
    <w:pPr>
      <w:spacing w:before="100" w:after="100" w:line="240" w:lineRule="auto"/>
    </w:pPr>
    <w:rPr>
      <w:rFonts w:ascii="Tahoma" w:eastAsia="Arial" w:hAnsi="Tahoma" w:cs="Tahoma"/>
      <w:sz w:val="16"/>
      <w:szCs w:val="18"/>
      <w:lang w:val="en-US" w:eastAsia="zh-CN" w:bidi="hi-IN"/>
    </w:rPr>
  </w:style>
  <w:style w:type="character" w:customStyle="1" w:styleId="PripombabesediloZnak">
    <w:name w:val="Pripomba – besedilo Znak"/>
    <w:basedOn w:val="Privzetapisavaodstavka"/>
    <w:link w:val="Pripombabesedilo"/>
    <w:uiPriority w:val="99"/>
    <w:semiHidden/>
    <w:rsid w:val="00231956"/>
    <w:rPr>
      <w:rFonts w:ascii="Tahoma" w:eastAsia="Arial" w:hAnsi="Tahoma" w:cs="Tahoma"/>
      <w:sz w:val="16"/>
      <w:szCs w:val="18"/>
      <w:lang w:val="en-US" w:eastAsia="zh-CN" w:bidi="hi-IN"/>
    </w:rPr>
  </w:style>
  <w:style w:type="paragraph" w:styleId="Besedilooblaka">
    <w:name w:val="Balloon Text"/>
    <w:basedOn w:val="Navaden"/>
    <w:link w:val="BesedilooblakaZnak"/>
    <w:uiPriority w:val="99"/>
    <w:semiHidden/>
    <w:unhideWhenUsed/>
    <w:rsid w:val="0023195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1956"/>
    <w:rPr>
      <w:rFonts w:ascii="Segoe UI" w:eastAsia="Times New Roman" w:hAnsi="Segoe UI" w:cs="Segoe UI"/>
      <w:sz w:val="18"/>
      <w:szCs w:val="18"/>
      <w:lang w:val="en-GB"/>
    </w:rPr>
  </w:style>
  <w:style w:type="paragraph" w:styleId="Revizija">
    <w:name w:val="Revision"/>
    <w:hidden/>
    <w:uiPriority w:val="99"/>
    <w:semiHidden/>
    <w:rsid w:val="001E3DFF"/>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1738</Words>
  <Characters>9912</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MRF</dc:creator>
  <cp:keywords/>
  <dc:description/>
  <cp:lastModifiedBy>Markus Taurus</cp:lastModifiedBy>
  <cp:revision>14</cp:revision>
  <dcterms:created xsi:type="dcterms:W3CDTF">2020-11-05T11:13:00Z</dcterms:created>
  <dcterms:modified xsi:type="dcterms:W3CDTF">2020-11-05T11:47:00Z</dcterms:modified>
</cp:coreProperties>
</file>