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Table S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sz w:val="22"/>
          <w:szCs w:val="24"/>
        </w:rPr>
        <w:t>Univariate and multivariate Cox regression analyses of the prognostic signature and clinical features related to OS in HCC patients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tbl>
      <w:tblPr>
        <w:tblStyle w:val="5"/>
        <w:tblW w:w="10500" w:type="dxa"/>
        <w:tblInd w:w="-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8"/>
        <w:gridCol w:w="1680"/>
        <w:gridCol w:w="1656"/>
        <w:gridCol w:w="1584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188" w:type="dxa"/>
            <w:vMerge w:val="restart"/>
            <w:tcBorders>
              <w:top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Characteristics</w:t>
            </w:r>
          </w:p>
        </w:tc>
        <w:tc>
          <w:tcPr>
            <w:tcW w:w="3336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Univariate analysis</w:t>
            </w:r>
          </w:p>
        </w:tc>
        <w:tc>
          <w:tcPr>
            <w:tcW w:w="2976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Multivariate analysis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188" w:type="dxa"/>
            <w:vMerge w:val="continue"/>
            <w:tcBorders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HR (95%CI)</w:t>
            </w:r>
          </w:p>
        </w:tc>
        <w:tc>
          <w:tcPr>
            <w:tcW w:w="165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P-value</w:t>
            </w:r>
          </w:p>
        </w:tc>
        <w:tc>
          <w:tcPr>
            <w:tcW w:w="158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HR (95%CI)</w:t>
            </w:r>
          </w:p>
        </w:tc>
        <w:tc>
          <w:tcPr>
            <w:tcW w:w="139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1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>age（≥60/&lt;60）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1.686576</w:t>
            </w:r>
          </w:p>
        </w:tc>
        <w:tc>
          <w:tcPr>
            <w:tcW w:w="165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0.048041</w:t>
            </w:r>
          </w:p>
        </w:tc>
        <w:tc>
          <w:tcPr>
            <w:tcW w:w="158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1.716688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>gender(Male/Female)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0.649394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0.096388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>weight(64-189)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0.988892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0.466736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>vascular tumor cell(yes/no)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1.567373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0.093812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>AFP(≥300/&lt;300)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1.076633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0.797748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>Histologic grade(G3+G4/G1+G2)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1.539132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0.091867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1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val="en-US" w:eastAsia="zh-CN" w:bidi="ar"/>
              </w:rPr>
              <w:t>TNM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 xml:space="preserve"> stage(III+IV/I+II)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1.946615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0.014638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2.0384648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18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0"/>
                <w:lang w:bidi="ar"/>
              </w:rPr>
              <w:t>riskScore(high risk group/low risk group)</w:t>
            </w:r>
          </w:p>
        </w:tc>
        <w:tc>
          <w:tcPr>
            <w:tcW w:w="168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  <w:t>1.266445</w:t>
            </w:r>
          </w:p>
        </w:tc>
        <w:tc>
          <w:tcPr>
            <w:tcW w:w="1656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0.000002</w:t>
            </w:r>
          </w:p>
        </w:tc>
        <w:tc>
          <w:tcPr>
            <w:tcW w:w="158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  <w:t>1.257555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92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0.000046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9"/>
    <w:rsid w:val="000643F0"/>
    <w:rsid w:val="00283D84"/>
    <w:rsid w:val="002874F5"/>
    <w:rsid w:val="002F0F53"/>
    <w:rsid w:val="003016E2"/>
    <w:rsid w:val="00325595"/>
    <w:rsid w:val="00336F22"/>
    <w:rsid w:val="00410052"/>
    <w:rsid w:val="0041676E"/>
    <w:rsid w:val="0044326D"/>
    <w:rsid w:val="0052193B"/>
    <w:rsid w:val="00543EFB"/>
    <w:rsid w:val="005E33B2"/>
    <w:rsid w:val="005F7ADF"/>
    <w:rsid w:val="008610C8"/>
    <w:rsid w:val="00A622FE"/>
    <w:rsid w:val="00AA0CD4"/>
    <w:rsid w:val="00B12232"/>
    <w:rsid w:val="00BA30A5"/>
    <w:rsid w:val="00BF16AD"/>
    <w:rsid w:val="00C6167F"/>
    <w:rsid w:val="00D33281"/>
    <w:rsid w:val="00D70364"/>
    <w:rsid w:val="00D84B68"/>
    <w:rsid w:val="00DF1399"/>
    <w:rsid w:val="00EA2CAC"/>
    <w:rsid w:val="0F851854"/>
    <w:rsid w:val="2C6C2ED6"/>
    <w:rsid w:val="4887271C"/>
    <w:rsid w:val="62ED15E9"/>
    <w:rsid w:val="6AD22152"/>
    <w:rsid w:val="722B05F2"/>
    <w:rsid w:val="798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736</Characters>
  <Lines>6</Lines>
  <Paragraphs>1</Paragraphs>
  <TotalTime>9</TotalTime>
  <ScaleCrop>false</ScaleCrop>
  <LinksUpToDate>false</LinksUpToDate>
  <CharactersWithSpaces>863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2018-04-13T11:53:00Z</dcterms:created>
  <dc:creator>longjunyu992@outlook.com</dc:creator>
  <cp:lastModifiedBy>汤步富</cp:lastModifiedBy>
  <dcterms:modified xsi:type="dcterms:W3CDTF">2020-06-10T12:06:19Z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