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E4A6" w14:textId="5EB3ACBB" w:rsidR="003E2576" w:rsidRPr="006D0A01" w:rsidRDefault="003E2576" w:rsidP="003E2576">
      <w:pPr>
        <w:rPr>
          <w:rFonts w:ascii="Times New Roman" w:hAnsi="Times New Roman" w:cs="Times New Roman"/>
          <w:sz w:val="20"/>
          <w:szCs w:val="20"/>
        </w:rPr>
      </w:pPr>
      <w:r w:rsidRPr="006D0A01">
        <w:rPr>
          <w:rFonts w:ascii="Times New Roman" w:hAnsi="Times New Roman" w:cs="Times New Roman"/>
          <w:sz w:val="20"/>
          <w:szCs w:val="20"/>
        </w:rPr>
        <w:t xml:space="preserve">Table </w:t>
      </w:r>
      <w:r w:rsidR="0077592A">
        <w:rPr>
          <w:rFonts w:ascii="Times New Roman" w:hAnsi="Times New Roman" w:cs="Times New Roman"/>
          <w:sz w:val="20"/>
          <w:szCs w:val="20"/>
        </w:rPr>
        <w:t>S5</w:t>
      </w:r>
      <w:r w:rsidRPr="006D0A01">
        <w:rPr>
          <w:rFonts w:ascii="Times New Roman" w:hAnsi="Times New Roman" w:cs="Times New Roman"/>
          <w:sz w:val="20"/>
          <w:szCs w:val="20"/>
        </w:rPr>
        <w:t xml:space="preserve">: </w:t>
      </w:r>
      <w:r w:rsidRPr="006D0A01">
        <w:rPr>
          <w:rFonts w:ascii="Times New Roman" w:hAnsi="Times New Roman" w:cs="Times New Roman"/>
          <w:color w:val="000000"/>
          <w:sz w:val="20"/>
          <w:szCs w:val="20"/>
        </w:rPr>
        <w:t xml:space="preserve">Maternal outcomes </w:t>
      </w:r>
      <w:r w:rsidR="0077592A">
        <w:rPr>
          <w:rFonts w:ascii="Times New Roman" w:hAnsi="Times New Roman" w:cs="Times New Roman"/>
          <w:color w:val="000000"/>
          <w:sz w:val="20"/>
          <w:szCs w:val="20"/>
        </w:rPr>
        <w:t xml:space="preserve">in complete placenta previa </w:t>
      </w:r>
      <w:r w:rsidR="006070A5">
        <w:rPr>
          <w:rFonts w:ascii="Times New Roman" w:hAnsi="Times New Roman" w:cs="Times New Roman" w:hint="eastAsia"/>
          <w:color w:val="000000"/>
          <w:sz w:val="20"/>
          <w:szCs w:val="20"/>
        </w:rPr>
        <w:t>group</w:t>
      </w:r>
      <w:r w:rsidR="006070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592A">
        <w:rPr>
          <w:rFonts w:ascii="Times New Roman" w:hAnsi="Times New Roman" w:cs="Times New Roman"/>
          <w:color w:val="000000"/>
          <w:sz w:val="20"/>
          <w:szCs w:val="20"/>
        </w:rPr>
        <w:t>compared with marpartial placenta previa</w:t>
      </w:r>
      <w:r w:rsidR="006070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070A5">
        <w:rPr>
          <w:rFonts w:ascii="Times New Roman" w:hAnsi="Times New Roman" w:cs="Times New Roman" w:hint="eastAsia"/>
          <w:color w:val="000000"/>
          <w:sz w:val="20"/>
          <w:szCs w:val="20"/>
        </w:rPr>
        <w:t>group</w:t>
      </w:r>
      <w:r w:rsidR="0077592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W w:w="7822" w:type="dxa"/>
        <w:tblLook w:val="04A0" w:firstRow="1" w:lastRow="0" w:firstColumn="1" w:lastColumn="0" w:noHBand="0" w:noVBand="1"/>
      </w:tblPr>
      <w:tblGrid>
        <w:gridCol w:w="1844"/>
        <w:gridCol w:w="1159"/>
        <w:gridCol w:w="1417"/>
        <w:gridCol w:w="1701"/>
        <w:gridCol w:w="1701"/>
      </w:tblGrid>
      <w:tr w:rsidR="0077592A" w:rsidRPr="006E7DAA" w14:paraId="6149E578" w14:textId="77777777" w:rsidTr="0077592A">
        <w:trPr>
          <w:trHeight w:val="308"/>
        </w:trPr>
        <w:tc>
          <w:tcPr>
            <w:tcW w:w="18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2D8441" w14:textId="77777777" w:rsidR="0077592A" w:rsidRPr="006E7DAA" w:rsidRDefault="0077592A" w:rsidP="002F209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6DF5C" w14:textId="77777777" w:rsidR="0077592A" w:rsidRPr="006E7DAA" w:rsidRDefault="0077592A" w:rsidP="002F209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Marpartial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38F8E" w14:textId="77777777" w:rsidR="0077592A" w:rsidRPr="006E7DAA" w:rsidRDefault="0077592A" w:rsidP="002F209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0A6B" w14:textId="72C7E26D" w:rsidR="0077592A" w:rsidRPr="006E7DAA" w:rsidRDefault="0077592A" w:rsidP="002F209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Marpartial as reference</w:t>
            </w: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7A6A24" w14:textId="77777777" w:rsidR="0077592A" w:rsidRDefault="0077592A" w:rsidP="003E257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  <w:p w14:paraId="74CE0DC8" w14:textId="254B0137" w:rsidR="0077592A" w:rsidRPr="006E7DAA" w:rsidRDefault="0077592A" w:rsidP="003E257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Complete</w:t>
            </w:r>
          </w:p>
          <w:p w14:paraId="1FF3B921" w14:textId="77777777" w:rsidR="0077592A" w:rsidRPr="008004A3" w:rsidRDefault="0077592A" w:rsidP="003E2576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aOR(95%CI)</w:t>
            </w:r>
          </w:p>
          <w:p w14:paraId="54E73132" w14:textId="0F49A21A" w:rsidR="0077592A" w:rsidRPr="006E7DAA" w:rsidRDefault="0077592A" w:rsidP="003E257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592A" w:rsidRPr="006E7DAA" w14:paraId="2471CF92" w14:textId="77777777" w:rsidTr="0077592A">
        <w:trPr>
          <w:trHeight w:val="608"/>
        </w:trPr>
        <w:tc>
          <w:tcPr>
            <w:tcW w:w="18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51797" w14:textId="77777777" w:rsidR="0077592A" w:rsidRPr="006E7DAA" w:rsidRDefault="0077592A" w:rsidP="002F209C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C44610" w14:textId="77777777" w:rsidR="0077592A" w:rsidRPr="006E7DAA" w:rsidRDefault="0077592A" w:rsidP="002F209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(n=1373)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C0B212" w14:textId="77777777" w:rsidR="0077592A" w:rsidRPr="006E7DAA" w:rsidRDefault="0077592A" w:rsidP="002F209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(n=2651)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68AF8B" w14:textId="77777777" w:rsidR="0077592A" w:rsidRPr="006E7DAA" w:rsidRDefault="0077592A" w:rsidP="003E257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8F1E7CF" w14:textId="016BFA29" w:rsidR="0077592A" w:rsidRPr="006E7DAA" w:rsidRDefault="0077592A" w:rsidP="003E257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592A" w:rsidRPr="006D0A01" w14:paraId="1DBC9CC8" w14:textId="77777777" w:rsidTr="0077592A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4D886" w14:textId="77777777" w:rsidR="0077592A" w:rsidRPr="006E7DAA" w:rsidRDefault="0077592A" w:rsidP="003E257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PAS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D8CB3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351(25.6%)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B5F35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1438(54.2%)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0463A" w14:textId="6D8DAC1D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2EDF9" w14:textId="3FB9C744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FF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FF0000"/>
                <w:sz w:val="20"/>
                <w:szCs w:val="20"/>
              </w:rPr>
              <w:t>2.92(2.51-3.4)</w:t>
            </w:r>
          </w:p>
        </w:tc>
      </w:tr>
      <w:tr w:rsidR="0077592A" w:rsidRPr="006D0A01" w14:paraId="31323A00" w14:textId="77777777" w:rsidTr="0077592A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7628C" w14:textId="77777777" w:rsidR="0077592A" w:rsidRPr="006E7DAA" w:rsidRDefault="0077592A" w:rsidP="003E257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PPH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5D0AC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219(16%)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30CE1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1175(44.3%)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20EFE" w14:textId="4332BACE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FF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61EC1" w14:textId="0A036D4E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FF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FF0000"/>
                <w:sz w:val="20"/>
                <w:szCs w:val="20"/>
              </w:rPr>
              <w:t>3.7(3.11-4.41)</w:t>
            </w:r>
          </w:p>
        </w:tc>
      </w:tr>
      <w:tr w:rsidR="0077592A" w:rsidRPr="006D0A01" w14:paraId="18A939F3" w14:textId="77777777" w:rsidTr="0077592A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7E6F7" w14:textId="77777777" w:rsidR="0077592A" w:rsidRPr="006E7DAA" w:rsidRDefault="0077592A" w:rsidP="003E257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Severe PPH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290DD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42(3.1%)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C517D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422(15.9%)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F1522" w14:textId="7E099662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A8255" w14:textId="4BC927DE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FF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FF0000"/>
                <w:sz w:val="20"/>
                <w:szCs w:val="20"/>
              </w:rPr>
              <w:t>4.7(3.36-6.55)</w:t>
            </w:r>
          </w:p>
        </w:tc>
      </w:tr>
      <w:tr w:rsidR="0077592A" w:rsidRPr="006D0A01" w14:paraId="201E5C72" w14:textId="77777777" w:rsidTr="0077592A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0E5F0" w14:textId="77777777" w:rsidR="0077592A" w:rsidRPr="006E7DAA" w:rsidRDefault="0077592A" w:rsidP="003E257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Shock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B676B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95(6.9%)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B5546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640(24.1%)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363BA" w14:textId="22512E43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5B5CE" w14:textId="70A17FF9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FF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FF0000"/>
                <w:sz w:val="20"/>
                <w:szCs w:val="20"/>
              </w:rPr>
              <w:t>3.54(2.81-4.47)</w:t>
            </w:r>
          </w:p>
        </w:tc>
      </w:tr>
      <w:tr w:rsidR="0077592A" w:rsidRPr="006D0A01" w14:paraId="14381371" w14:textId="77777777" w:rsidTr="0077592A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D4440" w14:textId="77777777" w:rsidR="0077592A" w:rsidRPr="006E7DAA" w:rsidRDefault="0077592A" w:rsidP="003E257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Blood transfusion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E3379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171(12.5%)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99D9E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994(37.5%)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0AF90" w14:textId="7EE5B8FC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FF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BCFD9" w14:textId="5E97EF3E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FF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FF0000"/>
                <w:sz w:val="20"/>
                <w:szCs w:val="20"/>
              </w:rPr>
              <w:t>3.48(2.88-4.19)</w:t>
            </w:r>
          </w:p>
        </w:tc>
      </w:tr>
      <w:tr w:rsidR="0077592A" w:rsidRPr="006D0A01" w14:paraId="7ED502CA" w14:textId="77777777" w:rsidTr="0077592A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E93F1" w14:textId="77777777" w:rsidR="0077592A" w:rsidRPr="006E7DAA" w:rsidRDefault="0077592A" w:rsidP="003E257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Bladder rupture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BB1AD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5(0.4%)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BEF6D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30(1.1%)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CD734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8BEFB" w14:textId="018B4ACD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1.67(0.64-4.38)</w:t>
            </w:r>
          </w:p>
        </w:tc>
      </w:tr>
      <w:tr w:rsidR="0077592A" w:rsidRPr="006D0A01" w14:paraId="4A3875C8" w14:textId="77777777" w:rsidTr="0077592A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8F039" w14:textId="77777777" w:rsidR="0077592A" w:rsidRPr="006E7DAA" w:rsidRDefault="0077592A" w:rsidP="003E257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Uterine rupture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3EBCE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7(0.5%)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A03BE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17(0.6%)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E7BEC" w14:textId="556A92C4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4D5CA" w14:textId="2C570648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0.78(0.32-1.92)</w:t>
            </w:r>
          </w:p>
        </w:tc>
      </w:tr>
      <w:tr w:rsidR="0077592A" w:rsidRPr="006D0A01" w14:paraId="2E83C7AA" w14:textId="77777777" w:rsidTr="0077592A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B670C" w14:textId="77777777" w:rsidR="0077592A" w:rsidRPr="006E7DAA" w:rsidRDefault="0077592A" w:rsidP="003E257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Hysterectomy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8D421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28(2%)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EB9E0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205(7.7%)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D8F94" w14:textId="13050C4C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A0C5E" w14:textId="7CE86A63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FF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FF0000"/>
                <w:sz w:val="20"/>
                <w:szCs w:val="20"/>
              </w:rPr>
              <w:t>2.99(1.99-4.5)</w:t>
            </w:r>
          </w:p>
        </w:tc>
      </w:tr>
      <w:tr w:rsidR="0077592A" w:rsidRPr="006D0A01" w14:paraId="0C87FA34" w14:textId="77777777" w:rsidTr="0077592A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F8FB0" w14:textId="77777777" w:rsidR="0077592A" w:rsidRPr="006E7DAA" w:rsidRDefault="0077592A" w:rsidP="003E257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Puerperal infection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9B7C2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37(2.7%)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B8464" w14:textId="77777777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118(4.5%)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2ADFF" w14:textId="3CE70535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9D5EB" w14:textId="51CE7CAE" w:rsidR="0077592A" w:rsidRPr="006D0A01" w:rsidRDefault="0077592A" w:rsidP="003E2576">
            <w:pPr>
              <w:jc w:val="center"/>
              <w:rPr>
                <w:rFonts w:ascii="等线" w:eastAsia="等线" w:hAnsi="等线"/>
                <w:color w:val="FF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1.41(0.96-2.06)</w:t>
            </w:r>
          </w:p>
        </w:tc>
      </w:tr>
      <w:tr w:rsidR="0077592A" w:rsidRPr="006D0A01" w14:paraId="71B91D45" w14:textId="77777777" w:rsidTr="0077592A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6560F" w14:textId="77777777" w:rsidR="0077592A" w:rsidRPr="006E7DAA" w:rsidRDefault="0077592A" w:rsidP="002F209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87C5F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20(1.5%)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80CD9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149(5.6%)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1AD7C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940EB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7592A" w:rsidRPr="006D0A01" w14:paraId="6F262914" w14:textId="77777777" w:rsidTr="0077592A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4D82D" w14:textId="77777777" w:rsidR="0077592A" w:rsidRPr="006E7DAA" w:rsidRDefault="0077592A" w:rsidP="002F209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Hospital stay(d)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4C7BC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8.71±5.21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F18F1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10.36±6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CAC09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0BEC4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7592A" w:rsidRPr="006D0A01" w14:paraId="114FAE7C" w14:textId="77777777" w:rsidTr="0077592A">
        <w:trPr>
          <w:trHeight w:val="308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2E179" w14:textId="77777777" w:rsidR="0077592A" w:rsidRPr="006E7DAA" w:rsidRDefault="0077592A" w:rsidP="002F209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E7DA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Maternal death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0DB56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B53BA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7C61C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7FB36" w14:textId="77777777" w:rsidR="0077592A" w:rsidRPr="006D0A01" w:rsidRDefault="0077592A" w:rsidP="002F209C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6D0A01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38E578E7" w14:textId="77777777" w:rsidR="003E2576" w:rsidRPr="006D0A01" w:rsidRDefault="003E2576" w:rsidP="003E2576">
      <w:pPr>
        <w:rPr>
          <w:rFonts w:ascii="Times New Roman" w:hAnsi="Times New Roman" w:cs="Times New Roman"/>
          <w:color w:val="231F20"/>
          <w:sz w:val="20"/>
          <w:szCs w:val="20"/>
        </w:rPr>
      </w:pPr>
      <w:r w:rsidRPr="006D0A01">
        <w:rPr>
          <w:rFonts w:ascii="Times New Roman" w:hAnsi="Times New Roman" w:cs="Times New Roman"/>
          <w:color w:val="231F20"/>
          <w:sz w:val="20"/>
          <w:szCs w:val="20"/>
        </w:rPr>
        <w:t xml:space="preserve">PAS: placenta accrete spectrum; PPH: postpartum hemorrhage; </w:t>
      </w:r>
      <w:r w:rsidRPr="006D0A01">
        <w:rPr>
          <w:rFonts w:ascii="Times New Roman" w:hAnsi="Times New Roman" w:cs="Times New Roman" w:hint="eastAsia"/>
          <w:color w:val="231F20"/>
          <w:sz w:val="20"/>
          <w:szCs w:val="20"/>
        </w:rPr>
        <w:t>ICU</w:t>
      </w:r>
      <w:r w:rsidRPr="006D0A01">
        <w:rPr>
          <w:rFonts w:ascii="Times New Roman" w:hAnsi="Times New Roman" w:cs="Times New Roman"/>
          <w:color w:val="231F20"/>
          <w:sz w:val="20"/>
          <w:szCs w:val="20"/>
        </w:rPr>
        <w:t xml:space="preserve">: intensive care unit; </w:t>
      </w:r>
    </w:p>
    <w:p w14:paraId="565C160D" w14:textId="77777777" w:rsidR="003E2576" w:rsidRDefault="003E2576" w:rsidP="003E257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D0A01">
        <w:rPr>
          <w:rFonts w:ascii="Times New Roman" w:hAnsi="Times New Roman" w:cs="Times New Roman"/>
          <w:color w:val="231F20"/>
          <w:sz w:val="20"/>
          <w:szCs w:val="20"/>
        </w:rPr>
        <w:t xml:space="preserve">CI: confidence interval; </w:t>
      </w:r>
      <w:r w:rsidRPr="006D0A01">
        <w:rPr>
          <w:rFonts w:ascii="Times New Roman" w:hAnsi="Times New Roman" w:cs="Times New Roman"/>
          <w:color w:val="000000"/>
          <w:sz w:val="20"/>
          <w:szCs w:val="20"/>
        </w:rPr>
        <w:t>aOR: adjusted odds ratios;</w:t>
      </w:r>
    </w:p>
    <w:p w14:paraId="25C6CC49" w14:textId="193080E8" w:rsidR="003E2576" w:rsidRPr="008004A3" w:rsidRDefault="003E2576" w:rsidP="003E2576">
      <w:pPr>
        <w:rPr>
          <w:rFonts w:ascii="Times New Roman" w:hAnsi="Times New Roman" w:cs="Times New Roman"/>
          <w:color w:val="231F20"/>
          <w:sz w:val="20"/>
          <w:szCs w:val="20"/>
        </w:rPr>
      </w:pPr>
      <w:r w:rsidRPr="008004A3">
        <w:rPr>
          <w:rFonts w:ascii="Times New Roman" w:hAnsi="Times New Roman" w:cs="Times New Roman" w:hint="eastAsia"/>
          <w:color w:val="231F20"/>
          <w:sz w:val="20"/>
          <w:szCs w:val="20"/>
        </w:rPr>
        <w:t>*</w:t>
      </w:r>
      <w:r w:rsidRPr="008004A3">
        <w:rPr>
          <w:rFonts w:ascii="Times New Roman" w:hAnsi="Times New Roman" w:cs="Times New Roman"/>
          <w:color w:val="231F20"/>
          <w:sz w:val="20"/>
          <w:szCs w:val="20"/>
        </w:rPr>
        <w:t>Logistic regression analysis was used. Adjusted factors included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8004A3">
        <w:rPr>
          <w:rFonts w:ascii="Times New Roman" w:hAnsi="Times New Roman" w:cs="Times New Roman"/>
          <w:color w:val="231F20"/>
          <w:sz w:val="20"/>
          <w:szCs w:val="20"/>
        </w:rPr>
        <w:t>maternal age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8004A3">
        <w:rPr>
          <w:rFonts w:ascii="Times New Roman" w:hAnsi="Times New Roman" w:cs="Times New Roman"/>
          <w:color w:val="231F20"/>
          <w:sz w:val="20"/>
          <w:szCs w:val="20"/>
        </w:rPr>
        <w:t xml:space="preserve"> gestational </w:t>
      </w:r>
      <w:r>
        <w:rPr>
          <w:rFonts w:ascii="Times New Roman" w:hAnsi="Times New Roman" w:cs="Times New Roman"/>
          <w:color w:val="231F20"/>
          <w:sz w:val="20"/>
          <w:szCs w:val="20"/>
        </w:rPr>
        <w:t>week,</w:t>
      </w:r>
      <w:r w:rsidRPr="008004A3">
        <w:rPr>
          <w:rFonts w:ascii="Times New Roman" w:hAnsi="Times New Roman" w:cs="Times New Roman"/>
          <w:color w:val="231F20"/>
          <w:sz w:val="20"/>
          <w:szCs w:val="20"/>
        </w:rPr>
        <w:t xml:space="preserve"> prior number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8004A3">
        <w:rPr>
          <w:rFonts w:ascii="Times New Roman" w:hAnsi="Times New Roman" w:cs="Times New Roman"/>
          <w:color w:val="231F20"/>
          <w:sz w:val="20"/>
          <w:szCs w:val="20"/>
        </w:rPr>
        <w:t xml:space="preserve"> of cesarean sections, abortions, and vaginal deliveries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 w:rsidRPr="008004A3">
        <w:rPr>
          <w:rFonts w:ascii="Times New Roman" w:hAnsi="Times New Roman" w:cs="Times New Roman"/>
          <w:color w:val="231F20"/>
          <w:sz w:val="20"/>
          <w:szCs w:val="20"/>
        </w:rPr>
        <w:t>level of education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 w:rsidRPr="008004A3">
        <w:rPr>
          <w:rFonts w:ascii="Times New Roman" w:hAnsi="Times New Roman" w:cs="Times New Roman"/>
          <w:color w:val="231F20"/>
          <w:sz w:val="20"/>
          <w:szCs w:val="20"/>
        </w:rPr>
        <w:t>mode of delivery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and location of placenta.</w:t>
      </w:r>
      <w:r w:rsidRPr="003E2576">
        <w:rPr>
          <w:rFonts w:ascii="Times New Roman" w:eastAsia="等线" w:hAnsi="Times New Roman" w:cs="Times New Roman"/>
          <w:color w:val="000000"/>
          <w:sz w:val="20"/>
          <w:szCs w:val="20"/>
        </w:rPr>
        <w:t xml:space="preserve"> </w:t>
      </w:r>
    </w:p>
    <w:p w14:paraId="7EAD2255" w14:textId="77777777" w:rsidR="00045218" w:rsidRPr="003E2576" w:rsidRDefault="00045218"/>
    <w:sectPr w:rsidR="00045218" w:rsidRPr="003E2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35CD4" w14:textId="77777777" w:rsidR="00834E06" w:rsidRDefault="00834E06" w:rsidP="003E2576">
      <w:r>
        <w:separator/>
      </w:r>
    </w:p>
  </w:endnote>
  <w:endnote w:type="continuationSeparator" w:id="0">
    <w:p w14:paraId="25EE431B" w14:textId="77777777" w:rsidR="00834E06" w:rsidRDefault="00834E06" w:rsidP="003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D905" w14:textId="77777777" w:rsidR="00834E06" w:rsidRDefault="00834E06" w:rsidP="003E2576">
      <w:r>
        <w:separator/>
      </w:r>
    </w:p>
  </w:footnote>
  <w:footnote w:type="continuationSeparator" w:id="0">
    <w:p w14:paraId="282F3B3A" w14:textId="77777777" w:rsidR="00834E06" w:rsidRDefault="00834E06" w:rsidP="003E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5B"/>
    <w:rsid w:val="00045218"/>
    <w:rsid w:val="000A6B5B"/>
    <w:rsid w:val="003E2576"/>
    <w:rsid w:val="006070A5"/>
    <w:rsid w:val="0077592A"/>
    <w:rsid w:val="00834E06"/>
    <w:rsid w:val="009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AA855"/>
  <w15:chartTrackingRefBased/>
  <w15:docId w15:val="{38B0C06C-5B21-4B7F-887F-5F44337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57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25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57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丽姿</dc:creator>
  <cp:keywords/>
  <dc:description/>
  <cp:lastModifiedBy>张 丽姿</cp:lastModifiedBy>
  <cp:revision>4</cp:revision>
  <dcterms:created xsi:type="dcterms:W3CDTF">2020-10-29T05:41:00Z</dcterms:created>
  <dcterms:modified xsi:type="dcterms:W3CDTF">2020-11-06T08:59:00Z</dcterms:modified>
</cp:coreProperties>
</file>