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434D" w14:textId="671F138A" w:rsidR="00C92202" w:rsidRDefault="00C92202" w:rsidP="00C92202">
      <w:pPr>
        <w:pStyle w:val="CaptionforTable2lines"/>
        <w:rPr>
          <w:b/>
          <w:bCs/>
        </w:rPr>
      </w:pPr>
      <w:r w:rsidRPr="00952834">
        <w:rPr>
          <w:b/>
          <w:bCs/>
        </w:rPr>
        <w:t>Supplementary Materials</w:t>
      </w:r>
      <w:r>
        <w:rPr>
          <w:b/>
          <w:bCs/>
        </w:rPr>
        <w:t xml:space="preserve"> for </w:t>
      </w:r>
    </w:p>
    <w:p w14:paraId="2E3D7C3C" w14:textId="77777777" w:rsidR="00C92202" w:rsidRPr="00952834" w:rsidRDefault="00C92202" w:rsidP="00C92202">
      <w:pPr>
        <w:pStyle w:val="CaptionforTable2lines"/>
        <w:rPr>
          <w:b/>
          <w:bCs/>
        </w:rPr>
      </w:pPr>
    </w:p>
    <w:p w14:paraId="673CFED1" w14:textId="1076AD1A" w:rsidR="00C92202" w:rsidRPr="00746E4B" w:rsidRDefault="00C92202" w:rsidP="00C92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M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MY"/>
        </w:rPr>
        <w:t xml:space="preserve">Ranking of Empirical Evapotranspiration Models in Different Climate Zones of </w:t>
      </w:r>
      <w:r w:rsidRPr="00746E4B">
        <w:rPr>
          <w:rFonts w:ascii="Times New Roman" w:hAnsi="Times New Roman" w:cs="Times New Roman"/>
          <w:b/>
          <w:bCs/>
          <w:sz w:val="28"/>
          <w:szCs w:val="28"/>
          <w:lang w:val="en-MY"/>
        </w:rPr>
        <w:t xml:space="preserve">Pakistan </w:t>
      </w:r>
    </w:p>
    <w:p w14:paraId="2A087643" w14:textId="77777777" w:rsidR="00C92202" w:rsidRPr="002D5C83" w:rsidRDefault="00C92202" w:rsidP="00C92202">
      <w:pPr>
        <w:spacing w:line="360" w:lineRule="auto"/>
        <w:jc w:val="lowKashida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</w:p>
    <w:p w14:paraId="21ADB61E" w14:textId="77777777" w:rsidR="00C92202" w:rsidRPr="00B513AE" w:rsidRDefault="00C92202" w:rsidP="00C92202">
      <w:pPr>
        <w:spacing w:after="200" w:line="360" w:lineRule="auto"/>
        <w:jc w:val="center"/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</w:pP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>Mohammed Magdy Hamed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vertAlign w:val="superscript"/>
          <w:lang w:val="en-US"/>
        </w:rPr>
        <w:t xml:space="preserve">1,2, </w:t>
      </w:r>
      <w:proofErr w:type="spellStart"/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>Najeebullah</w:t>
      </w:r>
      <w:proofErr w:type="spellEnd"/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 xml:space="preserve"> Khan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vertAlign w:val="superscript"/>
          <w:lang w:val="en-US"/>
        </w:rPr>
        <w:t>3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>, Shamsuddin Shahid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vertAlign w:val="superscript"/>
          <w:lang w:val="en-US"/>
        </w:rPr>
        <w:t>2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 xml:space="preserve">, </w:t>
      </w:r>
      <w:proofErr w:type="spellStart"/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>Mohd</w:t>
      </w:r>
      <w:proofErr w:type="spellEnd"/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 xml:space="preserve"> Khairul </w:t>
      </w:r>
      <w:proofErr w:type="spellStart"/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>Idlan</w:t>
      </w:r>
      <w:proofErr w:type="spellEnd"/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 xml:space="preserve"> Muhammad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vertAlign w:val="superscript"/>
          <w:lang w:val="en-US"/>
        </w:rPr>
        <w:t>2</w:t>
      </w:r>
      <w:r w:rsidRPr="00B513AE">
        <w:rPr>
          <w:rFonts w:asciiTheme="majorBidi" w:eastAsia="Times New Roman" w:hAnsiTheme="majorBidi" w:cstheme="majorBidi"/>
          <w:spacing w:val="4"/>
          <w:sz w:val="24"/>
          <w:szCs w:val="24"/>
          <w:lang w:val="en-US"/>
        </w:rPr>
        <w:t xml:space="preserve"> </w:t>
      </w:r>
    </w:p>
    <w:p w14:paraId="6EE6C715" w14:textId="77777777" w:rsidR="00C92202" w:rsidRDefault="00C92202" w:rsidP="00C92202">
      <w:pPr>
        <w:pStyle w:val="CaptionforTable2lines"/>
      </w:pPr>
    </w:p>
    <w:p w14:paraId="2670527D" w14:textId="77777777" w:rsidR="00C92202" w:rsidRPr="008F4143" w:rsidRDefault="00C92202" w:rsidP="00C92202">
      <w:pPr>
        <w:pStyle w:val="CaptionforTable2lines"/>
        <w:jc w:val="right"/>
        <w:rPr>
          <w:b/>
          <w:bCs/>
        </w:rPr>
      </w:pPr>
      <w:r w:rsidRPr="00C90B89">
        <w:t xml:space="preserve">Table </w:t>
      </w:r>
      <w:r>
        <w:t>S-1</w:t>
      </w:r>
      <w:r w:rsidRPr="00C90B89">
        <w:t xml:space="preserve">. </w:t>
      </w:r>
      <w:r w:rsidRPr="008F4143">
        <w:t xml:space="preserve">List of the empirical </w:t>
      </w:r>
      <w:r>
        <w:t>ET</w:t>
      </w:r>
      <w:r w:rsidRPr="008F4143">
        <w:t xml:space="preserve"> equations and applications (after Muhammad et al., 2018)</w:t>
      </w:r>
    </w:p>
    <w:tbl>
      <w:tblPr>
        <w:tblStyle w:val="TableGrid"/>
        <w:tblW w:w="90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199"/>
        <w:gridCol w:w="4579"/>
        <w:gridCol w:w="2958"/>
      </w:tblGrid>
      <w:tr w:rsidR="00C92202" w:rsidRPr="004A57EC" w14:paraId="4F90ABD3" w14:textId="77777777" w:rsidTr="007236FF">
        <w:trPr>
          <w:trHeight w:val="225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4194" w14:textId="77777777" w:rsidR="00C92202" w:rsidRPr="004A57EC" w:rsidRDefault="00C92202" w:rsidP="00C9220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57EC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59F22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57EC">
              <w:rPr>
                <w:rFonts w:asciiTheme="majorBidi" w:hAnsiTheme="majorBidi" w:cstheme="majorBidi"/>
                <w:b/>
                <w:bCs/>
              </w:rPr>
              <w:t>Model (Year)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6C96D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57EC">
              <w:rPr>
                <w:rFonts w:asciiTheme="majorBidi" w:hAnsiTheme="majorBidi" w:cstheme="majorBidi"/>
                <w:b/>
                <w:bCs/>
              </w:rPr>
              <w:t>Equation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A078E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57EC">
              <w:rPr>
                <w:rFonts w:asciiTheme="majorBidi" w:hAnsiTheme="majorBidi" w:cstheme="majorBidi"/>
                <w:b/>
                <w:bCs/>
              </w:rPr>
              <w:t>Application</w:t>
            </w:r>
          </w:p>
        </w:tc>
      </w:tr>
      <w:tr w:rsidR="00C92202" w:rsidRPr="004A57EC" w14:paraId="4F18D46D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CA44D" w14:textId="77777777" w:rsidR="00C92202" w:rsidRPr="004A57EC" w:rsidRDefault="00C92202" w:rsidP="00C9220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1854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Dalton (1802)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A402F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0.3648+0.07223(u)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D13A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2AE71F93" w14:textId="77777777" w:rsidTr="007236FF">
        <w:trPr>
          <w:trHeight w:val="690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27C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3B58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Trabert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(1896)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18DE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0.3075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ra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EDD29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4419C217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30E49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7F617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Meyer (1926)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895AA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0.375+0.05026(u)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2754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31C47C94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7C70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ADC6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Rohwer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(1931)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6A0EF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(3.3+0.891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</m:d>
              <m:r>
                <w:rPr>
                  <w:rFonts w:ascii="Cambria Math" w:hAnsi="Cambria Math" w:cstheme="majorBidi"/>
                </w:rPr>
                <m:t>)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89CC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3C1F9478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C094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44D4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Penman (1948)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94BA9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(2.625+0.000479/u)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879A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0D413B92" w14:textId="77777777" w:rsidTr="007236FF">
        <w:trPr>
          <w:trHeight w:val="690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F9E2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320D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Albrecht (1950)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00723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0.1005+0.297(u)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EAF8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067279FB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6FBE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97DD1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Makkink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(1957)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92AA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0.61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Δ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Δ</m:t>
                      </m:r>
                      <m:r>
                        <w:rPr>
                          <w:rFonts w:ascii="Cambria Math" w:hAnsi="Cambria Math" w:cstheme="majorBidi"/>
                        </w:rPr>
                        <m:t>+γ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</w:rPr>
                    <m:t>58.5</m:t>
                  </m:r>
                </m:den>
              </m:f>
              <m:r>
                <w:rPr>
                  <w:rFonts w:ascii="Cambria Math" w:hAnsi="Cambria Math" w:cstheme="majorBidi"/>
                </w:rPr>
                <m:t>-0.12</m:t>
              </m:r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3788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Lu et al (2005), </w:t>
            </w:r>
            <w:proofErr w:type="spellStart"/>
            <w:r w:rsidRPr="004A57EC">
              <w:rPr>
                <w:rFonts w:asciiTheme="majorBidi" w:hAnsiTheme="majorBidi" w:cstheme="majorBidi"/>
              </w:rPr>
              <w:t>Niaghi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Rahimikhoob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(2012)</w:t>
            </w:r>
          </w:p>
        </w:tc>
      </w:tr>
      <w:tr w:rsidR="00C92202" w:rsidRPr="004A57EC" w14:paraId="371CE357" w14:textId="77777777" w:rsidTr="007236FF">
        <w:trPr>
          <w:trHeight w:val="463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E3D7D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9E42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Ivanov (1961)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2ED8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</w:t>
            </w:r>
            <m:oMath>
              <m:r>
                <w:rPr>
                  <w:rFonts w:ascii="Cambria Math" w:hAnsi="Cambria Math" w:cstheme="majorBidi"/>
                </w:rPr>
                <m:t xml:space="preserve"> 0.00006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25+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mean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100-RH</m:t>
                  </m:r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059A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18DF4D4D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A61D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92C4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Turc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(1961)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4AD9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0.013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mean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mean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</w:rPr>
                        <m:t>+15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+50</m:t>
                  </m:r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313E7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Lu et al (2005), </w:t>
            </w:r>
            <w:proofErr w:type="spellStart"/>
            <w:r w:rsidRPr="004A57EC">
              <w:rPr>
                <w:rFonts w:asciiTheme="majorBidi" w:hAnsiTheme="majorBidi" w:cstheme="majorBidi"/>
              </w:rPr>
              <w:t>Xystrakis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A57EC">
              <w:rPr>
                <w:rFonts w:asciiTheme="majorBidi" w:hAnsiTheme="majorBidi" w:cstheme="majorBidi"/>
              </w:rPr>
              <w:t>Matzarakis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(2010)</w:t>
            </w:r>
          </w:p>
        </w:tc>
      </w:tr>
      <w:tr w:rsidR="00C92202" w:rsidRPr="004A57EC" w14:paraId="743C6E3C" w14:textId="77777777" w:rsidTr="007236FF">
        <w:trPr>
          <w:trHeight w:val="976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5484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2CCA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Hamon (1963)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2A626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0.1651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L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d</m:t>
                  </m:r>
                </m:sub>
              </m:sSub>
            </m:oMath>
            <w:r w:rsidRPr="004A57EC">
              <w:rPr>
                <w:rFonts w:asciiTheme="majorBidi" w:hAnsiTheme="majorBidi" w:cstheme="majorBidi"/>
              </w:rPr>
              <w:t>RHOSAT x KPEC</w:t>
            </w:r>
          </w:p>
          <w:p w14:paraId="2EACB41B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RHOSAT =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216.7</m:t>
                  </m:r>
                  <m:r>
                    <m:rPr>
                      <m:nor/>
                    </m:rPr>
                    <w:rPr>
                      <w:rFonts w:asciiTheme="majorBidi" w:hAnsiTheme="majorBidi" w:cstheme="majorBidi"/>
                    </w:rPr>
                    <m:t>ESAT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+273.3</m:t>
                  </m:r>
                </m:den>
              </m:f>
            </m:oMath>
          </w:p>
          <w:p w14:paraId="32864168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ESAT = </w:t>
            </w:r>
            <m:oMath>
              <m:r>
                <w:rPr>
                  <w:rFonts w:ascii="Cambria Math" w:hAnsi="Cambria Math" w:cstheme="majorBidi"/>
                </w:rPr>
                <m:t>6.108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rFonts w:asciiTheme="majorBidi" w:hAnsiTheme="majorBidi" w:cstheme="majorBidi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17.269×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</w:rPr>
                                <m:t>mean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</w:rPr>
                                <m:t>mean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</w:rPr>
                            <m:t>+273.3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053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Lu et al (2005)</w:t>
            </w:r>
          </w:p>
        </w:tc>
      </w:tr>
      <w:tr w:rsidR="00C92202" w:rsidRPr="004A57EC" w14:paraId="1E8AC4E4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DE58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BAEC9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Jensen Haise (1963)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D0BB7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λ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0.025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+0.08</m:t>
                  </m:r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75C4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Xystrakis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A57EC">
              <w:rPr>
                <w:rFonts w:asciiTheme="majorBidi" w:hAnsiTheme="majorBidi" w:cstheme="majorBidi"/>
              </w:rPr>
              <w:t>Matzarakis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(2010); </w:t>
            </w: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(2014)</w:t>
            </w:r>
          </w:p>
        </w:tc>
      </w:tr>
      <w:tr w:rsidR="00C92202" w:rsidRPr="004A57EC" w14:paraId="61E31C84" w14:textId="77777777" w:rsidTr="007236FF">
        <w:trPr>
          <w:trHeight w:val="690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016CD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78440" w14:textId="77777777" w:rsidR="00C92202" w:rsidRPr="004A57EC" w:rsidRDefault="00C92202" w:rsidP="007236FF">
            <w:pPr>
              <w:tabs>
                <w:tab w:val="left" w:pos="820"/>
                <w:tab w:val="left" w:pos="851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Brockamp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&amp; </w:t>
            </w:r>
            <w:proofErr w:type="spellStart"/>
            <w:r w:rsidRPr="004A57EC">
              <w:rPr>
                <w:rFonts w:asciiTheme="majorBidi" w:hAnsiTheme="majorBidi" w:cstheme="majorBidi"/>
              </w:rPr>
              <w:t>Wenner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(1963)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9538F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0.543(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0.456</m:t>
                  </m:r>
                </m:sup>
              </m:sSup>
              <m:r>
                <w:rPr>
                  <w:rFonts w:ascii="Cambria Math" w:hAnsi="Cambria Math" w:cstheme="majorBidi"/>
                </w:rPr>
                <m:t>)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7534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74538149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9DD9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73B21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Papadakis (1966)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44731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2.5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ma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BF359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37473150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B33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E71B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WMO (1966)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E1AB4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0.1298+0.0934(u)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34A5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478EC583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B97C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9FB8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Schendel (1967)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3C5F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16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Tmean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RH</m:t>
                      </m:r>
                    </m:den>
                  </m:f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E2644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</w:t>
            </w:r>
            <w:proofErr w:type="spellStart"/>
            <w:r w:rsidRPr="004A57EC">
              <w:rPr>
                <w:rFonts w:asciiTheme="majorBidi" w:hAnsiTheme="majorBidi" w:cstheme="majorBidi"/>
              </w:rPr>
              <w:t>Djaman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(2015)</w:t>
            </w:r>
          </w:p>
        </w:tc>
      </w:tr>
      <w:tr w:rsidR="00C92202" w:rsidRPr="004A57EC" w14:paraId="27A41F74" w14:textId="77777777" w:rsidTr="007236FF">
        <w:trPr>
          <w:trHeight w:val="690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BFF04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320C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Mahringer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(1970)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D7AD1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0.15072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3.6u</m:t>
                  </m:r>
                </m:e>
              </m:ra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D5574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585BBD4A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769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D4357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ind w:right="111"/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Priestley Taylor (1972)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3B31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α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Δ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Δ</m:t>
                      </m:r>
                      <m:r>
                        <w:rPr>
                          <w:rFonts w:ascii="Cambria Math" w:hAnsi="Cambria Math" w:cstheme="majorBidi"/>
                        </w:rPr>
                        <m:t>+γ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</w:rPr>
                    <m:t>λ</m:t>
                  </m:r>
                </m:den>
              </m:f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B7C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Bormann (2011), </w:t>
            </w:r>
            <w:proofErr w:type="spellStart"/>
            <w:r w:rsidRPr="004A57EC">
              <w:rPr>
                <w:rFonts w:asciiTheme="majorBidi" w:hAnsiTheme="majorBidi" w:cstheme="majorBidi"/>
              </w:rPr>
              <w:t>Niaghi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Rahimikhoob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(2012)</w:t>
            </w:r>
          </w:p>
        </w:tc>
      </w:tr>
      <w:tr w:rsidR="00C92202" w:rsidRPr="004A57EC" w14:paraId="161BE811" w14:textId="77777777" w:rsidTr="007236FF">
        <w:trPr>
          <w:trHeight w:val="67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991D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D4D7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ind w:right="252"/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McGuinness &amp; </w:t>
            </w:r>
            <w:proofErr w:type="spellStart"/>
            <w:r w:rsidRPr="004A57EC">
              <w:rPr>
                <w:rFonts w:asciiTheme="majorBidi" w:hAnsiTheme="majorBidi" w:cstheme="majorBidi"/>
              </w:rPr>
              <w:t>Bordne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(1972)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1659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0.0082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-0.19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</w:rPr>
                    <m:t>1500</m:t>
                  </m:r>
                </m:den>
              </m:f>
              <m:r>
                <w:rPr>
                  <w:rFonts w:ascii="Cambria Math" w:hAnsi="Cambria Math" w:cstheme="majorBidi"/>
                </w:rPr>
                <m:t>(2.54)</m:t>
              </m:r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3DEE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(2014)</w:t>
            </w:r>
          </w:p>
        </w:tc>
      </w:tr>
      <w:tr w:rsidR="00C92202" w:rsidRPr="004A57EC" w14:paraId="51B17421" w14:textId="77777777" w:rsidTr="007236FF">
        <w:trPr>
          <w:trHeight w:val="64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900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CD4D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Szasz (1973)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EADC0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0.00536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mean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</w:rPr>
                        <m:t>+21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RH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theme="majorBidi"/>
                </w:rPr>
                <m:t>f(u)</m:t>
              </m:r>
            </m:oMath>
          </w:p>
          <w:p w14:paraId="4A5C7092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0.0519u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+0.905</m:t>
                </m:r>
              </m:oMath>
            </m:oMathPara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7785D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R</w:t>
            </w:r>
            <m:oMath>
              <m:acc>
                <m:accPr>
                  <m:chr m:val="́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</m:acc>
            </m:oMath>
            <w:r w:rsidRPr="004A57EC">
              <w:rPr>
                <w:rFonts w:asciiTheme="majorBidi" w:hAnsiTheme="majorBidi" w:cstheme="majorBidi"/>
              </w:rPr>
              <w:t>cz et al (2013)</w:t>
            </w:r>
          </w:p>
        </w:tc>
      </w:tr>
      <w:tr w:rsidR="00C92202" w:rsidRPr="004A57EC" w14:paraId="17AF6406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108D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D7E7E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Caprio (1974)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A85C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6.1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6</m:t>
                          </m:r>
                        </m:sup>
                      </m:sSup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1.8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+1.0</m:t>
                  </m:r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C2E7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Oudin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(2005)</w:t>
            </w:r>
          </w:p>
        </w:tc>
      </w:tr>
      <w:tr w:rsidR="00C92202" w:rsidRPr="004A57EC" w14:paraId="679A15FA" w14:textId="77777777" w:rsidTr="007236FF">
        <w:trPr>
          <w:trHeight w:val="916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F70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D678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Blaney </w:t>
            </w:r>
            <w:proofErr w:type="spellStart"/>
            <w:r w:rsidRPr="004A57EC">
              <w:rPr>
                <w:rFonts w:asciiTheme="majorBidi" w:hAnsiTheme="majorBidi" w:cstheme="majorBidi"/>
              </w:rPr>
              <w:t>Criddle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(1977)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9E21D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k×p(0.46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mean</m:t>
                  </m:r>
                </m:sub>
              </m:sSub>
              <m:r>
                <w:rPr>
                  <w:rFonts w:ascii="Cambria Math" w:hAnsi="Cambria Math" w:cstheme="majorBidi"/>
                </w:rPr>
                <m:t>+8.13)</m:t>
              </m:r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493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Niaghi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(2013, </w:t>
            </w: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(2014), </w:t>
            </w:r>
            <w:proofErr w:type="spellStart"/>
            <w:r w:rsidRPr="004A57EC">
              <w:rPr>
                <w:rFonts w:asciiTheme="majorBidi" w:hAnsiTheme="majorBidi" w:cstheme="majorBidi"/>
              </w:rPr>
              <w:t>Josilva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(2016), Poyen et al (2018)</w:t>
            </w:r>
          </w:p>
        </w:tc>
      </w:tr>
      <w:tr w:rsidR="00C92202" w:rsidRPr="004A57EC" w14:paraId="4C64F722" w14:textId="77777777" w:rsidTr="007236FF">
        <w:trPr>
          <w:trHeight w:val="1107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A04D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890F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Linacre (1977)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DF393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</w:rPr>
                  <m:t>ET=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700(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mean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</w:rPr>
                          <m:t>±0.006z)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100-L</m:t>
                        </m:r>
                      </m:den>
                    </m:f>
                    <m:r>
                      <w:rPr>
                        <w:rFonts w:ascii="Cambria Math" w:hAnsi="Cambria Math" w:cstheme="majorBidi"/>
                      </w:rPr>
                      <m:t>+15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mean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d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</w:rPr>
                      <m:t>80-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mean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62FD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Josilva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(2016)</w:t>
            </w:r>
          </w:p>
        </w:tc>
      </w:tr>
      <w:tr w:rsidR="00C92202" w:rsidRPr="004A57EC" w14:paraId="008525E8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9B282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194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Kharuffa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(1985)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11396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0.34p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1.30</m:t>
                  </m:r>
                </m:sup>
              </m:sSup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923F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(2014)</w:t>
            </w:r>
          </w:p>
        </w:tc>
      </w:tr>
      <w:tr w:rsidR="00C92202" w:rsidRPr="004A57EC" w14:paraId="1C21922F" w14:textId="77777777" w:rsidTr="007236FF">
        <w:trPr>
          <w:trHeight w:val="1595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D5B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0CF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 xml:space="preserve">Hargreaves </w:t>
            </w:r>
            <w:proofErr w:type="spellStart"/>
            <w:r w:rsidRPr="004A57EC">
              <w:rPr>
                <w:rFonts w:asciiTheme="majorBidi" w:hAnsiTheme="majorBidi" w:cstheme="majorBidi"/>
              </w:rPr>
              <w:t>Samani</w:t>
            </w:r>
            <w:proofErr w:type="spellEnd"/>
          </w:p>
          <w:p w14:paraId="79E68277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(1985)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8001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0.0023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2.45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TD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0.5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+17.8</m:t>
                  </m:r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7A1A8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Oudin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(2005), </w:t>
            </w:r>
            <w:proofErr w:type="spellStart"/>
            <w:r w:rsidRPr="004A57EC">
              <w:rPr>
                <w:rFonts w:asciiTheme="majorBidi" w:hAnsiTheme="majorBidi" w:cstheme="majorBidi"/>
              </w:rPr>
              <w:t>Rahimikhoob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(2012), Xu and Singh (2002), </w:t>
            </w:r>
            <w:proofErr w:type="spellStart"/>
            <w:r w:rsidRPr="004A57EC">
              <w:rPr>
                <w:rFonts w:asciiTheme="majorBidi" w:hAnsiTheme="majorBidi" w:cstheme="majorBidi"/>
              </w:rPr>
              <w:t>Xystrakis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A57EC">
              <w:rPr>
                <w:rFonts w:asciiTheme="majorBidi" w:hAnsiTheme="majorBidi" w:cstheme="majorBidi"/>
              </w:rPr>
              <w:t>Matzarakis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(2010), </w:t>
            </w:r>
            <w:proofErr w:type="spellStart"/>
            <w:r w:rsidRPr="004A57EC">
              <w:rPr>
                <w:rFonts w:asciiTheme="majorBidi" w:hAnsiTheme="majorBidi" w:cstheme="majorBidi"/>
              </w:rPr>
              <w:t>Josilva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(2016)</w:t>
            </w:r>
          </w:p>
        </w:tc>
      </w:tr>
      <w:tr w:rsidR="00C92202" w:rsidRPr="004A57EC" w14:paraId="4A18B995" w14:textId="77777777" w:rsidTr="007236FF">
        <w:trPr>
          <w:trHeight w:val="452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DAFB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ABB1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Ritchie (1990)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7DDA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ET=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3.87×10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 xml:space="preserve">)(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(0.6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+0.4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+29))</m:t>
                </m:r>
              </m:oMath>
            </m:oMathPara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0603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Tabari et al (2013)</w:t>
            </w:r>
          </w:p>
        </w:tc>
      </w:tr>
      <w:tr w:rsidR="00C92202" w:rsidRPr="004A57EC" w14:paraId="2B46768D" w14:textId="77777777" w:rsidTr="007236FF">
        <w:trPr>
          <w:trHeight w:val="463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47687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3D403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Abtew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(1996)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94F0E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0.53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λ</m:t>
                      </m:r>
                    </m:den>
                  </m:f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AAF5E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Abtew</w:t>
            </w:r>
            <w:proofErr w:type="spellEnd"/>
            <w:r w:rsidRPr="004A57EC">
              <w:rPr>
                <w:rFonts w:asciiTheme="majorBidi" w:hAnsiTheme="majorBidi" w:cstheme="majorBidi"/>
              </w:rPr>
              <w:t>, 1996</w:t>
            </w:r>
          </w:p>
        </w:tc>
      </w:tr>
      <w:tr w:rsidR="00C92202" w:rsidRPr="004A57EC" w14:paraId="087BA2D6" w14:textId="77777777" w:rsidTr="007236FF">
        <w:trPr>
          <w:trHeight w:val="1358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CB0D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084A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FAO56 PM (1998</w:t>
            </w:r>
            <w:r>
              <w:rPr>
                <w:rFonts w:asciiTheme="majorBidi" w:hAnsiTheme="majorBidi" w:cstheme="majorBidi"/>
              </w:rPr>
              <w:t>a</w:t>
            </w:r>
            <w:r w:rsidRPr="004A57E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E70E1" w14:textId="77777777" w:rsidR="00C92202" w:rsidRPr="004A57EC" w:rsidRDefault="00C92202" w:rsidP="007236FF">
            <w:pPr>
              <w:pStyle w:val="ListParagraph"/>
              <w:tabs>
                <w:tab w:val="left" w:pos="851"/>
                <w:tab w:val="left" w:pos="993"/>
              </w:tabs>
              <w:spacing w:after="240"/>
              <w:ind w:left="0"/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ET=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0.408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</w:rPr>
                          <m:t>-G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+γ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900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mean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</w:rPr>
                          <m:t>+273</m:t>
                        </m:r>
                      </m:den>
                    </m:f>
                    <m:r>
                      <w:rPr>
                        <w:rFonts w:ascii="Cambria Math" w:hAnsi="Cambria Math" w:cstheme="majorBidi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a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</w:rPr>
                      <m:t>∆+γ(1+0.34u)</m:t>
                    </m:r>
                  </m:den>
                </m:f>
              </m:oMath>
            </m:oMathPara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D62FF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Niaghi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Rahimikhoob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(2012),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Valipour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(2014), Rezaei (2016)</w:t>
            </w:r>
          </w:p>
        </w:tc>
      </w:tr>
      <w:tr w:rsidR="00C92202" w:rsidRPr="004A57EC" w14:paraId="093D773D" w14:textId="77777777" w:rsidTr="007236FF">
        <w:trPr>
          <w:trHeight w:val="916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2A93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lastRenderedPageBreak/>
              <w:t>28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147D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Irmak-Rs (2003)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EB4E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-0.611+0.149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s</m:t>
                  </m:r>
                </m:sub>
              </m:sSub>
              <m:r>
                <w:rPr>
                  <w:rFonts w:ascii="Cambria Math" w:hAnsi="Cambria Math" w:cstheme="majorBidi"/>
                </w:rPr>
                <m:t>+0.079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mean</m:t>
                  </m:r>
                </m:sub>
              </m:sSub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C2D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Niaghi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(2014)</w:t>
            </w:r>
          </w:p>
        </w:tc>
      </w:tr>
      <w:tr w:rsidR="00C92202" w:rsidRPr="004A57EC" w14:paraId="00520EB6" w14:textId="77777777" w:rsidTr="007236FF">
        <w:trPr>
          <w:trHeight w:val="905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41230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89A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Irmak-Rn (2003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00A82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r>
                <w:rPr>
                  <w:rFonts w:ascii="Cambria Math" w:hAnsi="Cambria Math" w:cstheme="majorBidi"/>
                </w:rPr>
                <m:t>0.489+0.289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</w:rPr>
                <m:t>+0.023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mean</m:t>
                  </m:r>
                </m:sub>
              </m:sSub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00F91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Niaghi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(2013), Tabari et al (2013), </w:t>
            </w:r>
            <w:proofErr w:type="spellStart"/>
            <w:r w:rsidRPr="004A57EC">
              <w:rPr>
                <w:rFonts w:asciiTheme="majorBidi" w:hAnsiTheme="majorBidi" w:cstheme="majorBidi"/>
              </w:rPr>
              <w:t>Heydari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et al (2014)</w:t>
            </w:r>
          </w:p>
        </w:tc>
      </w:tr>
      <w:tr w:rsidR="00C92202" w:rsidRPr="004A57EC" w14:paraId="61B25C3B" w14:textId="77777777" w:rsidTr="007236FF">
        <w:trPr>
          <w:trHeight w:val="463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B183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C9D0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Trajkovic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(2007)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0A309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  <w:r w:rsidRPr="004A57EC">
              <w:rPr>
                <w:rFonts w:asciiTheme="majorBidi" w:hAnsiTheme="majorBidi" w:cstheme="majorBidi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0.0023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TD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0.424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mean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+17.8</m:t>
                  </m:r>
                </m:e>
              </m:d>
            </m:oMath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380E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Djaman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(2015)</w:t>
            </w:r>
          </w:p>
        </w:tc>
      </w:tr>
      <w:tr w:rsidR="00C92202" w:rsidRPr="004A57EC" w14:paraId="3A0F6C8B" w14:textId="77777777" w:rsidTr="007236FF">
        <w:trPr>
          <w:trHeight w:val="690"/>
          <w:jc w:val="center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93A0C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r w:rsidRPr="004A57EC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4A671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Ravazzani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(2012)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20CDA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ET=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0.817+0.00022z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0.0023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TD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0.5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)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mean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+17.8</m:t>
                    </m:r>
                  </m:e>
                </m:d>
              </m:oMath>
            </m:oMathPara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3CBD5" w14:textId="77777777" w:rsidR="00C92202" w:rsidRPr="004A57EC" w:rsidRDefault="00C92202" w:rsidP="007236FF">
            <w:pPr>
              <w:tabs>
                <w:tab w:val="left" w:pos="851"/>
                <w:tab w:val="left" w:pos="993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A57EC">
              <w:rPr>
                <w:rFonts w:asciiTheme="majorBidi" w:hAnsiTheme="majorBidi" w:cstheme="majorBidi"/>
              </w:rPr>
              <w:t>Djaman</w:t>
            </w:r>
            <w:proofErr w:type="spellEnd"/>
            <w:r w:rsidRPr="004A57EC">
              <w:rPr>
                <w:rFonts w:asciiTheme="majorBidi" w:hAnsiTheme="majorBidi" w:cstheme="majorBidi"/>
              </w:rPr>
              <w:t xml:space="preserve"> (2015)</w:t>
            </w:r>
          </w:p>
        </w:tc>
      </w:tr>
    </w:tbl>
    <w:p w14:paraId="7CC3D2E1" w14:textId="77777777" w:rsidR="00C92202" w:rsidRPr="004A57EC" w:rsidRDefault="00C92202" w:rsidP="00C9220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>
        <w:rPr>
          <w:rFonts w:asciiTheme="majorBidi" w:hAnsiTheme="majorBidi" w:cstheme="majorBidi"/>
          <w:shd w:val="clear" w:color="auto" w:fill="FFFFFF"/>
        </w:rPr>
        <w:t>ET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is the potential evapotranspiration (mm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gramStart"/>
      <w:r w:rsidRPr="004A57EC">
        <w:rPr>
          <w:rFonts w:asciiTheme="majorBidi" w:hAnsiTheme="majorBidi" w:cstheme="majorBidi"/>
          <w:shd w:val="clear" w:color="auto" w:fill="FFFFFF"/>
        </w:rPr>
        <w:t>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proofErr w:type="gramEnd"/>
      <w:r w:rsidRPr="004A57EC">
        <w:rPr>
          <w:rFonts w:asciiTheme="majorBidi" w:hAnsiTheme="majorBidi" w:cstheme="majorBidi"/>
          <w:shd w:val="clear" w:color="auto" w:fill="FFFFFF"/>
        </w:rPr>
        <w:t xml:space="preserve">). </w:t>
      </w:r>
      <w:r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ET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 xml:space="preserve"> is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in mm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in all equations except Ritchie and McGuinness &amp;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Bordne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models, </w:t>
      </w:r>
      <w:r>
        <w:rPr>
          <w:rFonts w:asciiTheme="majorBidi" w:hAnsiTheme="majorBidi" w:cstheme="majorBidi"/>
          <w:shd w:val="clear" w:color="auto" w:fill="FFFFFF"/>
        </w:rPr>
        <w:t>ET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is in cm 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>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R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n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net radiation (MJ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m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−2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>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G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soil heat flux (MJ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m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−2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>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R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a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 xml:space="preserve">is the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extraterrestrial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radiation (MJ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m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−2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 xml:space="preserve">).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γ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psychrometric constant (kPa/°C).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saturation vapour pressure (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hPa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>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a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actual vapour pressure (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hPa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).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 w:rsidRPr="004A57EC">
        <w:rPr>
          <w:rFonts w:asciiTheme="majorBidi" w:hAnsiTheme="majorBidi" w:cstheme="majorBidi"/>
          <w:shd w:val="clear" w:color="auto" w:fill="FFFFFF"/>
        </w:rPr>
        <w:t xml:space="preserve"> and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a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 xml:space="preserve">are in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hPa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in all equations except Papadakis,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Rohwer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, Penman and FAO56 Penman-Monteith models,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 w:rsidRPr="004A57EC">
        <w:rPr>
          <w:rFonts w:asciiTheme="majorBidi" w:hAnsiTheme="majorBidi" w:cstheme="majorBidi"/>
          <w:shd w:val="clear" w:color="auto" w:fill="FFFFFF"/>
        </w:rPr>
        <w:t xml:space="preserve"> and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a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are in kPa. Δ is the slope of the saturation vapour pressure–temperature curve (kPa/°C).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zCs w:val="24"/>
        </w:rPr>
        <w:t xml:space="preserve">λ is latent heat of evaporation (MJ/kg).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T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  <w:vertAlign w:val="subscript"/>
        </w:rPr>
        <w:t>mean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average daily air temperature (°C).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T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  <w:vertAlign w:val="subscript"/>
        </w:rPr>
        <w:t>mean</w:t>
      </w:r>
      <w:proofErr w:type="spellEnd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 xml:space="preserve"> is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in °C in all equations except McGuinness &amp;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Bordne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model,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T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  <w:vertAlign w:val="subscript"/>
        </w:rPr>
        <w:t>mean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is in degree Fahrenheit.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U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mean daily wind speed at 2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m (m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s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>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i/>
          <w:iCs/>
          <w:shd w:val="clear" w:color="auto" w:fill="FFFFFF"/>
        </w:rPr>
        <w:t>f(u)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is function of wind speed.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Z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elevation (m</w:t>
      </w:r>
      <w:r w:rsidRPr="004A57EC">
        <w:rPr>
          <w:rFonts w:asciiTheme="majorBidi" w:hAnsiTheme="majorBidi" w:cstheme="majorBidi"/>
          <w:szCs w:val="24"/>
          <w:shd w:val="clear" w:color="auto" w:fill="FFFFFF"/>
        </w:rPr>
        <w:t>).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zCs w:val="24"/>
        </w:rPr>
        <w:t>L is local latitude (degrees). T</w:t>
      </w:r>
      <w:r w:rsidRPr="004A57EC">
        <w:rPr>
          <w:rFonts w:asciiTheme="majorBidi" w:hAnsiTheme="majorBidi" w:cstheme="majorBidi"/>
          <w:szCs w:val="24"/>
          <w:vertAlign w:val="subscript"/>
        </w:rPr>
        <w:t>d</w:t>
      </w:r>
      <w:r w:rsidRPr="004A57EC">
        <w:rPr>
          <w:rFonts w:asciiTheme="majorBidi" w:hAnsiTheme="majorBidi" w:cstheme="majorBidi"/>
          <w:szCs w:val="24"/>
        </w:rPr>
        <w:t xml:space="preserve"> is dew point temperature (◦C).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T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min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minimum air temperature (°C).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T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max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maximum air temperature (°C). TD is maximum and minimum temperature difference (°C). RH is the average relative humidity (%).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R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 xml:space="preserve">is the solar radiation.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R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in MJ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m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−2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day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−1</w:t>
      </w:r>
      <w:r w:rsidRPr="004A57EC">
        <w:rPr>
          <w:rFonts w:asciiTheme="majorBidi" w:hAnsiTheme="majorBidi" w:cstheme="majorBidi"/>
          <w:shd w:val="clear" w:color="auto" w:fill="FFFFFF"/>
        </w:rPr>
        <w:t xml:space="preserve"> in all equations except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Turc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Makkink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, Ritchie and McGuinness &amp;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Bordne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models,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R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 xml:space="preserve">is </w:t>
      </w:r>
      <w:r w:rsidRPr="004A57EC">
        <w:rPr>
          <w:rFonts w:asciiTheme="majorBidi" w:hAnsiTheme="majorBidi" w:cstheme="majorBidi"/>
          <w:szCs w:val="24"/>
          <w:shd w:val="clear" w:color="auto" w:fill="FFFFFF"/>
        </w:rPr>
        <w:t xml:space="preserve">in </w:t>
      </w:r>
      <w:r w:rsidRPr="004A57EC">
        <w:rPr>
          <w:rFonts w:asciiTheme="majorBidi" w:hAnsiTheme="majorBidi" w:cstheme="majorBidi"/>
          <w:szCs w:val="24"/>
        </w:rPr>
        <w:t>Cal/m</w:t>
      </w:r>
      <w:r w:rsidRPr="004A57EC">
        <w:rPr>
          <w:rFonts w:asciiTheme="majorBidi" w:hAnsiTheme="majorBidi" w:cstheme="majorBidi"/>
          <w:szCs w:val="24"/>
          <w:vertAlign w:val="superscript"/>
        </w:rPr>
        <w:t>2</w:t>
      </w:r>
      <w:r w:rsidRPr="004A57EC">
        <w:rPr>
          <w:rFonts w:asciiTheme="majorBidi" w:hAnsiTheme="majorBidi" w:cstheme="majorBidi"/>
          <w:szCs w:val="24"/>
        </w:rPr>
        <w:t xml:space="preserve"> day and Caprio model,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R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s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 xml:space="preserve">is </w:t>
      </w:r>
      <w:r w:rsidRPr="004A57EC">
        <w:rPr>
          <w:rFonts w:asciiTheme="majorBidi" w:hAnsiTheme="majorBidi" w:cstheme="majorBidi"/>
          <w:szCs w:val="24"/>
          <w:shd w:val="clear" w:color="auto" w:fill="FFFFFF"/>
        </w:rPr>
        <w:t xml:space="preserve">in </w:t>
      </w:r>
      <w:r w:rsidRPr="004A57EC">
        <w:rPr>
          <w:rFonts w:asciiTheme="majorBidi" w:hAnsiTheme="majorBidi" w:cstheme="majorBidi"/>
          <w:szCs w:val="24"/>
        </w:rPr>
        <w:t>kJ/m</w:t>
      </w:r>
      <w:r w:rsidRPr="004A57EC">
        <w:rPr>
          <w:rFonts w:asciiTheme="majorBidi" w:hAnsiTheme="majorBidi" w:cstheme="majorBidi"/>
          <w:szCs w:val="24"/>
          <w:vertAlign w:val="superscript"/>
        </w:rPr>
        <w:t>2</w:t>
      </w:r>
      <w:r w:rsidRPr="004A57EC">
        <w:rPr>
          <w:rFonts w:asciiTheme="majorBidi" w:hAnsiTheme="majorBidi" w:cstheme="majorBidi"/>
          <w:szCs w:val="24"/>
        </w:rPr>
        <w:t xml:space="preserve"> day</w:t>
      </w:r>
      <w:r w:rsidRPr="004A57EC">
        <w:rPr>
          <w:rFonts w:asciiTheme="majorBidi" w:hAnsiTheme="majorBidi" w:cstheme="majorBidi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Style w:val="Emphasis"/>
          <w:rFonts w:asciiTheme="majorBidi" w:hAnsiTheme="majorBidi" w:cstheme="majorBidi"/>
          <w:color w:val="000000" w:themeColor="text1"/>
          <w:spacing w:val="2"/>
          <w:szCs w:val="24"/>
          <w:shd w:val="clear" w:color="auto" w:fill="FFFFFF"/>
        </w:rPr>
        <w:t>e</w:t>
      </w:r>
      <w:r w:rsidRPr="004A57EC">
        <w:rPr>
          <w:rFonts w:asciiTheme="majorBidi" w:hAnsiTheme="majorBidi" w:cstheme="majorBidi"/>
          <w:shd w:val="clear" w:color="auto" w:fill="FFFFFF"/>
          <w:vertAlign w:val="subscript"/>
        </w:rPr>
        <w:t>ma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hd w:val="clear" w:color="auto" w:fill="FFFFFF"/>
        </w:rPr>
        <w:t>is the saturation vapour pressure at the monthly mean daily maximum temperature (kPa).</w:t>
      </w:r>
      <m:oMath>
        <m:r>
          <w:rPr>
            <w:rFonts w:ascii="Cambria Math" w:hAnsi="Cambria Math" w:cstheme="majorBidi"/>
            <w:color w:val="000000" w:themeColor="text1"/>
            <w:szCs w:val="24"/>
          </w:rPr>
          <m:t xml:space="preserve"> k</m:t>
        </m:r>
      </m:oMath>
      <w:r w:rsidRPr="004A57EC">
        <w:rPr>
          <w:rFonts w:asciiTheme="majorBidi" w:hAnsiTheme="majorBidi" w:cstheme="majorBidi"/>
          <w:color w:val="000000" w:themeColor="text1"/>
          <w:szCs w:val="24"/>
        </w:rPr>
        <w:t xml:space="preserve"> is </w:t>
      </w:r>
      <w:r w:rsidRPr="004A57EC">
        <w:rPr>
          <w:rFonts w:asciiTheme="majorBidi" w:hAnsiTheme="majorBidi" w:cstheme="majorBidi"/>
          <w:shd w:val="clear" w:color="auto" w:fill="FFFFFF"/>
        </w:rPr>
        <w:t xml:space="preserve">monthly consumptive use coefficient which depends on location, </w:t>
      </w:r>
      <w:proofErr w:type="gramStart"/>
      <w:r w:rsidRPr="004A57EC">
        <w:rPr>
          <w:rFonts w:asciiTheme="majorBidi" w:hAnsiTheme="majorBidi" w:cstheme="majorBidi"/>
          <w:shd w:val="clear" w:color="auto" w:fill="FFFFFF"/>
        </w:rPr>
        <w:t>season</w:t>
      </w:r>
      <w:proofErr w:type="gramEnd"/>
      <w:r w:rsidRPr="004A57EC">
        <w:rPr>
          <w:rFonts w:asciiTheme="majorBidi" w:hAnsiTheme="majorBidi" w:cstheme="majorBidi"/>
          <w:shd w:val="clear" w:color="auto" w:fill="FFFFFF"/>
        </w:rPr>
        <w:t xml:space="preserve"> and vegetation type. The average value of k is 0.8 which also requires local calibration (Poyen et al, 2018). </w:t>
      </w:r>
      <m:oMath>
        <m:r>
          <w:rPr>
            <w:rFonts w:ascii="Cambria Math" w:hAnsi="Cambria Math" w:cstheme="majorBidi"/>
            <w:color w:val="000000" w:themeColor="text1"/>
            <w:szCs w:val="24"/>
          </w:rPr>
          <m:t>p</m:t>
        </m:r>
      </m:oMath>
      <w:r w:rsidRPr="004A57EC">
        <w:rPr>
          <w:rFonts w:asciiTheme="majorBidi" w:hAnsiTheme="majorBidi" w:cstheme="majorBidi"/>
          <w:color w:val="000000" w:themeColor="text1"/>
          <w:szCs w:val="24"/>
        </w:rPr>
        <w:t xml:space="preserve"> is </w:t>
      </w:r>
      <w:r w:rsidRPr="004A57EC">
        <w:rPr>
          <w:rFonts w:asciiTheme="majorBidi" w:hAnsiTheme="majorBidi" w:cstheme="majorBidi"/>
          <w:shd w:val="clear" w:color="auto" w:fill="FFFFFF"/>
        </w:rPr>
        <w:t xml:space="preserve">the mean annual percentage of daytime hours for different latitudes that can be obtained from </w:t>
      </w:r>
      <w:proofErr w:type="spellStart"/>
      <w:r w:rsidRPr="004A57EC">
        <w:rPr>
          <w:rFonts w:asciiTheme="majorBidi" w:hAnsiTheme="majorBidi" w:cstheme="majorBidi"/>
          <w:shd w:val="clear" w:color="auto" w:fill="FFFFFF"/>
        </w:rPr>
        <w:t>Doorenbos</w:t>
      </w:r>
      <w:proofErr w:type="spellEnd"/>
      <w:r w:rsidRPr="004A57EC">
        <w:rPr>
          <w:rFonts w:asciiTheme="majorBidi" w:hAnsiTheme="majorBidi" w:cstheme="majorBidi"/>
          <w:shd w:val="clear" w:color="auto" w:fill="FFFFFF"/>
        </w:rPr>
        <w:t xml:space="preserve"> and Pruitt (1977)</w:t>
      </w:r>
      <w:r w:rsidRPr="004A57EC">
        <w:rPr>
          <w:rFonts w:asciiTheme="majorBidi" w:hAnsiTheme="majorBidi" w:cstheme="majorBidi"/>
          <w:szCs w:val="24"/>
          <w:shd w:val="clear" w:color="auto" w:fill="FFFFFF"/>
        </w:rPr>
        <w:t xml:space="preserve">. </w:t>
      </w:r>
      <m:oMath>
        <m:r>
          <w:rPr>
            <w:rFonts w:ascii="Cambria Math" w:hAnsi="Cambria Math" w:cstheme="majorBidi"/>
            <w:color w:val="000000" w:themeColor="text1"/>
            <w:szCs w:val="24"/>
          </w:rPr>
          <m:t>p</m:t>
        </m:r>
      </m:oMath>
      <w:r w:rsidRPr="004A57EC">
        <w:rPr>
          <w:rFonts w:asciiTheme="majorBidi" w:hAnsiTheme="majorBidi" w:cstheme="majorBidi"/>
          <w:color w:val="000000" w:themeColor="text1"/>
          <w:szCs w:val="24"/>
        </w:rPr>
        <w:t xml:space="preserve"> is expressed as constant (0.274) in Josilva et al (2016). </w:t>
      </w:r>
      <w:proofErr w:type="spellStart"/>
      <w:r w:rsidRPr="004A57EC">
        <w:rPr>
          <w:rFonts w:asciiTheme="majorBidi" w:hAnsiTheme="majorBidi" w:cstheme="majorBidi"/>
          <w:szCs w:val="24"/>
        </w:rPr>
        <w:t>L</w:t>
      </w:r>
      <w:r w:rsidRPr="004A57EC">
        <w:rPr>
          <w:rFonts w:asciiTheme="majorBidi" w:hAnsiTheme="majorBidi" w:cstheme="majorBidi"/>
          <w:szCs w:val="24"/>
          <w:vertAlign w:val="subscript"/>
        </w:rPr>
        <w:t>d</w:t>
      </w:r>
      <w:proofErr w:type="spellEnd"/>
      <w:r w:rsidRPr="004A57EC">
        <w:rPr>
          <w:rFonts w:asciiTheme="majorBidi" w:hAnsiTheme="majorBidi" w:cstheme="majorBidi"/>
          <w:szCs w:val="24"/>
        </w:rPr>
        <w:t xml:space="preserve"> is daytime length in multiples of 12 h. RHOSAT is saturated vapor density (g m</w:t>
      </w:r>
      <w:r w:rsidRPr="004A57EC">
        <w:rPr>
          <w:rFonts w:asciiTheme="majorBidi" w:hAnsiTheme="majorBidi" w:cstheme="majorBidi"/>
          <w:shd w:val="clear" w:color="auto" w:fill="FFFFFF"/>
          <w:vertAlign w:val="superscript"/>
        </w:rPr>
        <w:t>−</w:t>
      </w:r>
      <w:r w:rsidRPr="004A57EC">
        <w:rPr>
          <w:rFonts w:asciiTheme="majorBidi" w:hAnsiTheme="majorBidi" w:cstheme="majorBidi"/>
          <w:szCs w:val="24"/>
        </w:rPr>
        <w:t>3). ESAT is saturated vapor pressure (mbar). KPEC is calibration coefficient (1.2). α is constant (1.26)</w:t>
      </w:r>
      <w:r w:rsidRPr="004A57EC">
        <w:rPr>
          <w:rFonts w:asciiTheme="majorBidi" w:hAnsiTheme="majorBidi" w:cstheme="majorBidi"/>
          <w:color w:val="000000" w:themeColor="text1"/>
          <w:szCs w:val="24"/>
        </w:rPr>
        <w:t>.</w:t>
      </w:r>
      <w:r w:rsidRPr="004A57EC">
        <w:rPr>
          <w:rFonts w:asciiTheme="majorBidi" w:hAnsiTheme="majorBidi" w:cstheme="majorBidi"/>
          <w:shd w:val="clear" w:color="auto" w:fill="FFFFFF"/>
        </w:rPr>
        <w:t xml:space="preserve"> </w:t>
      </w:r>
      <w:r w:rsidRPr="004A57EC">
        <w:rPr>
          <w:rFonts w:asciiTheme="majorBidi" w:hAnsiTheme="majorBidi" w:cstheme="majorBidi"/>
          <w:szCs w:val="24"/>
        </w:rPr>
        <w:t>α</w:t>
      </w:r>
      <w:r w:rsidRPr="004A57EC">
        <w:rPr>
          <w:rFonts w:asciiTheme="majorBidi" w:hAnsiTheme="majorBidi" w:cstheme="majorBidi"/>
          <w:szCs w:val="24"/>
          <w:vertAlign w:val="subscript"/>
        </w:rPr>
        <w:t>1</w:t>
      </w:r>
      <w:r w:rsidRPr="004A57EC">
        <w:rPr>
          <w:rFonts w:asciiTheme="majorBidi" w:hAnsiTheme="majorBidi" w:cstheme="majorBidi"/>
          <w:szCs w:val="24"/>
        </w:rPr>
        <w:t xml:space="preserve"> is constant (1.1)</w:t>
      </w:r>
      <w:r w:rsidRPr="004A57EC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E912AA5" w14:textId="77777777" w:rsidR="00C92202" w:rsidRPr="00C92202" w:rsidRDefault="00C92202">
      <w:pPr>
        <w:rPr>
          <w:lang w:val="en-US"/>
        </w:rPr>
      </w:pPr>
    </w:p>
    <w:sectPr w:rsidR="00C92202" w:rsidRPr="00C92202" w:rsidSect="00C9220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974"/>
    <w:multiLevelType w:val="multilevel"/>
    <w:tmpl w:val="F0C2C606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890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02"/>
    <w:rsid w:val="00813474"/>
    <w:rsid w:val="00C92202"/>
    <w:rsid w:val="00D94264"/>
    <w:rsid w:val="00E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2CFC"/>
  <w15:chartTrackingRefBased/>
  <w15:docId w15:val="{C4796095-7B26-499B-86C2-3735C22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orTable2lines">
    <w:name w:val="Caption for Table 2 lines"/>
    <w:basedOn w:val="Normal"/>
    <w:autoRedefine/>
    <w:uiPriority w:val="13"/>
    <w:qFormat/>
    <w:rsid w:val="00C9220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MY"/>
    </w:rPr>
  </w:style>
  <w:style w:type="table" w:styleId="TableGrid">
    <w:name w:val="Table Grid"/>
    <w:basedOn w:val="TableNormal"/>
    <w:uiPriority w:val="59"/>
    <w:qFormat/>
    <w:rsid w:val="00C922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uiPriority w:val="20"/>
    <w:qFormat/>
    <w:rsid w:val="00C92202"/>
    <w:rPr>
      <w:i/>
      <w:iCs/>
    </w:rPr>
  </w:style>
  <w:style w:type="paragraph" w:styleId="ListParagraph">
    <w:name w:val="List Paragraph"/>
    <w:aliases w:val="Paragraph (alpabhatical)"/>
    <w:basedOn w:val="Normal"/>
    <w:link w:val="ListParagraphChar"/>
    <w:uiPriority w:val="34"/>
    <w:qFormat/>
    <w:rsid w:val="00C92202"/>
    <w:pPr>
      <w:ind w:left="720"/>
      <w:contextualSpacing/>
    </w:pPr>
  </w:style>
  <w:style w:type="character" w:customStyle="1" w:styleId="ListParagraphChar">
    <w:name w:val="List Paragraph Char"/>
    <w:aliases w:val="Paragraph (alpabhatical) Char"/>
    <w:basedOn w:val="DefaultParagraphFont"/>
    <w:link w:val="ListParagraph"/>
    <w:uiPriority w:val="34"/>
    <w:rsid w:val="00C922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magdy</dc:creator>
  <cp:keywords/>
  <dc:description/>
  <cp:lastModifiedBy>mohammed magdy</cp:lastModifiedBy>
  <cp:revision>1</cp:revision>
  <dcterms:created xsi:type="dcterms:W3CDTF">2022-05-19T17:13:00Z</dcterms:created>
  <dcterms:modified xsi:type="dcterms:W3CDTF">2022-05-19T17:14:00Z</dcterms:modified>
</cp:coreProperties>
</file>