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1F279" w14:textId="77777777" w:rsidR="00D94E72" w:rsidRDefault="00D94E72" w:rsidP="00D94E72">
      <w:pPr>
        <w:pStyle w:val="Heading1"/>
      </w:pPr>
      <w:r>
        <w:t>Supplementary Figures &amp; Tables</w:t>
      </w:r>
    </w:p>
    <w:p w14:paraId="318FD6A9" w14:textId="77777777" w:rsidR="00D94E72" w:rsidRDefault="00D94E72" w:rsidP="00D94E72">
      <w:pPr>
        <w:ind w:firstLine="0"/>
      </w:pPr>
      <w:r>
        <w:rPr>
          <w:noProof/>
        </w:rPr>
        <w:drawing>
          <wp:inline distT="114300" distB="114300" distL="114300" distR="114300" wp14:anchorId="53760FBF" wp14:editId="7346EDB9">
            <wp:extent cx="6981825" cy="4752975"/>
            <wp:effectExtent l="0" t="0" r="9525" b="9525"/>
            <wp:docPr id="3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3847" cy="4761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2AEEE7" w14:textId="77777777" w:rsidR="00D94E72" w:rsidRDefault="00D94E72" w:rsidP="00D94E72">
      <w:pPr>
        <w:spacing w:line="240" w:lineRule="auto"/>
        <w:ind w:firstLine="0"/>
      </w:pPr>
      <w:r>
        <w:lastRenderedPageBreak/>
        <w:t xml:space="preserve">Figure </w:t>
      </w:r>
      <w:r w:rsidRPr="00F276E2">
        <w:t>S1</w:t>
      </w:r>
      <w:r>
        <w:t>. Richness estimates at various filtering thresholds for each of the four sequencing and bioinformatics methods (</w:t>
      </w:r>
      <w:proofErr w:type="spellStart"/>
      <w:r>
        <w:t>MinION</w:t>
      </w:r>
      <w:proofErr w:type="spellEnd"/>
      <w:r>
        <w:t xml:space="preserve"> Full, </w:t>
      </w:r>
      <w:proofErr w:type="spellStart"/>
      <w:r>
        <w:t>MinION</w:t>
      </w:r>
      <w:proofErr w:type="spellEnd"/>
      <w:r>
        <w:t xml:space="preserve"> v34, </w:t>
      </w:r>
      <w:proofErr w:type="spellStart"/>
      <w:r>
        <w:t>MiSeq</w:t>
      </w:r>
      <w:proofErr w:type="spellEnd"/>
      <w:r>
        <w:t xml:space="preserve"> v34, and </w:t>
      </w:r>
      <w:proofErr w:type="spellStart"/>
      <w:r>
        <w:t>MiSeq</w:t>
      </w:r>
      <w:proofErr w:type="spellEnd"/>
      <w:r>
        <w:t xml:space="preserve"> V34 DADA2). Purple dashed line indicates the threshold that is closest to the unfiltered richness estimate from the DADA2 pipeline.</w:t>
      </w:r>
    </w:p>
    <w:p w14:paraId="681C0821" w14:textId="77777777" w:rsidR="00D94E72" w:rsidRDefault="00D94E72" w:rsidP="00D94E72">
      <w:r>
        <w:br w:type="page"/>
      </w:r>
    </w:p>
    <w:p w14:paraId="1670CFB4" w14:textId="77777777" w:rsidR="00D94E72" w:rsidRDefault="00D94E72" w:rsidP="00D94E72">
      <w:pPr>
        <w:spacing w:line="240" w:lineRule="auto"/>
        <w:ind w:firstLine="0"/>
        <w:sectPr w:rsidR="00D94E72" w:rsidSect="00AE7A6D"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299"/>
        </w:sectPr>
      </w:pPr>
    </w:p>
    <w:p w14:paraId="00DCED95" w14:textId="77777777" w:rsidR="00D94E72" w:rsidRDefault="00D94E72" w:rsidP="00D94E72"/>
    <w:p w14:paraId="369321A8" w14:textId="77777777" w:rsidR="00D94E72" w:rsidRDefault="00D94E72" w:rsidP="00D94E72">
      <w:r>
        <w:rPr>
          <w:noProof/>
        </w:rPr>
        <w:drawing>
          <wp:inline distT="0" distB="0" distL="0" distR="0" wp14:anchorId="031ABC29" wp14:editId="33B11E61">
            <wp:extent cx="5943600" cy="4475480"/>
            <wp:effectExtent l="0" t="0" r="0" b="1270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EEA2C" w14:textId="77777777" w:rsidR="00D94E72" w:rsidRDefault="00D94E72" w:rsidP="00D94E72">
      <w:r>
        <w:t xml:space="preserve">Figure S2. </w:t>
      </w:r>
      <w:proofErr w:type="spellStart"/>
      <w:r>
        <w:t>MinION</w:t>
      </w:r>
      <w:proofErr w:type="spellEnd"/>
      <w:r>
        <w:t xml:space="preserve"> Full vs </w:t>
      </w:r>
      <w:proofErr w:type="spellStart"/>
      <w:r>
        <w:t>MiSeq</w:t>
      </w:r>
      <w:proofErr w:type="spellEnd"/>
      <w:r>
        <w:t xml:space="preserve"> V34 DADA2</w:t>
      </w:r>
      <w:r>
        <w:br w:type="page"/>
      </w:r>
      <w:r>
        <w:rPr>
          <w:noProof/>
        </w:rPr>
        <w:lastRenderedPageBreak/>
        <w:drawing>
          <wp:inline distT="0" distB="0" distL="0" distR="0" wp14:anchorId="2CE72C89" wp14:editId="3BA43E37">
            <wp:extent cx="5943600" cy="4641850"/>
            <wp:effectExtent l="0" t="0" r="0" b="6350"/>
            <wp:docPr id="11" name="Picture 1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6B82" w14:textId="77777777" w:rsidR="00D94E72" w:rsidRDefault="00D94E72" w:rsidP="00D94E72">
      <w:r>
        <w:t xml:space="preserve">Figure S3. </w:t>
      </w:r>
      <w:proofErr w:type="spellStart"/>
      <w:r>
        <w:t>MinION</w:t>
      </w:r>
      <w:proofErr w:type="spellEnd"/>
      <w:r>
        <w:t xml:space="preserve"> V34 vs </w:t>
      </w:r>
      <w:proofErr w:type="spellStart"/>
      <w:r>
        <w:t>MiSeq</w:t>
      </w:r>
      <w:proofErr w:type="spellEnd"/>
      <w:r>
        <w:t xml:space="preserve"> V34 DADA2</w:t>
      </w:r>
    </w:p>
    <w:p w14:paraId="2C2B25AE" w14:textId="77777777" w:rsidR="00D94E72" w:rsidRDefault="00D94E72" w:rsidP="00D94E72">
      <w:r>
        <w:br w:type="page"/>
      </w:r>
    </w:p>
    <w:p w14:paraId="0E515AAE" w14:textId="77777777" w:rsidR="00D94E72" w:rsidRDefault="00D94E72" w:rsidP="00D94E72">
      <w:r>
        <w:rPr>
          <w:noProof/>
        </w:rPr>
        <w:lastRenderedPageBreak/>
        <w:drawing>
          <wp:inline distT="0" distB="0" distL="0" distR="0" wp14:anchorId="26F39188" wp14:editId="6922E82B">
            <wp:extent cx="5943600" cy="4243705"/>
            <wp:effectExtent l="0" t="0" r="0" b="4445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9036" w14:textId="77777777" w:rsidR="00D94E72" w:rsidRDefault="00D94E72" w:rsidP="00D94E72">
      <w:r>
        <w:t xml:space="preserve">Figure S4. </w:t>
      </w:r>
      <w:proofErr w:type="spellStart"/>
      <w:r>
        <w:t>MiSeq</w:t>
      </w:r>
      <w:proofErr w:type="spellEnd"/>
      <w:r>
        <w:t xml:space="preserve"> V34 vs </w:t>
      </w:r>
      <w:proofErr w:type="spellStart"/>
      <w:r>
        <w:t>MiSeq</w:t>
      </w:r>
      <w:proofErr w:type="spellEnd"/>
      <w:r>
        <w:t xml:space="preserve"> V34 DADA2</w:t>
      </w:r>
      <w:r>
        <w:br w:type="page"/>
      </w:r>
    </w:p>
    <w:p w14:paraId="30796101" w14:textId="77777777" w:rsidR="00D94E72" w:rsidRDefault="00D94E72" w:rsidP="00D94E72"/>
    <w:p w14:paraId="3B8B20BB" w14:textId="77777777" w:rsidR="00D94E72" w:rsidRDefault="00D94E72" w:rsidP="00D94E72">
      <w:pPr>
        <w:spacing w:line="240" w:lineRule="auto"/>
        <w:ind w:firstLine="0"/>
      </w:pPr>
      <w:r>
        <w:rPr>
          <w:noProof/>
        </w:rPr>
        <w:drawing>
          <wp:inline distT="0" distB="0" distL="0" distR="0" wp14:anchorId="7B31AAAF" wp14:editId="3B6DFF73">
            <wp:extent cx="5943600" cy="4252595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76B4" w14:textId="77777777" w:rsidR="00D94E72" w:rsidRDefault="00D94E72" w:rsidP="00D94E72">
      <w:pPr>
        <w:spacing w:line="240" w:lineRule="auto"/>
        <w:ind w:firstLine="0"/>
      </w:pPr>
      <w:r>
        <w:t xml:space="preserve">Figure </w:t>
      </w:r>
      <w:r w:rsidRPr="00A126EE">
        <w:t>S5</w:t>
      </w:r>
      <w:r>
        <w:t xml:space="preserve">. Taxonomic tree comparing site differences with the </w:t>
      </w:r>
      <w:proofErr w:type="spellStart"/>
      <w:r>
        <w:t>MinION</w:t>
      </w:r>
      <w:proofErr w:type="spellEnd"/>
      <w:r>
        <w:t xml:space="preserve"> Full method. Node size is the study-wide average relative abundance. Node color is the log2 median ratio comparing the ARDEC and Pendleton sites, non-significant Wilcox tests (FDR &gt; 0.05) are shown in grey. Each node represents a taxonomic level from Kingdom to Family.</w:t>
      </w:r>
    </w:p>
    <w:p w14:paraId="5F9DD040" w14:textId="77777777" w:rsidR="00D94E72" w:rsidRDefault="00D94E72" w:rsidP="00D94E72">
      <w:r>
        <w:br w:type="page"/>
      </w:r>
    </w:p>
    <w:p w14:paraId="444B0091" w14:textId="77777777" w:rsidR="00D94E72" w:rsidRDefault="00D94E72" w:rsidP="00D94E72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 wp14:anchorId="05EDACA2" wp14:editId="0A046BC4">
            <wp:extent cx="5943600" cy="4243705"/>
            <wp:effectExtent l="0" t="0" r="0" b="4445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81F0" w14:textId="77777777" w:rsidR="00D94E72" w:rsidRDefault="00D94E72" w:rsidP="00D94E72">
      <w:pPr>
        <w:spacing w:line="240" w:lineRule="auto"/>
        <w:ind w:firstLine="0"/>
      </w:pPr>
    </w:p>
    <w:p w14:paraId="13C27DB3" w14:textId="77777777" w:rsidR="00D94E72" w:rsidRDefault="00D94E72" w:rsidP="00D94E72">
      <w:pPr>
        <w:spacing w:line="240" w:lineRule="auto"/>
        <w:ind w:firstLine="0"/>
      </w:pPr>
      <w:r>
        <w:t xml:space="preserve">Figure </w:t>
      </w:r>
      <w:r w:rsidRPr="00907117">
        <w:t>S6</w:t>
      </w:r>
      <w:r>
        <w:t xml:space="preserve">. Taxonomic tree comparing site differences with the </w:t>
      </w:r>
      <w:proofErr w:type="spellStart"/>
      <w:r>
        <w:t>MinION</w:t>
      </w:r>
      <w:proofErr w:type="spellEnd"/>
      <w:r>
        <w:t xml:space="preserve"> V34 method. Node size is the study-wide average relative abundance. Node color is the log2 median ratio comparing the ARDEC and Pendleton sites, non-significant Wilcox tests (FDR &gt; 0.05) are shown in grey. Each node represents a taxonomic level from Kingdom to Family.</w:t>
      </w:r>
    </w:p>
    <w:p w14:paraId="275D07A2" w14:textId="77777777" w:rsidR="00D94E72" w:rsidRDefault="00D94E72" w:rsidP="00D94E72">
      <w:r>
        <w:br w:type="page"/>
      </w:r>
    </w:p>
    <w:p w14:paraId="36FA8FE5" w14:textId="77777777" w:rsidR="00D94E72" w:rsidRDefault="00D94E72" w:rsidP="00D94E72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 wp14:anchorId="66A6F86C" wp14:editId="2E95263F">
            <wp:extent cx="5943600" cy="4252595"/>
            <wp:effectExtent l="0" t="0" r="0" b="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06F4" w14:textId="77777777" w:rsidR="00D94E72" w:rsidRDefault="00D94E72" w:rsidP="00D94E72">
      <w:pPr>
        <w:spacing w:line="240" w:lineRule="auto"/>
        <w:ind w:firstLine="0"/>
      </w:pPr>
      <w:r>
        <w:t xml:space="preserve">Figure </w:t>
      </w:r>
      <w:r w:rsidRPr="00A95CAB">
        <w:t>S7</w:t>
      </w:r>
      <w:r>
        <w:t xml:space="preserve">. Taxonomic tree comparing site differences with the </w:t>
      </w:r>
      <w:proofErr w:type="spellStart"/>
      <w:r>
        <w:t>MiSeq</w:t>
      </w:r>
      <w:proofErr w:type="spellEnd"/>
      <w:r>
        <w:t xml:space="preserve"> V34 method. Node size is the study-wide average relative abundance. Node color is the log2 median ratio comparing the ARDEC and Pendleton sites, non-significant Wilcox tests (FDR &gt; 0.05) are shown in grey. Each node represents a taxonomic level from Kingdom to Family.</w:t>
      </w:r>
    </w:p>
    <w:p w14:paraId="4F6A9269" w14:textId="77777777" w:rsidR="00D94E72" w:rsidRDefault="00D94E72" w:rsidP="00D94E72">
      <w:r>
        <w:br w:type="page"/>
      </w:r>
    </w:p>
    <w:p w14:paraId="467FA2D5" w14:textId="77777777" w:rsidR="00D94E72" w:rsidRDefault="00D94E72" w:rsidP="00D94E72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 wp14:anchorId="2AE8FEA7" wp14:editId="477E163F">
            <wp:extent cx="5943600" cy="4243705"/>
            <wp:effectExtent l="0" t="0" r="0" b="4445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934E" w14:textId="77777777" w:rsidR="00D94E72" w:rsidRDefault="00D94E72" w:rsidP="00D94E72">
      <w:pPr>
        <w:spacing w:line="240" w:lineRule="auto"/>
        <w:ind w:firstLine="0"/>
      </w:pPr>
      <w:r>
        <w:t xml:space="preserve">Figure </w:t>
      </w:r>
      <w:r w:rsidRPr="0084739D">
        <w:t>S</w:t>
      </w:r>
      <w:r>
        <w:t xml:space="preserve">8. Taxonomic tree comparing site differences with the </w:t>
      </w:r>
      <w:proofErr w:type="spellStart"/>
      <w:r>
        <w:t>MiSeq</w:t>
      </w:r>
      <w:proofErr w:type="spellEnd"/>
      <w:r>
        <w:t xml:space="preserve"> V34 DADA2 method. Node size is the study-wide average relative abundance. Node color is the log2 median ratio comparing the ARDEC and Pendleton sites, non-significant Wilcox tests (FDR &gt; 0.05) are shown in grey. Each node represents a taxonomic level from Kingdom to Family.</w:t>
      </w:r>
    </w:p>
    <w:p w14:paraId="109DED95" w14:textId="77777777" w:rsidR="00D94E72" w:rsidRDefault="00D94E72" w:rsidP="00D94E72">
      <w:pPr>
        <w:spacing w:line="240" w:lineRule="auto"/>
        <w:ind w:firstLine="0"/>
      </w:pPr>
    </w:p>
    <w:p w14:paraId="15B0233B" w14:textId="77777777" w:rsidR="00D94E72" w:rsidRDefault="00D94E72" w:rsidP="00D94E72">
      <w:pPr>
        <w:spacing w:line="240" w:lineRule="auto"/>
        <w:ind w:firstLine="0"/>
      </w:pPr>
    </w:p>
    <w:p w14:paraId="21444775" w14:textId="77777777" w:rsidR="00D94E72" w:rsidRDefault="00D94E72" w:rsidP="00D94E72">
      <w:pPr>
        <w:spacing w:line="240" w:lineRule="auto"/>
        <w:ind w:left="720" w:hanging="720"/>
      </w:pPr>
    </w:p>
    <w:p w14:paraId="0B908B12" w14:textId="77777777" w:rsidR="000C0524" w:rsidRDefault="000C0524"/>
    <w:sectPr w:rsidR="000C0524" w:rsidSect="00412D3B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6DC"/>
    <w:rsid w:val="000C0524"/>
    <w:rsid w:val="003336DC"/>
    <w:rsid w:val="00D9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E9D2D"/>
  <w15:chartTrackingRefBased/>
  <w15:docId w15:val="{E7544B17-B0BB-4CA7-939E-BF94344F7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E72"/>
    <w:pPr>
      <w:spacing w:after="0" w:line="480" w:lineRule="auto"/>
      <w:ind w:firstLine="720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4E72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4E72"/>
    <w:rPr>
      <w:rFonts w:ascii="Arial" w:eastAsia="Arial" w:hAnsi="Arial" w:cs="Arial"/>
      <w:sz w:val="40"/>
      <w:szCs w:val="40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267</Words>
  <Characters>1579</Characters>
  <Application>Microsoft Office Word</Application>
  <DocSecurity>0</DocSecurity>
  <Lines>25</Lines>
  <Paragraphs>6</Paragraphs>
  <ScaleCrop>false</ScaleCrop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Stevens, Bo - ARS</dc:creator>
  <cp:keywords/>
  <dc:description/>
  <cp:lastModifiedBy>Stevens, Bo - ARS</cp:lastModifiedBy>
  <cp:revision>2</cp:revision>
  <dcterms:created xsi:type="dcterms:W3CDTF">2022-06-06T19:45:00Z</dcterms:created>
  <dcterms:modified xsi:type="dcterms:W3CDTF">2022-06-06T19:45:00Z</dcterms:modified>
</cp:coreProperties>
</file>