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6A4A0" w14:textId="77777777" w:rsidR="00B55453" w:rsidRPr="008D51EF" w:rsidRDefault="00B55453" w:rsidP="00B55453">
      <w:pPr>
        <w:autoSpaceDE w:val="0"/>
        <w:autoSpaceDN w:val="0"/>
        <w:adjustRightInd w:val="0"/>
        <w:spacing w:after="0" w:line="480" w:lineRule="auto"/>
        <w:ind w:left="-270"/>
        <w:rPr>
          <w:rFonts w:cs="Times New Roman"/>
          <w:b/>
          <w:color w:val="000000"/>
          <w:szCs w:val="24"/>
        </w:rPr>
      </w:pPr>
      <w:r w:rsidRPr="008D51EF">
        <w:rPr>
          <w:rFonts w:cs="Times New Roman"/>
          <w:b/>
          <w:color w:val="000000"/>
          <w:szCs w:val="24"/>
        </w:rPr>
        <w:t>Variables under investigation</w:t>
      </w:r>
    </w:p>
    <w:p w14:paraId="7AD67932" w14:textId="77777777" w:rsidR="00B55453" w:rsidRPr="00780D01" w:rsidRDefault="00B55453" w:rsidP="00B55453">
      <w:pPr>
        <w:autoSpaceDE w:val="0"/>
        <w:autoSpaceDN w:val="0"/>
        <w:adjustRightInd w:val="0"/>
        <w:spacing w:after="0"/>
        <w:ind w:left="-270"/>
        <w:rPr>
          <w:rFonts w:cs="Times New Roman"/>
          <w:szCs w:val="24"/>
        </w:rPr>
      </w:pPr>
      <w:r w:rsidRPr="00780D01">
        <w:rPr>
          <w:rFonts w:cs="Times New Roman"/>
          <w:szCs w:val="24"/>
        </w:rPr>
        <w:t>The longitudinal response variables for current study were CD4 cell count and BMI. The two response variables are different in nature. CD4 cell count is count</w:t>
      </w:r>
      <w:r>
        <w:rPr>
          <w:rFonts w:cs="Times New Roman"/>
          <w:szCs w:val="24"/>
        </w:rPr>
        <w:t xml:space="preserve">/discrete </w:t>
      </w:r>
      <w:r w:rsidRPr="00780D01">
        <w:rPr>
          <w:rFonts w:cs="Times New Roman"/>
          <w:szCs w:val="24"/>
        </w:rPr>
        <w:t xml:space="preserve"> in nature and BMI calculated using weight and height of a patient as BMI</w:t>
      </w:r>
      <w:r>
        <w:rPr>
          <w:rFonts w:cs="Times New Roman"/>
          <w:szCs w:val="24"/>
        </w:rPr>
        <w:t xml:space="preserve"> </w:t>
      </w:r>
      <w:r w:rsidRPr="00780D01">
        <w:rPr>
          <w:rFonts w:cs="Times New Roman"/>
          <w:szCs w:val="24"/>
        </w:rPr>
        <w:t xml:space="preserve">= </w:t>
      </w:r>
      <m:oMath>
        <m:f>
          <m:fPr>
            <m:ctrlPr>
              <w:rPr>
                <w:rFonts w:ascii="Cambria Math" w:hAnsi="Cambria Math" w:cs="Times New Roman"/>
                <w:b/>
                <w:szCs w:val="24"/>
              </w:rPr>
            </m:ctrlPr>
          </m:fPr>
          <m:num>
            <m:r>
              <m:rPr>
                <m:sty m:val="b"/>
              </m:rPr>
              <w:rPr>
                <w:rFonts w:ascii="Cambria Math" w:hAnsi="Cambria Math" w:cs="Times New Roman"/>
                <w:szCs w:val="24"/>
              </w:rPr>
              <m:t>weight</m:t>
            </m:r>
            <m:r>
              <m:rPr>
                <m:sty m:val="b"/>
              </m:rPr>
              <w:rPr>
                <w:rFonts w:ascii="Cambria Math" w:cs="Times New Roman"/>
                <w:szCs w:val="24"/>
              </w:rPr>
              <m:t xml:space="preserve"> </m:t>
            </m:r>
            <m:r>
              <m:rPr>
                <m:sty m:val="b"/>
              </m:rPr>
              <w:rPr>
                <w:rFonts w:ascii="Cambria Math" w:hAnsi="Cambria Math" w:cs="Times New Roman"/>
                <w:szCs w:val="24"/>
              </w:rPr>
              <m:t>in</m:t>
            </m:r>
            <m:r>
              <m:rPr>
                <m:sty m:val="b"/>
              </m:rPr>
              <w:rPr>
                <w:rFonts w:ascii="Cambria Math" w:cs="Times New Roman"/>
                <w:szCs w:val="24"/>
              </w:rPr>
              <m:t xml:space="preserve"> </m:t>
            </m:r>
            <m:r>
              <m:rPr>
                <m:sty m:val="b"/>
              </m:rPr>
              <w:rPr>
                <w:rFonts w:ascii="Cambria Math" w:hAnsi="Cambria Math" w:cs="Times New Roman"/>
                <w:szCs w:val="24"/>
              </w:rPr>
              <m:t>kg</m:t>
            </m:r>
          </m:num>
          <m:den>
            <m:sSup>
              <m:sSupPr>
                <m:ctrlPr>
                  <w:rPr>
                    <w:rFonts w:ascii="Cambria Math" w:hAnsi="Cambria Math" w:cs="Times New Roman"/>
                    <w:b/>
                    <w:szCs w:val="24"/>
                  </w:rPr>
                </m:ctrlPr>
              </m:sSupPr>
              <m:e>
                <m:r>
                  <m:rPr>
                    <m:sty m:val="b"/>
                  </m:rPr>
                  <w:rPr>
                    <w:rFonts w:ascii="Cambria Math" w:cs="Times New Roman"/>
                    <w:szCs w:val="24"/>
                  </w:rPr>
                  <m:t>(</m:t>
                </m:r>
                <m:r>
                  <m:rPr>
                    <m:sty m:val="b"/>
                  </m:rPr>
                  <w:rPr>
                    <w:rFonts w:ascii="Cambria Math" w:hAnsi="Cambria Math" w:cs="Times New Roman"/>
                    <w:szCs w:val="24"/>
                  </w:rPr>
                  <m:t>height</m:t>
                </m:r>
                <m:r>
                  <m:rPr>
                    <m:sty m:val="b"/>
                  </m:rPr>
                  <w:rPr>
                    <w:rFonts w:ascii="Cambria Math" w:cs="Times New Roman"/>
                    <w:szCs w:val="24"/>
                  </w:rPr>
                  <m:t xml:space="preserve"> </m:t>
                </m:r>
                <m:r>
                  <m:rPr>
                    <m:sty m:val="b"/>
                  </m:rPr>
                  <w:rPr>
                    <w:rFonts w:ascii="Cambria Math" w:hAnsi="Cambria Math" w:cs="Times New Roman"/>
                    <w:szCs w:val="24"/>
                  </w:rPr>
                  <m:t>in</m:t>
                </m:r>
                <m:r>
                  <m:rPr>
                    <m:sty m:val="b"/>
                  </m:rPr>
                  <w:rPr>
                    <w:rFonts w:ascii="Cambria Math" w:cs="Times New Roman"/>
                    <w:szCs w:val="24"/>
                  </w:rPr>
                  <m:t xml:space="preserve"> </m:t>
                </m:r>
                <m:r>
                  <m:rPr>
                    <m:sty m:val="b"/>
                  </m:rPr>
                  <w:rPr>
                    <w:rFonts w:ascii="Cambria Math" w:hAnsi="Cambria Math" w:cs="Times New Roman"/>
                    <w:szCs w:val="24"/>
                  </w:rPr>
                  <m:t>meter</m:t>
                </m:r>
                <m:r>
                  <m:rPr>
                    <m:sty m:val="b"/>
                  </m:rPr>
                  <w:rPr>
                    <w:rFonts w:ascii="Cambria Math" w:cs="Times New Roman"/>
                    <w:szCs w:val="24"/>
                  </w:rPr>
                  <m:t>)</m:t>
                </m:r>
              </m:e>
              <m:sup>
                <m:r>
                  <m:rPr>
                    <m:sty m:val="b"/>
                  </m:rPr>
                  <w:rPr>
                    <w:rFonts w:ascii="Cambria Math" w:hAnsi="Cambria Math" w:cs="Times New Roman"/>
                    <w:szCs w:val="24"/>
                  </w:rPr>
                  <m:t>2</m:t>
                </m:r>
              </m:sup>
            </m:sSup>
          </m:den>
        </m:f>
      </m:oMath>
      <w:r w:rsidRPr="00780D01">
        <w:rPr>
          <w:rFonts w:cs="Times New Roman"/>
          <w:szCs w:val="24"/>
        </w:rPr>
        <w:t xml:space="preserve"> and obtained from the hospital is categorized as normal (if </w:t>
      </w:r>
      <w:r w:rsidRPr="00A42019">
        <w:rPr>
          <w:rFonts w:cs="Times New Roman"/>
          <w:sz w:val="22"/>
        </w:rPr>
        <w:t>18.5 kg/m2&lt; BMI&lt; 24.9kg/m2</w:t>
      </w:r>
      <w:r w:rsidRPr="00780D01">
        <w:rPr>
          <w:rFonts w:cs="Times New Roman"/>
          <w:szCs w:val="24"/>
        </w:rPr>
        <w:t xml:space="preserve">) and </w:t>
      </w:r>
      <w:r>
        <w:rPr>
          <w:rFonts w:cs="Times New Roman"/>
          <w:szCs w:val="24"/>
        </w:rPr>
        <w:t>abnormal</w:t>
      </w:r>
      <w:r w:rsidRPr="00780D01">
        <w:rPr>
          <w:rFonts w:cs="Times New Roman"/>
          <w:szCs w:val="24"/>
        </w:rPr>
        <w:t xml:space="preserve"> (under</w:t>
      </w:r>
      <w:r>
        <w:rPr>
          <w:rFonts w:cs="Times New Roman"/>
          <w:szCs w:val="24"/>
        </w:rPr>
        <w:t>-</w:t>
      </w:r>
      <w:r w:rsidRPr="00780D01">
        <w:rPr>
          <w:rFonts w:cs="Times New Roman"/>
          <w:szCs w:val="24"/>
        </w:rPr>
        <w:t xml:space="preserve">weight (if </w:t>
      </w:r>
      <w:r w:rsidRPr="00A42019">
        <w:rPr>
          <w:rFonts w:cs="Times New Roman"/>
          <w:sz w:val="22"/>
        </w:rPr>
        <w:t>BMI&lt;18.5 kg/m2</w:t>
      </w:r>
      <w:r w:rsidRPr="00780D01">
        <w:rPr>
          <w:rFonts w:cs="Times New Roman"/>
          <w:szCs w:val="24"/>
        </w:rPr>
        <w:t>)/ over</w:t>
      </w:r>
      <w:r>
        <w:rPr>
          <w:rFonts w:cs="Times New Roman"/>
          <w:szCs w:val="24"/>
        </w:rPr>
        <w:t>-</w:t>
      </w:r>
      <w:r w:rsidRPr="00780D01">
        <w:rPr>
          <w:rFonts w:cs="Times New Roman"/>
          <w:szCs w:val="24"/>
        </w:rPr>
        <w:t xml:space="preserve">weight(if </w:t>
      </w:r>
      <w:r w:rsidRPr="00A42019">
        <w:rPr>
          <w:rFonts w:cs="Times New Roman"/>
          <w:sz w:val="22"/>
        </w:rPr>
        <w:t>BMI &gt; 25kg/m2</w:t>
      </w:r>
      <w:r w:rsidRPr="00780D01">
        <w:rPr>
          <w:rFonts w:cs="Times New Roman"/>
          <w:szCs w:val="24"/>
        </w:rPr>
        <w:t xml:space="preserve">))  which is dichotomous in nature.  </w:t>
      </w:r>
    </w:p>
    <w:p w14:paraId="10F462BC" w14:textId="77777777" w:rsidR="00B55453" w:rsidRPr="00780D01" w:rsidRDefault="00B55453" w:rsidP="00B55453">
      <w:pPr>
        <w:autoSpaceDE w:val="0"/>
        <w:autoSpaceDN w:val="0"/>
        <w:adjustRightInd w:val="0"/>
        <w:spacing w:after="0"/>
        <w:ind w:left="-270"/>
        <w:rPr>
          <w:rFonts w:cs="Times New Roman"/>
          <w:color w:val="000000"/>
          <w:szCs w:val="24"/>
        </w:rPr>
      </w:pPr>
      <w:r w:rsidRPr="00780D01">
        <w:rPr>
          <w:rFonts w:cs="Times New Roman"/>
          <w:szCs w:val="24"/>
        </w:rPr>
        <w:t xml:space="preserve">On the other hand, the predictor variables for the two responses were age in years, gender  (male, female), marital status (living with partner, living without partner), ownership of cell phone (yes, no), weight in kilogram, </w:t>
      </w:r>
      <w:r>
        <w:rPr>
          <w:rFonts w:cs="Times New Roman"/>
          <w:szCs w:val="24"/>
        </w:rPr>
        <w:t xml:space="preserve">height in meters, </w:t>
      </w:r>
      <w:r w:rsidRPr="00780D01">
        <w:rPr>
          <w:rFonts w:cs="Times New Roman"/>
          <w:szCs w:val="24"/>
        </w:rPr>
        <w:t xml:space="preserve">baseline CD4 cell count in cells/mm3, disclosure of the disease (yes, no), </w:t>
      </w:r>
      <w:r w:rsidRPr="00780D01">
        <w:rPr>
          <w:rFonts w:cs="Times New Roman"/>
          <w:color w:val="000000"/>
          <w:szCs w:val="24"/>
        </w:rPr>
        <w:t>educational status (no education, primary, secondary and tertiary),  residential area (rural, urban), WHO stages (stage1, stage2, stage3 and stage4), medication adherence (adherent, non-adherent), level of income (low, middle and high), follow up times/visits</w:t>
      </w:r>
      <w:r>
        <w:rPr>
          <w:rFonts w:cs="Times New Roman"/>
          <w:color w:val="000000"/>
          <w:szCs w:val="24"/>
        </w:rPr>
        <w:t xml:space="preserve"> </w:t>
      </w:r>
      <w:r w:rsidRPr="00780D01">
        <w:rPr>
          <w:rFonts w:cs="Times New Roman"/>
          <w:color w:val="000000"/>
          <w:szCs w:val="24"/>
        </w:rPr>
        <w:t>(1,2….23) and dietary instruction adherence(</w:t>
      </w:r>
      <w:r>
        <w:rPr>
          <w:rFonts w:cs="Times New Roman"/>
          <w:color w:val="000000"/>
          <w:szCs w:val="24"/>
        </w:rPr>
        <w:t>adherent</w:t>
      </w:r>
      <w:r w:rsidRPr="00780D01">
        <w:rPr>
          <w:rFonts w:cs="Times New Roman"/>
          <w:color w:val="000000"/>
          <w:szCs w:val="24"/>
        </w:rPr>
        <w:t>, no</w:t>
      </w:r>
      <w:r>
        <w:rPr>
          <w:rFonts w:cs="Times New Roman"/>
          <w:color w:val="000000"/>
          <w:szCs w:val="24"/>
        </w:rPr>
        <w:t>n-adherent</w:t>
      </w:r>
      <w:r w:rsidRPr="00780D01">
        <w:rPr>
          <w:rFonts w:cs="Times New Roman"/>
          <w:color w:val="000000"/>
          <w:szCs w:val="24"/>
        </w:rPr>
        <w:t>).</w:t>
      </w:r>
      <w:r w:rsidRPr="00780D01">
        <w:rPr>
          <w:rFonts w:cs="Times New Roman"/>
          <w:color w:val="131413"/>
          <w:szCs w:val="24"/>
        </w:rPr>
        <w:t xml:space="preserve"> Self-reported data were also employed to assess whether there is social support from the community around them and for the existence of </w:t>
      </w:r>
      <w:r>
        <w:rPr>
          <w:rFonts w:cs="Times New Roman"/>
          <w:color w:val="131413"/>
          <w:szCs w:val="24"/>
        </w:rPr>
        <w:t xml:space="preserve">mental </w:t>
      </w:r>
      <w:r w:rsidRPr="00780D01">
        <w:rPr>
          <w:rFonts w:cs="Times New Roman"/>
          <w:color w:val="131413"/>
          <w:szCs w:val="24"/>
        </w:rPr>
        <w:t xml:space="preserve">depression </w:t>
      </w:r>
      <w:r>
        <w:rPr>
          <w:rFonts w:cs="Times New Roman"/>
          <w:color w:val="131413"/>
          <w:szCs w:val="24"/>
        </w:rPr>
        <w:t>of</w:t>
      </w:r>
      <w:r w:rsidRPr="00780D01">
        <w:rPr>
          <w:rFonts w:cs="Times New Roman"/>
          <w:color w:val="131413"/>
          <w:szCs w:val="24"/>
        </w:rPr>
        <w:t xml:space="preserve"> patients under HAART.</w:t>
      </w:r>
    </w:p>
    <w:p w14:paraId="0A7C8B9C" w14:textId="77777777" w:rsidR="00B55453" w:rsidRPr="00D61C30" w:rsidRDefault="00B55453" w:rsidP="00B55453">
      <w:pPr>
        <w:autoSpaceDE w:val="0"/>
        <w:autoSpaceDN w:val="0"/>
        <w:adjustRightInd w:val="0"/>
        <w:spacing w:after="0"/>
        <w:ind w:left="-270"/>
        <w:rPr>
          <w:rFonts w:cs="Times New Roman"/>
          <w:b/>
          <w:color w:val="000000"/>
          <w:szCs w:val="24"/>
        </w:rPr>
      </w:pPr>
      <w:r w:rsidRPr="00D61C30">
        <w:rPr>
          <w:rFonts w:cs="Times New Roman"/>
          <w:b/>
          <w:color w:val="000000"/>
          <w:szCs w:val="24"/>
        </w:rPr>
        <w:t>Statistical models for current investigation</w:t>
      </w:r>
    </w:p>
    <w:p w14:paraId="670493D2" w14:textId="77777777" w:rsidR="00B55453" w:rsidRDefault="00B55453" w:rsidP="00B55453">
      <w:pPr>
        <w:autoSpaceDE w:val="0"/>
        <w:autoSpaceDN w:val="0"/>
        <w:adjustRightInd w:val="0"/>
        <w:spacing w:after="0"/>
        <w:ind w:left="-270"/>
        <w:rPr>
          <w:rFonts w:cs="Times New Roman"/>
          <w:color w:val="000000"/>
          <w:szCs w:val="24"/>
        </w:rPr>
      </w:pPr>
      <w:r w:rsidRPr="00826A28">
        <w:rPr>
          <w:rFonts w:cs="Times New Roman"/>
          <w:color w:val="000000"/>
          <w:szCs w:val="24"/>
        </w:rPr>
        <w:t xml:space="preserve">The standard model for count data is Poisson distribution. It is, therefore, useful at the outset to review some fundamental properties and characterize results of the Poisson distribution. If the discrete random variable Y has Poisson distribution with intensity or rate parameter </w:t>
      </w:r>
      <w:r w:rsidRPr="00826A28">
        <w:rPr>
          <w:rFonts w:cs="Times New Roman"/>
          <w:i/>
          <w:iCs/>
          <w:color w:val="000000"/>
          <w:szCs w:val="24"/>
        </w:rPr>
        <w:t>μ</w:t>
      </w:r>
      <w:r w:rsidRPr="00826A28">
        <w:rPr>
          <w:rFonts w:cs="Times New Roman"/>
          <w:color w:val="000000"/>
          <w:szCs w:val="24"/>
        </w:rPr>
        <w:t xml:space="preserve">,   </w:t>
      </w:r>
      <w:r w:rsidRPr="00826A28">
        <w:rPr>
          <w:rFonts w:cs="Times New Roman"/>
          <w:i/>
          <w:iCs/>
          <w:color w:val="000000"/>
          <w:szCs w:val="24"/>
        </w:rPr>
        <w:t xml:space="preserve">μ </w:t>
      </w:r>
      <w:r w:rsidRPr="00826A28">
        <w:rPr>
          <w:rFonts w:cs="Times New Roman"/>
          <w:color w:val="000000"/>
          <w:szCs w:val="24"/>
        </w:rPr>
        <w:t xml:space="preserve">&gt; 0 and t is the exposure defined as the length of time which the event </w:t>
      </w:r>
      <w:r>
        <w:rPr>
          <w:rFonts w:cs="Times New Roman"/>
          <w:color w:val="000000"/>
          <w:szCs w:val="24"/>
        </w:rPr>
        <w:t xml:space="preserve">is </w:t>
      </w:r>
      <w:r w:rsidRPr="00826A28">
        <w:rPr>
          <w:rFonts w:cs="Times New Roman"/>
          <w:color w:val="000000"/>
          <w:szCs w:val="24"/>
        </w:rPr>
        <w:t>recorded, then Y has the density</w:t>
      </w:r>
      <w:r>
        <w:rPr>
          <w:rFonts w:cs="Times New Roman"/>
          <w:szCs w:val="24"/>
        </w:rPr>
        <w:fldChar w:fldCharType="begin"/>
      </w:r>
      <w:r>
        <w:rPr>
          <w:rFonts w:cs="Times New Roman"/>
          <w:szCs w:val="24"/>
        </w:rPr>
        <w:instrText xml:space="preserve"> ADDIN EN.CITE &lt;EndNote&gt;&lt;Cite&gt;&lt;Author&gt;Seyoum&lt;/Author&gt;&lt;Year&gt;2016&lt;/Year&gt;&lt;RecNum&gt;819&lt;/RecNum&gt;&lt;DisplayText&gt;[23]&lt;/DisplayText&gt;&lt;record&gt;&lt;rec-number&gt;819&lt;/rec-number&gt;&lt;foreign-keys&gt;&lt;key app="EN" db-id="vvzvxs0z3p5pf2e2e2op5zfdrrsr5d52fw2f"&gt;819&lt;/key&gt;&lt;/foreign-keys&gt;&lt;ref-type name="Journal Article"&gt;17&lt;/ref-type&gt;&lt;contributors&gt;&lt;authors&gt;&lt;author&gt;Seyoum, Awoke&lt;/author&gt;&lt;author&gt;Zewotir, Temesgen&lt;/author&gt;&lt;/authors&gt;&lt;/contributors&gt;&lt;titles&gt;&lt;title&gt;Quasi-Poisson versus negative binomial regression models in identifying factors affecting initial CD4 cell count change due to antiretroviral therapy administered to HIV-positive adults in north–West Ethiopia (Amhara region)&lt;/title&gt;&lt;secondary-title&gt;AIDS research and therapy&lt;/secondary-title&gt;&lt;/titles&gt;&lt;periodical&gt;&lt;full-title&gt;AIDS research and therapy&lt;/full-title&gt;&lt;/periodical&gt;&lt;pages&gt;36&lt;/pages&gt;&lt;volume&gt;13&lt;/volume&gt;&lt;number&gt;1&lt;/number&gt;&lt;dates&gt;&lt;year&gt;2016&lt;/year&gt;&lt;/dates&gt;&lt;isbn&gt;1742-6405&lt;/isbn&gt;&lt;urls&gt;&lt;/urls&gt;&lt;/record&gt;&lt;/Cite&gt;&lt;/EndNote&gt;</w:instrText>
      </w:r>
      <w:r>
        <w:rPr>
          <w:rFonts w:cs="Times New Roman"/>
          <w:szCs w:val="24"/>
        </w:rPr>
        <w:fldChar w:fldCharType="separate"/>
      </w:r>
      <w:r>
        <w:rPr>
          <w:rFonts w:cs="Times New Roman"/>
          <w:noProof/>
          <w:szCs w:val="24"/>
        </w:rPr>
        <w:t>[</w:t>
      </w:r>
      <w:hyperlink w:anchor="_ENREF_23" w:tooltip="Seyoum, 2016 #819" w:history="1">
        <w:r>
          <w:rPr>
            <w:rFonts w:cs="Times New Roman"/>
            <w:noProof/>
            <w:szCs w:val="24"/>
          </w:rPr>
          <w:t>23</w:t>
        </w:r>
      </w:hyperlink>
      <w:r>
        <w:rPr>
          <w:rFonts w:cs="Times New Roman"/>
          <w:noProof/>
          <w:szCs w:val="24"/>
        </w:rPr>
        <w:t>]</w:t>
      </w:r>
      <w:r>
        <w:rPr>
          <w:rFonts w:cs="Times New Roman"/>
          <w:szCs w:val="24"/>
        </w:rPr>
        <w:fldChar w:fldCharType="end"/>
      </w:r>
      <w:r>
        <w:rPr>
          <w:rFonts w:cs="Times New Roman"/>
          <w:szCs w:val="24"/>
        </w:rPr>
        <w:t>.</w:t>
      </w:r>
    </w:p>
    <w:p w14:paraId="35A7C950" w14:textId="77777777" w:rsidR="00B55453" w:rsidRPr="00826A28" w:rsidRDefault="00B55453" w:rsidP="00B55453">
      <w:pPr>
        <w:autoSpaceDE w:val="0"/>
        <w:autoSpaceDN w:val="0"/>
        <w:adjustRightInd w:val="0"/>
        <w:spacing w:after="0"/>
        <w:jc w:val="right"/>
        <w:rPr>
          <w:rFonts w:eastAsiaTheme="minorEastAsia" w:cs="Times New Roman"/>
          <w:color w:val="000000"/>
          <w:szCs w:val="24"/>
        </w:rPr>
      </w:pPr>
      <m:oMath>
        <m:d>
          <m:dPr>
            <m:begChr m:val="{"/>
            <m:endChr m:val=""/>
            <m:ctrlPr>
              <w:rPr>
                <w:rFonts w:ascii="Cambria Math" w:hAnsi="Cambria Math" w:cs="Times New Roman"/>
                <w:i/>
                <w:color w:val="000000"/>
                <w:szCs w:val="24"/>
              </w:rPr>
            </m:ctrlPr>
          </m:dPr>
          <m:e>
            <m:r>
              <m:rPr>
                <m:sty m:val="p"/>
              </m:rPr>
              <w:rPr>
                <w:rFonts w:ascii="Cambria Math" w:hAnsi="Cambria Math" w:cs="Times New Roman"/>
                <w:color w:val="000000"/>
                <w:szCs w:val="24"/>
              </w:rPr>
              <m:t>Pr</m:t>
            </m:r>
          </m:e>
        </m:d>
      </m:oMath>
      <w:r w:rsidRPr="00826A28">
        <w:rPr>
          <w:rFonts w:cs="Times New Roman"/>
          <w:color w:val="000000"/>
          <w:szCs w:val="24"/>
        </w:rPr>
        <w:t xml:space="preserve"> (Y=y)</w:t>
      </w:r>
      <w:r>
        <w:rPr>
          <w:rFonts w:cs="Times New Roman"/>
          <w:color w:val="000000"/>
          <w:szCs w:val="24"/>
        </w:rPr>
        <w:t xml:space="preserve"> </w:t>
      </w:r>
      <w:r w:rsidRPr="00826A28">
        <w:rPr>
          <w:rFonts w:cs="Times New Roman"/>
          <w:color w:val="000000"/>
          <w:szCs w:val="24"/>
        </w:rPr>
        <w:t>=</w:t>
      </w:r>
      <w:r>
        <w:rPr>
          <w:rFonts w:cs="Times New Roman"/>
          <w:color w:val="000000"/>
          <w:szCs w:val="24"/>
        </w:rPr>
        <w:t xml:space="preserve"> </w:t>
      </w:r>
      <w:r w:rsidRPr="00826A28">
        <w:rPr>
          <w:rFonts w:cs="Times New Roman"/>
          <w:color w:val="000000"/>
          <w:szCs w:val="24"/>
        </w:rPr>
        <w:t xml:space="preserve"> </w:t>
      </w:r>
      <m:oMath>
        <m:f>
          <m:fPr>
            <m:ctrlPr>
              <w:rPr>
                <w:rFonts w:ascii="Cambria Math" w:hAnsi="Cambria Math" w:cs="Times New Roman"/>
                <w:i/>
                <w:color w:val="000000"/>
                <w:szCs w:val="24"/>
              </w:rPr>
            </m:ctrlPr>
          </m:fPr>
          <m:num>
            <m:sSup>
              <m:sSupPr>
                <m:ctrlPr>
                  <w:rPr>
                    <w:rFonts w:ascii="Cambria Math" w:hAnsi="Cambria Math" w:cs="Times New Roman"/>
                    <w:i/>
                    <w:color w:val="000000"/>
                    <w:szCs w:val="24"/>
                  </w:rPr>
                </m:ctrlPr>
              </m:sSupPr>
              <m:e>
                <m:r>
                  <w:rPr>
                    <w:rFonts w:ascii="Cambria Math" w:hAnsi="Cambria Math" w:cs="Times New Roman"/>
                    <w:color w:val="000000"/>
                    <w:szCs w:val="24"/>
                  </w:rPr>
                  <m:t>e</m:t>
                </m:r>
              </m:e>
              <m:sup>
                <m:r>
                  <w:rPr>
                    <w:rFonts w:ascii="Cambria Math" w:hAnsi="Cambria Math" w:cs="Times New Roman"/>
                    <w:color w:val="000000"/>
                    <w:szCs w:val="24"/>
                  </w:rPr>
                  <m:t>-μt</m:t>
                </m:r>
              </m:sup>
            </m:sSup>
            <m:r>
              <w:rPr>
                <w:rFonts w:ascii="Cambria Math" w:cs="Times New Roman"/>
                <w:color w:val="000000"/>
                <w:szCs w:val="24"/>
              </w:rPr>
              <m:t>(</m:t>
            </m:r>
            <m:r>
              <w:rPr>
                <w:rFonts w:ascii="Cambria Math" w:hAnsi="Cambria Math" w:cs="Times New Roman"/>
                <w:color w:val="000000"/>
                <w:szCs w:val="24"/>
              </w:rPr>
              <m:t>μt</m:t>
            </m:r>
            <m:sSup>
              <m:sSupPr>
                <m:ctrlPr>
                  <w:rPr>
                    <w:rFonts w:ascii="Cambria Math" w:hAnsi="Cambria Math" w:cs="Times New Roman"/>
                    <w:i/>
                    <w:color w:val="000000"/>
                    <w:szCs w:val="24"/>
                  </w:rPr>
                </m:ctrlPr>
              </m:sSupPr>
              <m:e>
                <m:r>
                  <w:rPr>
                    <w:rFonts w:ascii="Cambria Math" w:cs="Times New Roman"/>
                    <w:color w:val="000000"/>
                    <w:szCs w:val="24"/>
                  </w:rPr>
                  <m:t>)</m:t>
                </m:r>
              </m:e>
              <m:sup>
                <m:r>
                  <w:rPr>
                    <w:rFonts w:ascii="Cambria Math" w:hAnsi="Cambria Math" w:cs="Times New Roman"/>
                    <w:color w:val="000000"/>
                    <w:szCs w:val="24"/>
                  </w:rPr>
                  <m:t>y</m:t>
                </m:r>
              </m:sup>
            </m:sSup>
          </m:num>
          <m:den>
            <m:r>
              <w:rPr>
                <w:rFonts w:ascii="Cambria Math" w:hAnsi="Cambria Math" w:cs="Times New Roman"/>
                <w:color w:val="000000"/>
                <w:szCs w:val="24"/>
              </w:rPr>
              <m:t>y</m:t>
            </m:r>
            <m:r>
              <w:rPr>
                <w:rFonts w:ascii="Cambria Math" w:cs="Times New Roman"/>
                <w:color w:val="000000"/>
                <w:szCs w:val="24"/>
              </w:rPr>
              <m:t>!</m:t>
            </m:r>
          </m:den>
        </m:f>
      </m:oMath>
      <w:r w:rsidRPr="00826A28">
        <w:rPr>
          <w:rFonts w:eastAsiaTheme="minorEastAsia" w:cs="Times New Roman"/>
          <w:color w:val="000000"/>
          <w:szCs w:val="24"/>
        </w:rPr>
        <w:t>, y</w:t>
      </w:r>
      <w:r>
        <w:rPr>
          <w:rFonts w:eastAsiaTheme="minorEastAsia" w:cs="Times New Roman"/>
          <w:color w:val="000000"/>
          <w:szCs w:val="24"/>
        </w:rPr>
        <w:t xml:space="preserve"> </w:t>
      </w:r>
      <w:r w:rsidRPr="00826A28">
        <w:rPr>
          <w:rFonts w:eastAsiaTheme="minorEastAsia" w:cs="Times New Roman"/>
          <w:color w:val="000000"/>
          <w:szCs w:val="24"/>
        </w:rPr>
        <w:t xml:space="preserve">= 0, 1, </w:t>
      </w:r>
      <w:proofErr w:type="gramStart"/>
      <w:r w:rsidRPr="00826A28">
        <w:rPr>
          <w:rFonts w:eastAsiaTheme="minorEastAsia" w:cs="Times New Roman"/>
          <w:color w:val="000000"/>
          <w:szCs w:val="24"/>
        </w:rPr>
        <w:t>2,…</w:t>
      </w:r>
      <w:proofErr w:type="gramEnd"/>
      <w:r w:rsidRPr="00826A28">
        <w:rPr>
          <w:rFonts w:eastAsiaTheme="minorEastAsia" w:cs="Times New Roman"/>
          <w:color w:val="000000"/>
          <w:szCs w:val="24"/>
        </w:rPr>
        <w:t xml:space="preserve">                     (1)</w:t>
      </w:r>
    </w:p>
    <w:p w14:paraId="00E2DCBB" w14:textId="77777777" w:rsidR="00B55453" w:rsidRDefault="00B55453" w:rsidP="00B55453">
      <w:pPr>
        <w:autoSpaceDE w:val="0"/>
        <w:autoSpaceDN w:val="0"/>
        <w:adjustRightInd w:val="0"/>
        <w:spacing w:after="0"/>
        <w:jc w:val="center"/>
        <w:rPr>
          <w:rFonts w:cs="Times New Roman"/>
          <w:color w:val="000000"/>
          <w:szCs w:val="24"/>
        </w:rPr>
      </w:pPr>
    </w:p>
    <w:p w14:paraId="1A3A9D2B" w14:textId="77777777" w:rsidR="00B55453" w:rsidRDefault="00B55453" w:rsidP="00B55453">
      <w:pPr>
        <w:autoSpaceDE w:val="0"/>
        <w:autoSpaceDN w:val="0"/>
        <w:adjustRightInd w:val="0"/>
        <w:spacing w:after="0"/>
        <w:ind w:left="-270"/>
        <w:rPr>
          <w:rFonts w:ascii="BdhkvdWarnockPro-Regular" w:eastAsiaTheme="minorEastAsia" w:hAnsi="BdhkvdWarnockPro-Regular" w:cs="BdhkvdWarnockPro-Regular"/>
          <w:color w:val="000000"/>
          <w:szCs w:val="24"/>
        </w:rPr>
      </w:pPr>
      <w:r w:rsidRPr="00826A28">
        <w:rPr>
          <w:rFonts w:ascii="BdhkvdWarnockPro-Regular" w:eastAsiaTheme="minorEastAsia" w:hAnsi="BdhkvdWarnockPro-Regular" w:cs="BdhkvdWarnockPro-Regular"/>
          <w:color w:val="000000"/>
          <w:szCs w:val="24"/>
        </w:rPr>
        <w:t xml:space="preserve">where E(y)= var(y)= </w:t>
      </w:r>
      <m:oMath>
        <m:r>
          <w:rPr>
            <w:rFonts w:ascii="Cambria Math" w:hAnsi="Cambria Math" w:cs="BdhkvdWarnockPro-Regular"/>
            <w:color w:val="000000"/>
            <w:szCs w:val="24"/>
          </w:rPr>
          <m:t>μt</m:t>
        </m:r>
      </m:oMath>
      <w:r w:rsidRPr="00826A28">
        <w:rPr>
          <w:rFonts w:ascii="BdhkvdWarnockPro-Regular" w:eastAsiaTheme="minorEastAsia" w:hAnsi="BdhkvdWarnockPro-Regular" w:cs="BdhkvdWarnockPro-Regular"/>
          <w:color w:val="000000"/>
          <w:szCs w:val="24"/>
        </w:rPr>
        <w:t xml:space="preserve">. If the time period equals to one, then its density given in (1) equals </w:t>
      </w:r>
      <w:proofErr w:type="gramStart"/>
      <w:r w:rsidRPr="00826A28">
        <w:rPr>
          <w:rFonts w:ascii="BdhkvdWarnockPro-Regular" w:eastAsiaTheme="minorEastAsia" w:hAnsi="BdhkvdWarnockPro-Regular" w:cs="BdhkvdWarnockPro-Regular"/>
          <w:color w:val="000000"/>
          <w:szCs w:val="24"/>
        </w:rPr>
        <w:t>to;</w:t>
      </w:r>
      <w:proofErr w:type="gramEnd"/>
    </w:p>
    <w:p w14:paraId="55AC4D0B" w14:textId="77777777" w:rsidR="00B55453" w:rsidRPr="00826A28" w:rsidRDefault="00B55453" w:rsidP="00B55453">
      <w:pPr>
        <w:autoSpaceDE w:val="0"/>
        <w:autoSpaceDN w:val="0"/>
        <w:adjustRightInd w:val="0"/>
        <w:spacing w:after="0"/>
        <w:ind w:left="-270"/>
        <w:jc w:val="right"/>
        <w:rPr>
          <w:rFonts w:eastAsiaTheme="minorEastAsia" w:cs="Times New Roman"/>
          <w:color w:val="000000"/>
          <w:szCs w:val="24"/>
        </w:rPr>
      </w:pPr>
      <m:oMath>
        <m:d>
          <m:dPr>
            <m:begChr m:val="{"/>
            <m:endChr m:val=""/>
            <m:ctrlPr>
              <w:rPr>
                <w:rFonts w:ascii="Cambria Math" w:hAnsi="Cambria Math" w:cs="Times New Roman"/>
                <w:i/>
                <w:color w:val="000000"/>
                <w:szCs w:val="24"/>
              </w:rPr>
            </m:ctrlPr>
          </m:dPr>
          <m:e>
            <m:r>
              <m:rPr>
                <m:sty m:val="p"/>
              </m:rPr>
              <w:rPr>
                <w:rFonts w:ascii="Cambria Math" w:hAnsi="Cambria Math" w:cs="Times New Roman"/>
                <w:color w:val="000000"/>
                <w:szCs w:val="24"/>
              </w:rPr>
              <m:t>Pr</m:t>
            </m:r>
          </m:e>
        </m:d>
      </m:oMath>
      <w:r w:rsidRPr="00826A28">
        <w:rPr>
          <w:rFonts w:cs="Times New Roman"/>
          <w:color w:val="000000"/>
          <w:szCs w:val="24"/>
        </w:rPr>
        <w:t xml:space="preserve"> (Y=y)</w:t>
      </w:r>
      <w:r>
        <w:rPr>
          <w:rFonts w:cs="Times New Roman"/>
          <w:color w:val="000000"/>
          <w:szCs w:val="24"/>
        </w:rPr>
        <w:t xml:space="preserve"> </w:t>
      </w:r>
      <w:r w:rsidRPr="00826A28">
        <w:rPr>
          <w:rFonts w:cs="Times New Roman"/>
          <w:color w:val="000000"/>
          <w:szCs w:val="24"/>
        </w:rPr>
        <w:t>=</w:t>
      </w:r>
      <w:r>
        <w:rPr>
          <w:rFonts w:cs="Times New Roman"/>
          <w:color w:val="000000"/>
          <w:szCs w:val="24"/>
        </w:rPr>
        <w:t xml:space="preserve"> </w:t>
      </w:r>
      <w:r w:rsidRPr="00826A28">
        <w:rPr>
          <w:rFonts w:cs="Times New Roman"/>
          <w:color w:val="000000"/>
          <w:szCs w:val="24"/>
        </w:rPr>
        <w:t xml:space="preserve"> </w:t>
      </w:r>
      <m:oMath>
        <m:f>
          <m:fPr>
            <m:ctrlPr>
              <w:rPr>
                <w:rFonts w:ascii="Cambria Math" w:hAnsi="Cambria Math" w:cs="Times New Roman"/>
                <w:i/>
                <w:color w:val="000000"/>
                <w:szCs w:val="24"/>
              </w:rPr>
            </m:ctrlPr>
          </m:fPr>
          <m:num>
            <m:sSup>
              <m:sSupPr>
                <m:ctrlPr>
                  <w:rPr>
                    <w:rFonts w:ascii="Cambria Math" w:hAnsi="Cambria Math" w:cs="Times New Roman"/>
                    <w:i/>
                    <w:color w:val="000000"/>
                    <w:szCs w:val="24"/>
                  </w:rPr>
                </m:ctrlPr>
              </m:sSupPr>
              <m:e>
                <m:r>
                  <w:rPr>
                    <w:rFonts w:ascii="Cambria Math" w:hAnsi="Cambria Math" w:cs="Times New Roman"/>
                    <w:color w:val="000000"/>
                    <w:szCs w:val="24"/>
                  </w:rPr>
                  <m:t>e</m:t>
                </m:r>
              </m:e>
              <m:sup>
                <m:r>
                  <w:rPr>
                    <w:rFonts w:ascii="Cambria Math" w:hAnsi="Cambria Math" w:cs="Times New Roman"/>
                    <w:color w:val="000000"/>
                    <w:szCs w:val="24"/>
                  </w:rPr>
                  <m:t>-μ</m:t>
                </m:r>
              </m:sup>
            </m:sSup>
            <m:r>
              <w:rPr>
                <w:rFonts w:ascii="Cambria Math" w:cs="Times New Roman"/>
                <w:color w:val="000000"/>
                <w:szCs w:val="24"/>
              </w:rPr>
              <m:t>(</m:t>
            </m:r>
            <m:r>
              <w:rPr>
                <w:rFonts w:ascii="Cambria Math" w:hAnsi="Cambria Math" w:cs="Times New Roman"/>
                <w:color w:val="000000"/>
                <w:szCs w:val="24"/>
              </w:rPr>
              <m:t>μ</m:t>
            </m:r>
            <m:sSup>
              <m:sSupPr>
                <m:ctrlPr>
                  <w:rPr>
                    <w:rFonts w:ascii="Cambria Math" w:hAnsi="Cambria Math" w:cs="Times New Roman"/>
                    <w:i/>
                    <w:color w:val="000000"/>
                    <w:szCs w:val="24"/>
                  </w:rPr>
                </m:ctrlPr>
              </m:sSupPr>
              <m:e>
                <m:r>
                  <w:rPr>
                    <w:rFonts w:ascii="Cambria Math" w:cs="Times New Roman"/>
                    <w:color w:val="000000"/>
                    <w:szCs w:val="24"/>
                  </w:rPr>
                  <m:t>)</m:t>
                </m:r>
              </m:e>
              <m:sup>
                <m:r>
                  <w:rPr>
                    <w:rFonts w:ascii="Cambria Math" w:hAnsi="Cambria Math" w:cs="Times New Roman"/>
                    <w:color w:val="000000"/>
                    <w:szCs w:val="24"/>
                  </w:rPr>
                  <m:t>y</m:t>
                </m:r>
              </m:sup>
            </m:sSup>
          </m:num>
          <m:den>
            <m:r>
              <w:rPr>
                <w:rFonts w:ascii="Cambria Math" w:hAnsi="Cambria Math" w:cs="Times New Roman"/>
                <w:color w:val="000000"/>
                <w:szCs w:val="24"/>
              </w:rPr>
              <m:t>y</m:t>
            </m:r>
            <m:r>
              <w:rPr>
                <w:rFonts w:ascii="Cambria Math" w:cs="Times New Roman"/>
                <w:color w:val="000000"/>
                <w:szCs w:val="24"/>
              </w:rPr>
              <m:t>!</m:t>
            </m:r>
          </m:den>
        </m:f>
      </m:oMath>
      <w:r w:rsidRPr="00826A28">
        <w:rPr>
          <w:rFonts w:eastAsiaTheme="minorEastAsia" w:cs="Times New Roman"/>
          <w:color w:val="000000"/>
          <w:szCs w:val="24"/>
        </w:rPr>
        <w:t>, y</w:t>
      </w:r>
      <w:r>
        <w:rPr>
          <w:rFonts w:eastAsiaTheme="minorEastAsia" w:cs="Times New Roman"/>
          <w:color w:val="000000"/>
          <w:szCs w:val="24"/>
        </w:rPr>
        <w:t xml:space="preserve"> </w:t>
      </w:r>
      <w:r w:rsidRPr="00826A28">
        <w:rPr>
          <w:rFonts w:eastAsiaTheme="minorEastAsia" w:cs="Times New Roman"/>
          <w:color w:val="000000"/>
          <w:szCs w:val="24"/>
        </w:rPr>
        <w:t xml:space="preserve">= 0, 1, </w:t>
      </w:r>
      <w:proofErr w:type="gramStart"/>
      <w:r w:rsidRPr="00826A28">
        <w:rPr>
          <w:rFonts w:eastAsiaTheme="minorEastAsia" w:cs="Times New Roman"/>
          <w:color w:val="000000"/>
          <w:szCs w:val="24"/>
        </w:rPr>
        <w:t>2,…</w:t>
      </w:r>
      <w:proofErr w:type="gramEnd"/>
      <w:r w:rsidRPr="00826A28">
        <w:rPr>
          <w:rFonts w:eastAsiaTheme="minorEastAsia" w:cs="Times New Roman"/>
          <w:color w:val="000000"/>
          <w:szCs w:val="24"/>
        </w:rPr>
        <w:t xml:space="preserve">                     (</w:t>
      </w:r>
      <w:r>
        <w:rPr>
          <w:rFonts w:eastAsiaTheme="minorEastAsia" w:cs="Times New Roman"/>
          <w:color w:val="000000"/>
          <w:szCs w:val="24"/>
        </w:rPr>
        <w:t>2</w:t>
      </w:r>
      <w:r w:rsidRPr="00826A28">
        <w:rPr>
          <w:rFonts w:eastAsiaTheme="minorEastAsia" w:cs="Times New Roman"/>
          <w:color w:val="000000"/>
          <w:szCs w:val="24"/>
        </w:rPr>
        <w:t>)</w:t>
      </w:r>
    </w:p>
    <w:p w14:paraId="4E147CD8" w14:textId="77777777" w:rsidR="00B55453" w:rsidRDefault="00B55453" w:rsidP="00B55453">
      <w:pPr>
        <w:autoSpaceDE w:val="0"/>
        <w:autoSpaceDN w:val="0"/>
        <w:adjustRightInd w:val="0"/>
        <w:spacing w:after="0"/>
        <w:ind w:left="-270"/>
        <w:rPr>
          <w:rFonts w:ascii="BdhkvdWarnockPro-Regular" w:hAnsi="BdhkvdWarnockPro-Regular" w:cs="BdhkvdWarnockPro-Regular"/>
          <w:color w:val="000000"/>
          <w:szCs w:val="24"/>
        </w:rPr>
      </w:pPr>
      <w:r w:rsidRPr="00826A28">
        <w:rPr>
          <w:rFonts w:ascii="BdhkvdWarnockPro-Regular" w:hAnsi="BdhkvdWarnockPro-Regular" w:cs="BdhkvdWarnockPro-Regular"/>
          <w:color w:val="000000"/>
          <w:szCs w:val="24"/>
        </w:rPr>
        <w:t xml:space="preserve">In over-dispersed Poisson model, an extra parameter is included </w:t>
      </w:r>
      <w:r>
        <w:rPr>
          <w:rFonts w:ascii="BdhkvdWarnockPro-Regular" w:hAnsi="BdhkvdWarnockPro-Regular" w:cs="BdhkvdWarnockPro-Regular"/>
          <w:color w:val="000000"/>
          <w:szCs w:val="24"/>
        </w:rPr>
        <w:t>and this helps to</w:t>
      </w:r>
      <w:r w:rsidRPr="00826A28">
        <w:rPr>
          <w:rFonts w:ascii="BdhkvdWarnockPro-Regular" w:hAnsi="BdhkvdWarnockPro-Regular" w:cs="BdhkvdWarnockPro-Regular"/>
          <w:color w:val="000000"/>
          <w:szCs w:val="24"/>
        </w:rPr>
        <w:t xml:space="preserve"> estimate how much larger the variance than the mean </w:t>
      </w:r>
      <w:r>
        <w:rPr>
          <w:rFonts w:cs="Times New Roman"/>
          <w:szCs w:val="24"/>
        </w:rPr>
        <w:fldChar w:fldCharType="begin"/>
      </w:r>
      <w:r>
        <w:rPr>
          <w:rFonts w:cs="Times New Roman"/>
          <w:szCs w:val="24"/>
        </w:rPr>
        <w:instrText xml:space="preserve"> ADDIN EN.CITE &lt;EndNote&gt;&lt;Cite&gt;&lt;Author&gt;Seyoum&lt;/Author&gt;&lt;Year&gt;2016&lt;/Year&gt;&lt;RecNum&gt;819&lt;/RecNum&gt;&lt;DisplayText&gt;[23]&lt;/DisplayText&gt;&lt;record&gt;&lt;rec-number&gt;819&lt;/rec-number&gt;&lt;foreign-keys&gt;&lt;key app="EN" db-id="vvzvxs0z3p5pf2e2e2op5zfdrrsr5d52fw2f"&gt;819&lt;/key&gt;&lt;/foreign-keys&gt;&lt;ref-type name="Journal Article"&gt;17&lt;/ref-type&gt;&lt;contributors&gt;&lt;authors&gt;&lt;author&gt;Seyoum, Awoke&lt;/author&gt;&lt;author&gt;Zewotir, Temesgen&lt;/author&gt;&lt;/authors&gt;&lt;/contributors&gt;&lt;titles&gt;&lt;title&gt;Quasi-Poisson versus negative binomial regression models in identifying factors affecting initial CD4 cell count change due to antiretroviral therapy administered to HIV-positive adults in north–West Ethiopia (Amhara region)&lt;/title&gt;&lt;secondary-title&gt;AIDS research and therapy&lt;/secondary-title&gt;&lt;/titles&gt;&lt;periodical&gt;&lt;full-title&gt;AIDS research and therapy&lt;/full-title&gt;&lt;/periodical&gt;&lt;pages&gt;36&lt;/pages&gt;&lt;volume&gt;13&lt;/volume&gt;&lt;number&gt;1&lt;/number&gt;&lt;dates&gt;&lt;year&gt;2016&lt;/year&gt;&lt;/dates&gt;&lt;isbn&gt;1742-6405&lt;/isbn&gt;&lt;urls&gt;&lt;/urls&gt;&lt;/record&gt;&lt;/Cite&gt;&lt;/EndNote&gt;</w:instrText>
      </w:r>
      <w:r>
        <w:rPr>
          <w:rFonts w:cs="Times New Roman"/>
          <w:szCs w:val="24"/>
        </w:rPr>
        <w:fldChar w:fldCharType="separate"/>
      </w:r>
      <w:r>
        <w:rPr>
          <w:rFonts w:cs="Times New Roman"/>
          <w:noProof/>
          <w:szCs w:val="24"/>
        </w:rPr>
        <w:t>[</w:t>
      </w:r>
      <w:hyperlink w:anchor="_ENREF_23" w:tooltip="Seyoum, 2016 #819" w:history="1">
        <w:r>
          <w:rPr>
            <w:rFonts w:cs="Times New Roman"/>
            <w:noProof/>
            <w:szCs w:val="24"/>
          </w:rPr>
          <w:t>23</w:t>
        </w:r>
      </w:hyperlink>
      <w:r>
        <w:rPr>
          <w:rFonts w:cs="Times New Roman"/>
          <w:noProof/>
          <w:szCs w:val="24"/>
        </w:rPr>
        <w:t>]</w:t>
      </w:r>
      <w:r>
        <w:rPr>
          <w:rFonts w:cs="Times New Roman"/>
          <w:szCs w:val="24"/>
        </w:rPr>
        <w:fldChar w:fldCharType="end"/>
      </w:r>
      <w:r w:rsidRPr="00826A28">
        <w:rPr>
          <w:rFonts w:ascii="BdhkvdWarnockPro-Regular" w:hAnsi="BdhkvdWarnockPro-Regular" w:cs="BdhkvdWarnockPro-Regular"/>
          <w:color w:val="000000"/>
          <w:szCs w:val="24"/>
        </w:rPr>
        <w:t xml:space="preserve">. In the over-dispersed distribution, one alternative approach to fit extra dispersion parameter </w:t>
      </w:r>
      <w:r>
        <w:rPr>
          <w:rFonts w:ascii="BdhkvdWarnockPro-Regular" w:hAnsi="BdhkvdWarnockPro-Regular" w:cs="BdhkvdWarnockPro-Regular"/>
          <w:color w:val="000000"/>
          <w:szCs w:val="24"/>
        </w:rPr>
        <w:t>is a q</w:t>
      </w:r>
      <w:r w:rsidRPr="00826A28">
        <w:rPr>
          <w:rFonts w:ascii="BdhkvdWarnockPro-Regular" w:hAnsi="BdhkvdWarnockPro-Regular" w:cs="BdhkvdWarnockPro-Regular"/>
          <w:color w:val="000000"/>
          <w:szCs w:val="24"/>
        </w:rPr>
        <w:t>uasi-Poisson mode</w:t>
      </w:r>
      <w:r>
        <w:rPr>
          <w:rFonts w:ascii="BdhkvdWarnockPro-Regular" w:hAnsi="BdhkvdWarnockPro-Regular" w:cs="BdhkvdWarnockPro-Regular"/>
          <w:color w:val="000000"/>
          <w:szCs w:val="24"/>
        </w:rPr>
        <w:t>l. It has two parameters;</w:t>
      </w:r>
      <w:r w:rsidRPr="00826A28">
        <w:rPr>
          <w:rFonts w:ascii="BdhkvdWarnockPro-Regular" w:hAnsi="BdhkvdWarnockPro-Regular" w:cs="BdhkvdWarnockPro-Regular"/>
          <w:color w:val="000000"/>
          <w:szCs w:val="24"/>
        </w:rPr>
        <w:t xml:space="preserve"> mean, </w:t>
      </w:r>
      <w:r w:rsidRPr="00F453A0">
        <w:rPr>
          <w:rFonts w:ascii="QxlkpwWarnockPro-It" w:hAnsi="QxlkpwWarnockPro-It" w:cs="QxlkpwWarnockPro-It"/>
          <w:iCs/>
          <w:color w:val="000000"/>
          <w:szCs w:val="24"/>
        </w:rPr>
        <w:t>μ</w:t>
      </w:r>
      <w:r w:rsidRPr="00826A28">
        <w:rPr>
          <w:rFonts w:ascii="QxlkpwWarnockPro-It" w:hAnsi="QxlkpwWarnockPro-It" w:cs="QxlkpwWarnockPro-It"/>
          <w:i/>
          <w:iCs/>
          <w:color w:val="000000"/>
          <w:szCs w:val="24"/>
        </w:rPr>
        <w:t xml:space="preserve"> </w:t>
      </w:r>
      <w:r w:rsidRPr="00826A28">
        <w:rPr>
          <w:rFonts w:ascii="BdhkvdWarnockPro-Regular" w:hAnsi="BdhkvdWarnockPro-Regular" w:cs="BdhkvdWarnockPro-Regular"/>
          <w:color w:val="000000"/>
          <w:szCs w:val="24"/>
        </w:rPr>
        <w:t xml:space="preserve">and over-dispersion parameter </w:t>
      </w:r>
      <m:oMath>
        <m:r>
          <m:rPr>
            <m:sty m:val="p"/>
          </m:rPr>
          <w:rPr>
            <w:rFonts w:ascii="Cambria Math" w:eastAsiaTheme="minorEastAsia" w:hAnsi="Cambria Math" w:cs="BdhkvdWarnockPro-Regular"/>
            <w:color w:val="000000"/>
            <w:szCs w:val="24"/>
          </w:rPr>
          <m:t xml:space="preserve"> </m:t>
        </m:r>
        <m:r>
          <w:rPr>
            <w:rFonts w:ascii="Cambria Math" w:eastAsiaTheme="minorEastAsia" w:hAnsi="Cambria Math" w:cs="BdhkvdWarnockPro-Regular"/>
            <w:color w:val="000000"/>
            <w:szCs w:val="24"/>
          </w:rPr>
          <m:t>∅</m:t>
        </m:r>
      </m:oMath>
      <w:r w:rsidRPr="00826A28">
        <w:rPr>
          <w:rFonts w:ascii="QxlkpwWarnockPro-It" w:hAnsi="QxlkpwWarnockPro-It" w:cs="QxlkpwWarnockPro-It"/>
          <w:i/>
          <w:iCs/>
          <w:color w:val="000000"/>
          <w:szCs w:val="24"/>
        </w:rPr>
        <w:t xml:space="preserve"> </w:t>
      </w:r>
      <w:r w:rsidRPr="00826A28">
        <w:rPr>
          <w:rFonts w:ascii="BdhkvdWarnockPro-Regular" w:hAnsi="BdhkvdWarnockPro-Regular" w:cs="BdhkvdWarnockPro-Regular"/>
          <w:color w:val="000000"/>
          <w:szCs w:val="24"/>
        </w:rPr>
        <w:t xml:space="preserve">such that variance is a linear function of mean </w:t>
      </w:r>
      <w:r>
        <w:rPr>
          <w:rFonts w:cs="Times New Roman"/>
          <w:szCs w:val="24"/>
        </w:rPr>
        <w:fldChar w:fldCharType="begin"/>
      </w:r>
      <w:r>
        <w:rPr>
          <w:rFonts w:cs="Times New Roman"/>
          <w:szCs w:val="24"/>
        </w:rPr>
        <w:instrText xml:space="preserve"> ADDIN EN.CITE &lt;EndNote&gt;&lt;Cite&gt;&lt;Author&gt;Seyoum&lt;/Author&gt;&lt;Year&gt;2016&lt;/Year&gt;&lt;RecNum&gt;819&lt;/RecNum&gt;&lt;DisplayText&gt;[23]&lt;/DisplayText&gt;&lt;record&gt;&lt;rec-number&gt;819&lt;/rec-number&gt;&lt;foreign-keys&gt;&lt;key app="EN" db-id="vvzvxs0z3p5pf2e2e2op5zfdrrsr5d52fw2f"&gt;819&lt;/key&gt;&lt;/foreign-keys&gt;&lt;ref-type name="Journal Article"&gt;17&lt;/ref-type&gt;&lt;contributors&gt;&lt;authors&gt;&lt;author&gt;Seyoum, Awoke&lt;/author&gt;&lt;author&gt;Zewotir, Temesgen&lt;/author&gt;&lt;/authors&gt;&lt;/contributors&gt;&lt;titles&gt;&lt;title&gt;Quasi-Poisson versus negative binomial regression models in identifying factors affecting initial CD4 cell count change due to antiretroviral therapy administered to HIV-positive adults in north–West Ethiopia (Amhara region)&lt;/title&gt;&lt;secondary-title&gt;AIDS research and therapy&lt;/secondary-title&gt;&lt;/titles&gt;&lt;periodical&gt;&lt;full-title&gt;AIDS research and therapy&lt;/full-title&gt;&lt;/periodical&gt;&lt;pages&gt;36&lt;/pages&gt;&lt;volume&gt;13&lt;/volume&gt;&lt;number&gt;1&lt;/number&gt;&lt;dates&gt;&lt;year&gt;2016&lt;/year&gt;&lt;/dates&gt;&lt;isbn&gt;1742-6405&lt;/isbn&gt;&lt;urls&gt;&lt;/urls&gt;&lt;/record&gt;&lt;/Cite&gt;&lt;/EndNote&gt;</w:instrText>
      </w:r>
      <w:r>
        <w:rPr>
          <w:rFonts w:cs="Times New Roman"/>
          <w:szCs w:val="24"/>
        </w:rPr>
        <w:fldChar w:fldCharType="separate"/>
      </w:r>
      <w:r>
        <w:rPr>
          <w:rFonts w:cs="Times New Roman"/>
          <w:noProof/>
          <w:szCs w:val="24"/>
        </w:rPr>
        <w:t>[</w:t>
      </w:r>
      <w:hyperlink w:anchor="_ENREF_23" w:tooltip="Seyoum, 2016 #819" w:history="1">
        <w:r>
          <w:rPr>
            <w:rFonts w:cs="Times New Roman"/>
            <w:noProof/>
            <w:szCs w:val="24"/>
          </w:rPr>
          <w:t>23</w:t>
        </w:r>
      </w:hyperlink>
      <w:r>
        <w:rPr>
          <w:rFonts w:cs="Times New Roman"/>
          <w:noProof/>
          <w:szCs w:val="24"/>
        </w:rPr>
        <w:t>]</w:t>
      </w:r>
      <w:r>
        <w:rPr>
          <w:rFonts w:cs="Times New Roman"/>
          <w:szCs w:val="24"/>
        </w:rPr>
        <w:fldChar w:fldCharType="end"/>
      </w:r>
      <w:r w:rsidRPr="00826A28">
        <w:rPr>
          <w:rFonts w:ascii="BdhkvdWarnockPro-Regular" w:hAnsi="BdhkvdWarnockPro-Regular" w:cs="BdhkvdWarnockPro-Regular"/>
          <w:color w:val="000000"/>
          <w:szCs w:val="24"/>
        </w:rPr>
        <w:t xml:space="preserve">. Hence for </w:t>
      </w:r>
      <w:r>
        <w:rPr>
          <w:rFonts w:ascii="BdhkvdWarnockPro-Regular" w:hAnsi="BdhkvdWarnockPro-Regular" w:cs="BdhkvdWarnockPro-Regular"/>
          <w:color w:val="000000"/>
          <w:szCs w:val="24"/>
        </w:rPr>
        <w:t xml:space="preserve">random variable y that follows </w:t>
      </w:r>
      <w:proofErr w:type="spellStart"/>
      <w:r>
        <w:rPr>
          <w:rFonts w:ascii="BdhkvdWarnockPro-Regular" w:hAnsi="BdhkvdWarnockPro-Regular" w:cs="BdhkvdWarnockPro-Regular"/>
          <w:color w:val="000000"/>
          <w:szCs w:val="24"/>
        </w:rPr>
        <w:t>a</w:t>
      </w:r>
      <w:r w:rsidRPr="00826A28">
        <w:rPr>
          <w:rFonts w:ascii="BdhkvdWarnockPro-Regular" w:hAnsi="BdhkvdWarnockPro-Regular" w:cs="BdhkvdWarnockPro-Regular"/>
          <w:color w:val="000000"/>
          <w:szCs w:val="24"/>
        </w:rPr>
        <w:t>uasi</w:t>
      </w:r>
      <w:proofErr w:type="spellEnd"/>
      <w:r w:rsidRPr="00826A28">
        <w:rPr>
          <w:rFonts w:ascii="BdhkvdWarnockPro-Regular" w:hAnsi="BdhkvdWarnockPro-Regular" w:cs="BdhkvdWarnockPro-Regular"/>
          <w:color w:val="000000"/>
          <w:szCs w:val="24"/>
        </w:rPr>
        <w:t>-Poisson distribution, we have</w:t>
      </w:r>
      <w:r>
        <w:rPr>
          <w:rFonts w:ascii="BdhkvdWarnockPro-Regular" w:hAnsi="BdhkvdWarnockPro-Regular" w:cs="BdhkvdWarnockPro-Regular"/>
          <w:color w:val="000000"/>
          <w:szCs w:val="24"/>
        </w:rPr>
        <w:t>:</w:t>
      </w:r>
    </w:p>
    <w:p w14:paraId="03064489" w14:textId="77777777" w:rsidR="00B55453" w:rsidRPr="00826A28" w:rsidRDefault="00B55453" w:rsidP="00B55453">
      <w:pPr>
        <w:autoSpaceDE w:val="0"/>
        <w:autoSpaceDN w:val="0"/>
        <w:adjustRightInd w:val="0"/>
        <w:spacing w:after="0"/>
        <w:rPr>
          <w:rFonts w:ascii="BdhkvdWarnockPro-Regular" w:hAnsi="BdhkvdWarnockPro-Regular" w:cs="BdhkvdWarnockPro-Regular"/>
          <w:color w:val="000000"/>
          <w:szCs w:val="24"/>
        </w:rPr>
      </w:pPr>
      <m:oMathPara>
        <m:oMathParaPr>
          <m:jc m:val="right"/>
        </m:oMathParaPr>
        <m:oMath>
          <m:d>
            <m:dPr>
              <m:begChr m:val="{"/>
              <m:endChr m:val=""/>
              <m:ctrlPr>
                <w:rPr>
                  <w:rFonts w:ascii="Cambria Math" w:hAnsi="Cambria Math" w:cs="BdhkvdWarnockPro-Regular"/>
                  <w:i/>
                  <w:color w:val="000000"/>
                  <w:szCs w:val="24"/>
                </w:rPr>
              </m:ctrlPr>
            </m:dPr>
            <m:e>
              <m:eqArr>
                <m:eqArrPr>
                  <m:ctrlPr>
                    <w:rPr>
                      <w:rFonts w:ascii="Cambria Math" w:hAnsi="Cambria Math" w:cs="BdhkvdWarnockPro-Regular"/>
                      <w:i/>
                      <w:color w:val="000000"/>
                      <w:szCs w:val="24"/>
                    </w:rPr>
                  </m:ctrlPr>
                </m:eqArrPr>
                <m:e>
                  <m:r>
                    <m:rPr>
                      <m:sty m:val="p"/>
                    </m:rPr>
                    <w:rPr>
                      <w:rFonts w:ascii="Cambria Math" w:eastAsiaTheme="minorEastAsia" w:hAnsi="Cambria Math" w:cs="BdhkvdWarnockPro-Regular"/>
                      <w:color w:val="000000"/>
                      <w:szCs w:val="24"/>
                    </w:rPr>
                    <m:t xml:space="preserve">E(y) = </m:t>
                  </m:r>
                  <m:r>
                    <w:rPr>
                      <w:rFonts w:ascii="Cambria Math" w:hAnsi="Cambria Math" w:cs="BdhkvdWarnockPro-Regular"/>
                      <w:color w:val="000000"/>
                      <w:szCs w:val="24"/>
                    </w:rPr>
                    <m:t>μ</m:t>
                  </m:r>
                  <m:r>
                    <m:rPr>
                      <m:sty m:val="p"/>
                    </m:rPr>
                    <w:rPr>
                      <w:rFonts w:ascii="Cambria Math" w:eastAsiaTheme="minorEastAsia" w:hAnsi="Cambria Math" w:cs="BdhkvdWarnockPro-Regular"/>
                      <w:color w:val="000000"/>
                      <w:szCs w:val="24"/>
                    </w:rPr>
                    <m:t xml:space="preserve">    and</m:t>
                  </m:r>
                </m:e>
                <m:e>
                  <m:r>
                    <m:rPr>
                      <m:sty m:val="p"/>
                    </m:rPr>
                    <w:rPr>
                      <w:rFonts w:ascii="Cambria Math" w:eastAsiaTheme="minorEastAsia" w:hAnsi="Cambria Math" w:cs="BdhkvdWarnockPro-Regular"/>
                      <w:color w:val="000000"/>
                      <w:szCs w:val="24"/>
                    </w:rPr>
                    <m:t xml:space="preserve">var </m:t>
                  </m:r>
                  <m:d>
                    <m:dPr>
                      <m:ctrlPr>
                        <w:rPr>
                          <w:rFonts w:ascii="Cambria Math" w:eastAsiaTheme="minorEastAsia" w:hAnsi="Cambria Math" w:cs="BdhkvdWarnockPro-Regular"/>
                          <w:color w:val="000000"/>
                          <w:szCs w:val="24"/>
                        </w:rPr>
                      </m:ctrlPr>
                    </m:dPr>
                    <m:e>
                      <m:r>
                        <m:rPr>
                          <m:sty m:val="p"/>
                        </m:rPr>
                        <w:rPr>
                          <w:rFonts w:ascii="Cambria Math" w:eastAsiaTheme="minorEastAsia" w:hAnsi="Cambria Math" w:cs="BdhkvdWarnockPro-Regular"/>
                          <w:color w:val="000000"/>
                          <w:szCs w:val="24"/>
                        </w:rPr>
                        <m:t>y</m:t>
                      </m:r>
                    </m:e>
                  </m:d>
                  <m:r>
                    <m:rPr>
                      <m:sty m:val="p"/>
                    </m:rPr>
                    <w:rPr>
                      <w:rFonts w:ascii="Cambria Math" w:eastAsiaTheme="minorEastAsia" w:hAnsi="Cambria Math" w:cs="BdhkvdWarnockPro-Regular"/>
                      <w:color w:val="000000"/>
                      <w:szCs w:val="24"/>
                    </w:rPr>
                    <m:t xml:space="preserve">= </m:t>
                  </m:r>
                  <m:r>
                    <w:rPr>
                      <w:rFonts w:ascii="Cambria Math" w:eastAsiaTheme="minorEastAsia" w:hAnsi="Cambria Math" w:cs="BdhkvdWarnockPro-Regular"/>
                      <w:color w:val="000000"/>
                      <w:szCs w:val="24"/>
                    </w:rPr>
                    <m:t>∅</m:t>
                  </m:r>
                  <m:r>
                    <m:rPr>
                      <m:sty m:val="p"/>
                    </m:rPr>
                    <w:rPr>
                      <w:rFonts w:ascii="Cambria Math" w:eastAsiaTheme="minorEastAsia" w:hAnsi="Cambria Math" w:cs="BdhkvdWarnockPro-Regular"/>
                      <w:color w:val="000000"/>
                      <w:szCs w:val="24"/>
                    </w:rPr>
                    <m:t>E</m:t>
                  </m:r>
                  <m:d>
                    <m:dPr>
                      <m:ctrlPr>
                        <w:rPr>
                          <w:rFonts w:ascii="Cambria Math" w:eastAsiaTheme="minorEastAsia" w:hAnsi="Cambria Math" w:cs="BdhkvdWarnockPro-Regular"/>
                          <w:color w:val="000000"/>
                          <w:szCs w:val="24"/>
                        </w:rPr>
                      </m:ctrlPr>
                    </m:dPr>
                    <m:e>
                      <m:r>
                        <m:rPr>
                          <m:sty m:val="p"/>
                        </m:rPr>
                        <w:rPr>
                          <w:rFonts w:ascii="Cambria Math" w:eastAsiaTheme="minorEastAsia" w:hAnsi="Cambria Math" w:cs="BdhkvdWarnockPro-Regular"/>
                          <w:color w:val="000000"/>
                          <w:szCs w:val="24"/>
                        </w:rPr>
                        <m:t>y</m:t>
                      </m:r>
                    </m:e>
                  </m:d>
                  <m:r>
                    <m:rPr>
                      <m:sty m:val="p"/>
                    </m:rPr>
                    <w:rPr>
                      <w:rFonts w:ascii="Cambria Math" w:eastAsiaTheme="minorEastAsia" w:hAnsi="Cambria Math" w:cs="BdhkvdWarnockPro-Regular"/>
                      <w:color w:val="000000"/>
                      <w:szCs w:val="24"/>
                    </w:rPr>
                    <m:t xml:space="preserve">= </m:t>
                  </m:r>
                  <m:r>
                    <w:rPr>
                      <w:rFonts w:ascii="Cambria Math" w:eastAsiaTheme="minorEastAsia" w:hAnsi="Cambria Math" w:cs="BdhkvdWarnockPro-Regular"/>
                      <w:color w:val="000000"/>
                      <w:szCs w:val="24"/>
                    </w:rPr>
                    <m:t>∅</m:t>
                  </m:r>
                  <m:r>
                    <w:rPr>
                      <w:rFonts w:ascii="Cambria Math" w:hAnsi="Cambria Math" w:cs="BdhkvdWarnockPro-Regular"/>
                      <w:color w:val="000000"/>
                      <w:szCs w:val="24"/>
                    </w:rPr>
                    <m:t>μ                (3)</m:t>
                  </m:r>
                </m:e>
              </m:eqArr>
            </m:e>
          </m:d>
        </m:oMath>
      </m:oMathPara>
    </w:p>
    <w:p w14:paraId="227FFBFC" w14:textId="77777777" w:rsidR="00B55453" w:rsidRPr="00826A28" w:rsidRDefault="00B55453" w:rsidP="00B55453">
      <w:pPr>
        <w:autoSpaceDE w:val="0"/>
        <w:autoSpaceDN w:val="0"/>
        <w:adjustRightInd w:val="0"/>
        <w:spacing w:after="0"/>
        <w:jc w:val="center"/>
        <w:rPr>
          <w:rFonts w:ascii="BdhkvdWarnockPro-Regular" w:eastAsiaTheme="minorEastAsia" w:hAnsi="BdhkvdWarnockPro-Regular" w:cs="BdhkvdWarnockPro-Regular"/>
          <w:color w:val="000000"/>
          <w:szCs w:val="24"/>
        </w:rPr>
      </w:pPr>
      <w:r w:rsidRPr="00826A28">
        <w:rPr>
          <w:rFonts w:ascii="BdhkvdWarnockPro-Regular" w:eastAsiaTheme="minorEastAsia" w:hAnsi="BdhkvdWarnockPro-Regular" w:cs="BdhkvdWarnockPro-Regular"/>
          <w:color w:val="000000"/>
          <w:szCs w:val="24"/>
        </w:rPr>
        <w:t xml:space="preserve">                          </w:t>
      </w:r>
      <w:r>
        <w:rPr>
          <w:rFonts w:ascii="BdhkvdWarnockPro-Regular" w:eastAsiaTheme="minorEastAsia" w:hAnsi="BdhkvdWarnockPro-Regular" w:cs="BdhkvdWarnockPro-Regular"/>
          <w:color w:val="000000"/>
          <w:szCs w:val="24"/>
        </w:rPr>
        <w:t xml:space="preserve">           </w:t>
      </w:r>
      <w:r w:rsidRPr="00826A28">
        <w:rPr>
          <w:rFonts w:ascii="BdhkvdWarnockPro-Regular" w:eastAsiaTheme="minorEastAsia" w:hAnsi="BdhkvdWarnockPro-Regular" w:cs="BdhkvdWarnockPro-Regular"/>
          <w:color w:val="000000"/>
          <w:szCs w:val="24"/>
        </w:rPr>
        <w:t xml:space="preserve">          </w:t>
      </w:r>
    </w:p>
    <w:p w14:paraId="22F2BF94" w14:textId="77777777" w:rsidR="00B55453" w:rsidRPr="00826A28" w:rsidRDefault="00B55453" w:rsidP="00B55453">
      <w:pPr>
        <w:autoSpaceDE w:val="0"/>
        <w:autoSpaceDN w:val="0"/>
        <w:adjustRightInd w:val="0"/>
        <w:spacing w:after="0"/>
        <w:ind w:left="-360"/>
        <w:rPr>
          <w:rFonts w:ascii="BdhkvdWarnockPro-Regular" w:eastAsiaTheme="minorEastAsia" w:hAnsi="BdhkvdWarnockPro-Regular" w:cs="BdhkvdWarnockPro-Regular"/>
          <w:color w:val="000000"/>
          <w:szCs w:val="24"/>
        </w:rPr>
      </w:pPr>
      <w:r>
        <w:rPr>
          <w:rFonts w:ascii="BdhkvdWarnockPro-Regular" w:hAnsi="BdhkvdWarnockPro-Regular" w:cs="BdhkvdWarnockPro-Regular"/>
          <w:color w:val="000000"/>
          <w:szCs w:val="24"/>
        </w:rPr>
        <w:t xml:space="preserve">where </w:t>
      </w:r>
      <m:oMath>
        <m:r>
          <w:rPr>
            <w:rFonts w:ascii="Cambria Math" w:hAnsi="Cambria Math" w:cs="BdhkvdWarnockPro-Regular"/>
            <w:color w:val="000000"/>
            <w:szCs w:val="24"/>
          </w:rPr>
          <m:t>μ</m:t>
        </m:r>
      </m:oMath>
      <w:r w:rsidRPr="00826A28">
        <w:rPr>
          <w:rFonts w:ascii="BdhkvdWarnockPro-Regular" w:hAnsi="BdhkvdWarnockPro-Regular" w:cs="BdhkvdWarnockPro-Regular"/>
          <w:color w:val="000000"/>
          <w:szCs w:val="24"/>
        </w:rPr>
        <w:t xml:space="preserve"> </w:t>
      </w:r>
      <w:r>
        <w:rPr>
          <w:rFonts w:ascii="BdhkvdWarnockPro-Regular" w:hAnsi="BdhkvdWarnockPro-Regular" w:cs="BdhkvdWarnockPro-Regular"/>
          <w:color w:val="000000"/>
          <w:szCs w:val="24"/>
        </w:rPr>
        <w:t xml:space="preserve"> is expected value or mean of count response variable and</w:t>
      </w:r>
      <m:oMath>
        <m:r>
          <w:rPr>
            <w:rFonts w:ascii="Cambria Math" w:hAnsi="Cambria Math" w:cs="BdhkvdWarnockPro-Regular"/>
            <w:color w:val="000000"/>
            <w:szCs w:val="24"/>
          </w:rPr>
          <m:t xml:space="preserve">  ∅</m:t>
        </m:r>
      </m:oMath>
      <w:r>
        <w:rPr>
          <w:rFonts w:ascii="BdhkvdWarnockPro-Regular" w:hAnsi="BdhkvdWarnockPro-Regular" w:cs="BdhkvdWarnockPro-Regular"/>
          <w:color w:val="000000"/>
          <w:szCs w:val="24"/>
        </w:rPr>
        <w:t xml:space="preserve"> is over-dispersed parameter for quasi-Poisson model. </w:t>
      </w:r>
      <w:r w:rsidRPr="00826A28">
        <w:rPr>
          <w:rFonts w:cs="Times New Roman"/>
          <w:color w:val="000000"/>
          <w:szCs w:val="24"/>
        </w:rPr>
        <w:t xml:space="preserve">The other potential count regression model used for over-dispersed count response data is </w:t>
      </w:r>
      <w:r>
        <w:rPr>
          <w:rFonts w:cs="Times New Roman"/>
          <w:color w:val="000000"/>
          <w:szCs w:val="24"/>
        </w:rPr>
        <w:t>negative-B</w:t>
      </w:r>
      <w:r w:rsidRPr="00826A28">
        <w:rPr>
          <w:rFonts w:cs="Times New Roman"/>
          <w:color w:val="000000"/>
          <w:szCs w:val="24"/>
        </w:rPr>
        <w:t>inomial model. The first two moments of negative</w:t>
      </w:r>
      <w:r>
        <w:rPr>
          <w:rFonts w:cs="Times New Roman"/>
          <w:color w:val="000000"/>
          <w:szCs w:val="24"/>
        </w:rPr>
        <w:t>- B</w:t>
      </w:r>
      <w:r w:rsidRPr="00826A28">
        <w:rPr>
          <w:rFonts w:cs="Times New Roman"/>
          <w:color w:val="000000"/>
          <w:szCs w:val="24"/>
        </w:rPr>
        <w:t xml:space="preserve">inomial regression model are </w:t>
      </w:r>
      <w:r>
        <w:rPr>
          <w:rFonts w:cs="Times New Roman"/>
          <w:szCs w:val="24"/>
        </w:rPr>
        <w:fldChar w:fldCharType="begin"/>
      </w:r>
      <w:r>
        <w:rPr>
          <w:rFonts w:cs="Times New Roman"/>
          <w:szCs w:val="24"/>
        </w:rPr>
        <w:instrText xml:space="preserve"> ADDIN EN.CITE &lt;EndNote&gt;&lt;Cite&gt;&lt;Author&gt;Seyoum&lt;/Author&gt;&lt;Year&gt;2016&lt;/Year&gt;&lt;RecNum&gt;819&lt;/RecNum&gt;&lt;DisplayText&gt;[23]&lt;/DisplayText&gt;&lt;record&gt;&lt;rec-number&gt;819&lt;/rec-number&gt;&lt;foreign-keys&gt;&lt;key app="EN" db-id="vvzvxs0z3p5pf2e2e2op5zfdrrsr5d52fw2f"&gt;819&lt;/key&gt;&lt;/foreign-keys&gt;&lt;ref-type name="Journal Article"&gt;17&lt;/ref-type&gt;&lt;contributors&gt;&lt;authors&gt;&lt;author&gt;Seyoum, Awoke&lt;/author&gt;&lt;author&gt;Zewotir, Temesgen&lt;/author&gt;&lt;/authors&gt;&lt;/contributors&gt;&lt;titles&gt;&lt;title&gt;Quasi-Poisson versus negative binomial regression models in identifying factors affecting initial CD4 cell count change due to antiretroviral therapy administered to HIV-positive adults in north–West Ethiopia (Amhara region)&lt;/title&gt;&lt;secondary-title&gt;AIDS research and therapy&lt;/secondary-title&gt;&lt;/titles&gt;&lt;periodical&gt;&lt;full-title&gt;AIDS research and therapy&lt;/full-title&gt;&lt;/periodical&gt;&lt;pages&gt;36&lt;/pages&gt;&lt;volume&gt;13&lt;/volume&gt;&lt;number&gt;1&lt;/number&gt;&lt;dates&gt;&lt;year&gt;2016&lt;/year&gt;&lt;/dates&gt;&lt;isbn&gt;1742-6405&lt;/isbn&gt;&lt;urls&gt;&lt;/urls&gt;&lt;/record&gt;&lt;/Cite&gt;&lt;/EndNote&gt;</w:instrText>
      </w:r>
      <w:r>
        <w:rPr>
          <w:rFonts w:cs="Times New Roman"/>
          <w:szCs w:val="24"/>
        </w:rPr>
        <w:fldChar w:fldCharType="separate"/>
      </w:r>
      <w:r>
        <w:rPr>
          <w:rFonts w:cs="Times New Roman"/>
          <w:noProof/>
          <w:szCs w:val="24"/>
        </w:rPr>
        <w:t>[</w:t>
      </w:r>
      <w:hyperlink w:anchor="_ENREF_23" w:tooltip="Seyoum, 2016 #819" w:history="1">
        <w:r>
          <w:rPr>
            <w:rFonts w:cs="Times New Roman"/>
            <w:noProof/>
            <w:szCs w:val="24"/>
          </w:rPr>
          <w:t>23</w:t>
        </w:r>
      </w:hyperlink>
      <w:r>
        <w:rPr>
          <w:rFonts w:cs="Times New Roman"/>
          <w:noProof/>
          <w:szCs w:val="24"/>
        </w:rPr>
        <w:t>]</w:t>
      </w:r>
      <w:r>
        <w:rPr>
          <w:rFonts w:cs="Times New Roman"/>
          <w:szCs w:val="24"/>
        </w:rPr>
        <w:fldChar w:fldCharType="end"/>
      </w:r>
      <w:r>
        <w:rPr>
          <w:rFonts w:cs="Times New Roman"/>
          <w:szCs w:val="24"/>
        </w:rPr>
        <w:t>.</w:t>
      </w:r>
    </w:p>
    <w:p w14:paraId="55AC50C1" w14:textId="77777777" w:rsidR="00B55453" w:rsidRPr="00826A28" w:rsidRDefault="00B55453" w:rsidP="00B55453">
      <w:pPr>
        <w:autoSpaceDE w:val="0"/>
        <w:autoSpaceDN w:val="0"/>
        <w:adjustRightInd w:val="0"/>
        <w:spacing w:after="0"/>
        <w:rPr>
          <w:rFonts w:ascii="BdhkvdWarnockPro-Regular" w:hAnsi="BdhkvdWarnockPro-Regular" w:cs="BdhkvdWarnockPro-Regular"/>
          <w:color w:val="000000"/>
          <w:szCs w:val="24"/>
        </w:rPr>
      </w:pPr>
      <m:oMathPara>
        <m:oMathParaPr>
          <m:jc m:val="right"/>
        </m:oMathParaPr>
        <m:oMath>
          <m:d>
            <m:dPr>
              <m:begChr m:val="{"/>
              <m:endChr m:val=""/>
              <m:ctrlPr>
                <w:rPr>
                  <w:rFonts w:ascii="Cambria Math" w:hAnsi="Cambria Math" w:cs="BdhkvdWarnockPro-Regular"/>
                  <w:i/>
                  <w:color w:val="000000"/>
                  <w:szCs w:val="24"/>
                </w:rPr>
              </m:ctrlPr>
            </m:dPr>
            <m:e>
              <m:eqArr>
                <m:eqArrPr>
                  <m:ctrlPr>
                    <w:rPr>
                      <w:rFonts w:ascii="Cambria Math" w:hAnsi="Cambria Math" w:cs="BdhkvdWarnockPro-Regular"/>
                      <w:i/>
                      <w:color w:val="000000"/>
                      <w:szCs w:val="24"/>
                    </w:rPr>
                  </m:ctrlPr>
                </m:eqArrPr>
                <m:e>
                  <m:r>
                    <m:rPr>
                      <m:sty m:val="p"/>
                    </m:rPr>
                    <w:rPr>
                      <w:rFonts w:ascii="Cambria Math" w:eastAsiaTheme="minorEastAsia" w:hAnsi="Cambria Math" w:cs="BdhkvdWarnockPro-Regular"/>
                      <w:color w:val="000000"/>
                      <w:szCs w:val="24"/>
                    </w:rPr>
                    <m:t xml:space="preserve">E(y) = </m:t>
                  </m:r>
                  <m:r>
                    <w:rPr>
                      <w:rFonts w:ascii="Cambria Math" w:hAnsi="Cambria Math" w:cs="BdhkvdWarnockPro-Regular"/>
                      <w:color w:val="000000"/>
                      <w:szCs w:val="24"/>
                    </w:rPr>
                    <m:t>μ</m:t>
                  </m:r>
                  <m:r>
                    <m:rPr>
                      <m:sty m:val="p"/>
                    </m:rPr>
                    <w:rPr>
                      <w:rFonts w:ascii="Cambria Math" w:eastAsiaTheme="minorEastAsia" w:hAnsi="Cambria Math" w:cs="BdhkvdWarnockPro-Regular"/>
                      <w:color w:val="000000"/>
                      <w:szCs w:val="24"/>
                    </w:rPr>
                    <m:t xml:space="preserve">            and</m:t>
                  </m:r>
                </m:e>
                <m:e>
                  <m:r>
                    <m:rPr>
                      <m:sty m:val="p"/>
                    </m:rPr>
                    <w:rPr>
                      <w:rFonts w:ascii="Cambria Math" w:eastAsiaTheme="minorEastAsia" w:hAnsi="Cambria Math" w:cs="BdhkvdWarnockPro-Regular"/>
                      <w:color w:val="000000"/>
                      <w:szCs w:val="24"/>
                    </w:rPr>
                    <m:t xml:space="preserve">var </m:t>
                  </m:r>
                  <m:d>
                    <m:dPr>
                      <m:ctrlPr>
                        <w:rPr>
                          <w:rFonts w:ascii="Cambria Math" w:eastAsiaTheme="minorEastAsia" w:hAnsi="Cambria Math" w:cs="BdhkvdWarnockPro-Regular"/>
                          <w:color w:val="000000"/>
                          <w:szCs w:val="24"/>
                        </w:rPr>
                      </m:ctrlPr>
                    </m:dPr>
                    <m:e>
                      <m:r>
                        <m:rPr>
                          <m:sty m:val="p"/>
                        </m:rPr>
                        <w:rPr>
                          <w:rFonts w:ascii="Cambria Math" w:eastAsiaTheme="minorEastAsia" w:hAnsi="Cambria Math" w:cs="BdhkvdWarnockPro-Regular"/>
                          <w:color w:val="000000"/>
                          <w:szCs w:val="24"/>
                        </w:rPr>
                        <m:t>y</m:t>
                      </m:r>
                    </m:e>
                  </m:d>
                  <m:r>
                    <m:rPr>
                      <m:sty m:val="p"/>
                    </m:rPr>
                    <w:rPr>
                      <w:rFonts w:ascii="Cambria Math" w:eastAsiaTheme="minorEastAsia" w:hAnsi="Cambria Math" w:cs="BdhkvdWarnockPro-Regular"/>
                      <w:color w:val="000000"/>
                      <w:szCs w:val="24"/>
                    </w:rPr>
                    <m:t xml:space="preserve">=  </m:t>
                  </m:r>
                  <m:r>
                    <w:rPr>
                      <w:rFonts w:ascii="Cambria Math" w:hAnsi="Cambria Math" w:cs="BdhkvdWarnockPro-Regular"/>
                      <w:color w:val="000000"/>
                      <w:szCs w:val="24"/>
                    </w:rPr>
                    <m:t xml:space="preserve">μ(1+ </m:t>
                  </m:r>
                  <m:r>
                    <m:rPr>
                      <m:sty m:val="p"/>
                    </m:rPr>
                    <w:rPr>
                      <w:rFonts w:ascii="Cambria Math" w:eastAsiaTheme="minorEastAsia" w:hAnsi="Cambria Math" w:cs="BdhkvdWarnockPro-Regular"/>
                      <w:color w:val="000000"/>
                      <w:szCs w:val="24"/>
                    </w:rPr>
                    <m:t xml:space="preserve"> </m:t>
                  </m:r>
                  <m:r>
                    <w:rPr>
                      <w:rFonts w:ascii="Cambria Math" w:eastAsiaTheme="minorEastAsia" w:hAnsi="Cambria Math" w:cs="BdhkvdWarnockPro-Regular"/>
                      <w:color w:val="000000"/>
                      <w:szCs w:val="24"/>
                    </w:rPr>
                    <m:t>∅</m:t>
                  </m:r>
                  <m:r>
                    <w:rPr>
                      <w:rFonts w:ascii="Cambria Math" w:hAnsi="Cambria Math" w:cs="BdhkvdWarnockPro-Regular"/>
                      <w:color w:val="000000"/>
                      <w:szCs w:val="24"/>
                    </w:rPr>
                    <m:t>μ )             (4)</m:t>
                  </m:r>
                </m:e>
              </m:eqArr>
            </m:e>
          </m:d>
        </m:oMath>
      </m:oMathPara>
    </w:p>
    <w:p w14:paraId="4EA2DA99" w14:textId="77777777" w:rsidR="00B55453" w:rsidRPr="00826A28" w:rsidRDefault="00B55453" w:rsidP="00B55453">
      <w:pPr>
        <w:autoSpaceDE w:val="0"/>
        <w:autoSpaceDN w:val="0"/>
        <w:adjustRightInd w:val="0"/>
        <w:spacing w:after="0"/>
        <w:ind w:left="-450"/>
        <w:rPr>
          <w:rFonts w:cs="Times New Roman"/>
          <w:szCs w:val="24"/>
        </w:rPr>
      </w:pPr>
      <w:r>
        <w:rPr>
          <w:rFonts w:ascii="BdhkvdWarnockPro-Regular" w:hAnsi="BdhkvdWarnockPro-Regular" w:cs="BdhkvdWarnockPro-Regular"/>
          <w:color w:val="000000"/>
          <w:szCs w:val="24"/>
        </w:rPr>
        <w:t xml:space="preserve">where </w:t>
      </w:r>
      <m:oMath>
        <m:r>
          <w:rPr>
            <w:rFonts w:ascii="Cambria Math" w:hAnsi="Cambria Math" w:cs="BdhkvdWarnockPro-Regular"/>
            <w:color w:val="000000"/>
            <w:szCs w:val="24"/>
          </w:rPr>
          <m:t>μ</m:t>
        </m:r>
      </m:oMath>
      <w:r>
        <w:rPr>
          <w:rFonts w:ascii="BdhkvdWarnockPro-Regular" w:hAnsi="BdhkvdWarnockPro-Regular" w:cs="BdhkvdWarnockPro-Regular"/>
          <w:color w:val="000000"/>
          <w:szCs w:val="24"/>
        </w:rPr>
        <w:t xml:space="preserve"> is the expected value of count response variable and </w:t>
      </w:r>
      <m:oMath>
        <m:r>
          <m:rPr>
            <m:sty m:val="p"/>
          </m:rPr>
          <w:rPr>
            <w:rFonts w:ascii="Cambria Math" w:eastAsiaTheme="minorEastAsia" w:hAnsi="Cambria Math" w:cs="BdhkvdWarnockPro-Regular"/>
            <w:color w:val="000000"/>
            <w:szCs w:val="24"/>
          </w:rPr>
          <m:t xml:space="preserve"> </m:t>
        </m:r>
        <m:r>
          <w:rPr>
            <w:rFonts w:ascii="Cambria Math" w:eastAsiaTheme="minorEastAsia" w:hAnsi="Cambria Math" w:cs="BdhkvdWarnockPro-Regular"/>
            <w:color w:val="000000"/>
            <w:szCs w:val="24"/>
          </w:rPr>
          <m:t>∅</m:t>
        </m:r>
      </m:oMath>
      <w:r>
        <w:rPr>
          <w:rFonts w:ascii="BdhkvdWarnockPro-Regular" w:eastAsiaTheme="minorEastAsia" w:hAnsi="BdhkvdWarnockPro-Regular" w:cs="BdhkvdWarnockPro-Regular"/>
          <w:color w:val="000000"/>
          <w:szCs w:val="24"/>
        </w:rPr>
        <w:t xml:space="preserve"> is over dispersed parameter for negative-Binomial </w:t>
      </w:r>
      <w:proofErr w:type="gramStart"/>
      <w:r>
        <w:rPr>
          <w:rFonts w:ascii="BdhkvdWarnockPro-Regular" w:eastAsiaTheme="minorEastAsia" w:hAnsi="BdhkvdWarnockPro-Regular" w:cs="BdhkvdWarnockPro-Regular"/>
          <w:color w:val="000000"/>
          <w:szCs w:val="24"/>
        </w:rPr>
        <w:t>model.</w:t>
      </w:r>
      <w:proofErr w:type="gramEnd"/>
      <w:r>
        <w:rPr>
          <w:rFonts w:ascii="BdhkvdWarnockPro-Regular" w:eastAsiaTheme="minorEastAsia" w:hAnsi="BdhkvdWarnockPro-Regular" w:cs="BdhkvdWarnockPro-Regular"/>
          <w:color w:val="000000"/>
          <w:szCs w:val="24"/>
        </w:rPr>
        <w:t xml:space="preserve"> I</w:t>
      </w:r>
      <w:r w:rsidRPr="00826A28">
        <w:rPr>
          <w:rFonts w:ascii="BdhkvdWarnockPro-Regular" w:hAnsi="BdhkvdWarnockPro-Regular" w:cs="BdhkvdWarnockPro-Regular"/>
          <w:color w:val="000000"/>
          <w:szCs w:val="24"/>
        </w:rPr>
        <w:t xml:space="preserve">f </w:t>
      </w:r>
      <m:oMath>
        <m:r>
          <w:rPr>
            <w:rFonts w:ascii="Cambria Math" w:eastAsiaTheme="minorEastAsia" w:hAnsi="Cambria Math" w:cs="BdhkvdWarnockPro-Regular"/>
            <w:color w:val="000000"/>
            <w:szCs w:val="24"/>
          </w:rPr>
          <m:t>∅</m:t>
        </m:r>
      </m:oMath>
      <w:r w:rsidRPr="00826A28">
        <w:rPr>
          <w:rFonts w:ascii="QxlkpwWarnockPro-It" w:hAnsi="QxlkpwWarnockPro-It" w:cs="QxlkpwWarnockPro-It"/>
          <w:i/>
          <w:iCs/>
          <w:color w:val="000000"/>
          <w:szCs w:val="24"/>
        </w:rPr>
        <w:t xml:space="preserve"> </w:t>
      </w:r>
      <w:r w:rsidRPr="00826A28">
        <w:rPr>
          <w:rFonts w:ascii="BdhkvdWarnockPro-Regular" w:hAnsi="BdhkvdWarnockPro-Regular" w:cs="BdhkvdWarnockPro-Regular"/>
          <w:color w:val="000000"/>
          <w:szCs w:val="24"/>
        </w:rPr>
        <w:t xml:space="preserve">&gt; 0, variance </w:t>
      </w:r>
      <w:r>
        <w:rPr>
          <w:rFonts w:ascii="BdhkvdWarnockPro-Regular" w:hAnsi="BdhkvdWarnockPro-Regular" w:cs="BdhkvdWarnockPro-Regular"/>
          <w:color w:val="000000"/>
          <w:szCs w:val="24"/>
        </w:rPr>
        <w:t>is</w:t>
      </w:r>
      <w:r w:rsidRPr="00826A28">
        <w:rPr>
          <w:rFonts w:ascii="BdhkvdWarnockPro-Regular" w:hAnsi="BdhkvdWarnockPro-Regular" w:cs="BdhkvdWarnockPro-Regular"/>
          <w:color w:val="000000"/>
          <w:szCs w:val="24"/>
        </w:rPr>
        <w:t xml:space="preserve"> greater than mean and becomes over dispersed</w:t>
      </w:r>
      <w:r>
        <w:rPr>
          <w:rFonts w:cs="Times New Roman"/>
          <w:szCs w:val="24"/>
        </w:rPr>
        <w:fldChar w:fldCharType="begin"/>
      </w:r>
      <w:r>
        <w:rPr>
          <w:rFonts w:cs="Times New Roman"/>
          <w:szCs w:val="24"/>
        </w:rPr>
        <w:instrText xml:space="preserve"> ADDIN EN.CITE &lt;EndNote&gt;&lt;Cite&gt;&lt;Author&gt;Seyoum&lt;/Author&gt;&lt;Year&gt;2016&lt;/Year&gt;&lt;RecNum&gt;819&lt;/RecNum&gt;&lt;DisplayText&gt;[23]&lt;/DisplayText&gt;&lt;record&gt;&lt;rec-number&gt;819&lt;/rec-number&gt;&lt;foreign-keys&gt;&lt;key app="EN" db-id="vvzvxs0z3p5pf2e2e2op5zfdrrsr5d52fw2f"&gt;819&lt;/key&gt;&lt;/foreign-keys&gt;&lt;ref-type name="Journal Article"&gt;17&lt;/ref-type&gt;&lt;contributors&gt;&lt;authors&gt;&lt;author&gt;Seyoum, Awoke&lt;/author&gt;&lt;author&gt;Zewotir, Temesgen&lt;/author&gt;&lt;/authors&gt;&lt;/contributors&gt;&lt;titles&gt;&lt;title&gt;Quasi-Poisson versus negative binomial regression models in identifying factors affecting initial CD4 cell count change due to antiretroviral therapy administered to HIV-positive adults in north–West Ethiopia (Amhara region)&lt;/title&gt;&lt;secondary-title&gt;AIDS research and therapy&lt;/secondary-title&gt;&lt;/titles&gt;&lt;periodical&gt;&lt;full-title&gt;AIDS research and therapy&lt;/full-title&gt;&lt;/periodical&gt;&lt;pages&gt;36&lt;/pages&gt;&lt;volume&gt;13&lt;/volume&gt;&lt;number&gt;1&lt;/number&gt;&lt;dates&gt;&lt;year&gt;2016&lt;/year&gt;&lt;/dates&gt;&lt;isbn&gt;1742-6405&lt;/isbn&gt;&lt;urls&gt;&lt;/urls&gt;&lt;/record&gt;&lt;/Cite&gt;&lt;/EndNote&gt;</w:instrText>
      </w:r>
      <w:r>
        <w:rPr>
          <w:rFonts w:cs="Times New Roman"/>
          <w:szCs w:val="24"/>
        </w:rPr>
        <w:fldChar w:fldCharType="separate"/>
      </w:r>
      <w:r>
        <w:rPr>
          <w:rFonts w:cs="Times New Roman"/>
          <w:noProof/>
          <w:szCs w:val="24"/>
        </w:rPr>
        <w:t>[</w:t>
      </w:r>
      <w:hyperlink w:anchor="_ENREF_23" w:tooltip="Seyoum, 2016 #819" w:history="1">
        <w:r>
          <w:rPr>
            <w:rFonts w:cs="Times New Roman"/>
            <w:noProof/>
            <w:szCs w:val="24"/>
          </w:rPr>
          <w:t>23</w:t>
        </w:r>
      </w:hyperlink>
      <w:r>
        <w:rPr>
          <w:rFonts w:cs="Times New Roman"/>
          <w:noProof/>
          <w:szCs w:val="24"/>
        </w:rPr>
        <w:t>]</w:t>
      </w:r>
      <w:r>
        <w:rPr>
          <w:rFonts w:cs="Times New Roman"/>
          <w:szCs w:val="24"/>
        </w:rPr>
        <w:fldChar w:fldCharType="end"/>
      </w:r>
      <w:r w:rsidRPr="00826A28">
        <w:rPr>
          <w:rFonts w:ascii="BdhkvdWarnockPro-Regular" w:hAnsi="BdhkvdWarnockPro-Regular" w:cs="BdhkvdWarnockPro-Regular"/>
          <w:color w:val="000000"/>
          <w:szCs w:val="24"/>
        </w:rPr>
        <w:t>.</w:t>
      </w:r>
    </w:p>
    <w:p w14:paraId="58A8FB4B" w14:textId="77777777" w:rsidR="00B55453" w:rsidRDefault="00B55453" w:rsidP="00B55453">
      <w:pPr>
        <w:autoSpaceDE w:val="0"/>
        <w:autoSpaceDN w:val="0"/>
        <w:adjustRightInd w:val="0"/>
        <w:spacing w:after="0"/>
        <w:ind w:left="-450"/>
        <w:rPr>
          <w:rFonts w:cs="Times New Roman"/>
          <w:color w:val="000000"/>
          <w:szCs w:val="24"/>
        </w:rPr>
      </w:pPr>
      <w:r>
        <w:rPr>
          <w:rFonts w:ascii="BdhkvdWarnockPro-Regular" w:hAnsi="BdhkvdWarnockPro-Regular" w:cs="BdhkvdWarnockPro-Regular"/>
          <w:color w:val="000000"/>
          <w:szCs w:val="24"/>
        </w:rPr>
        <w:t>Since our CD4 cell count data was over-</w:t>
      </w:r>
      <w:proofErr w:type="spellStart"/>
      <w:r>
        <w:rPr>
          <w:rFonts w:ascii="BdhkvdWarnockPro-Regular" w:hAnsi="BdhkvdWarnockPro-Regular" w:cs="BdhkvdWarnockPro-Regular"/>
          <w:color w:val="000000"/>
          <w:szCs w:val="24"/>
        </w:rPr>
        <w:t>dispressed</w:t>
      </w:r>
      <w:proofErr w:type="spellEnd"/>
      <w:r>
        <w:rPr>
          <w:rFonts w:ascii="BdhkvdWarnockPro-Regular" w:hAnsi="BdhkvdWarnockPro-Regular" w:cs="BdhkvdWarnockPro-Regular"/>
          <w:color w:val="000000"/>
          <w:szCs w:val="24"/>
        </w:rPr>
        <w:t xml:space="preserve"> (variance &gt; mean) for each follow up time/visit, the two models, q</w:t>
      </w:r>
      <w:r w:rsidRPr="00826A28">
        <w:rPr>
          <w:rFonts w:ascii="BdhkvdWarnockPro-Regular" w:hAnsi="BdhkvdWarnockPro-Regular" w:cs="BdhkvdWarnockPro-Regular"/>
          <w:color w:val="000000"/>
          <w:szCs w:val="24"/>
        </w:rPr>
        <w:t>uasi-Poisson and negative</w:t>
      </w:r>
      <w:r>
        <w:rPr>
          <w:rFonts w:ascii="BdhkvdWarnockPro-Regular" w:hAnsi="BdhkvdWarnockPro-Regular" w:cs="BdhkvdWarnockPro-Regular"/>
          <w:color w:val="000000"/>
          <w:szCs w:val="24"/>
        </w:rPr>
        <w:t>-B</w:t>
      </w:r>
      <w:r w:rsidRPr="00826A28">
        <w:rPr>
          <w:rFonts w:ascii="BdhkvdWarnockPro-Regular" w:hAnsi="BdhkvdWarnockPro-Regular" w:cs="BdhkvdWarnockPro-Regular"/>
          <w:color w:val="000000"/>
          <w:szCs w:val="24"/>
        </w:rPr>
        <w:t>inomial regression mo</w:t>
      </w:r>
      <w:r>
        <w:rPr>
          <w:rFonts w:ascii="BdhkvdWarnockPro-Regular" w:hAnsi="BdhkvdWarnockPro-Regular" w:cs="BdhkvdWarnockPro-Regular"/>
          <w:color w:val="000000"/>
          <w:szCs w:val="24"/>
        </w:rPr>
        <w:t>dels</w:t>
      </w:r>
      <w:r w:rsidRPr="00826A28">
        <w:rPr>
          <w:rFonts w:ascii="BdhkvdWarnockPro-Regular" w:hAnsi="BdhkvdWarnockPro-Regular" w:cs="BdhkvdWarnockPro-Regular"/>
          <w:color w:val="000000"/>
          <w:szCs w:val="24"/>
        </w:rPr>
        <w:t xml:space="preserve"> are potential candidates for fitting </w:t>
      </w:r>
      <w:r>
        <w:rPr>
          <w:rFonts w:ascii="BdhkvdWarnockPro-Regular" w:hAnsi="BdhkvdWarnockPro-Regular" w:cs="BdhkvdWarnockPro-Regular"/>
          <w:color w:val="000000"/>
          <w:szCs w:val="24"/>
        </w:rPr>
        <w:t>our</w:t>
      </w:r>
      <w:r w:rsidRPr="00826A28">
        <w:rPr>
          <w:rFonts w:ascii="BdhkvdWarnockPro-Regular" w:hAnsi="BdhkvdWarnockPro-Regular" w:cs="BdhkvdWarnockPro-Regular"/>
          <w:color w:val="000000"/>
          <w:szCs w:val="24"/>
        </w:rPr>
        <w:t xml:space="preserve"> data. Therefore, we compared the two models using the values of log-likelihood, AIC and BIC to assess goodness-of-fit </w:t>
      </w:r>
      <w:r>
        <w:rPr>
          <w:rFonts w:ascii="BdhkvdWarnockPro-Regular" w:hAnsi="BdhkvdWarnockPro-Regular" w:cs="BdhkvdWarnockPro-Regular"/>
          <w:color w:val="000000"/>
          <w:szCs w:val="24"/>
        </w:rPr>
        <w:t>for</w:t>
      </w:r>
      <w:r w:rsidRPr="00826A28">
        <w:rPr>
          <w:rFonts w:ascii="BdhkvdWarnockPro-Regular" w:hAnsi="BdhkvdWarnockPro-Regular" w:cs="BdhkvdWarnockPro-Regular"/>
          <w:color w:val="000000"/>
          <w:szCs w:val="24"/>
        </w:rPr>
        <w:t xml:space="preserve"> our data</w:t>
      </w:r>
      <w:r>
        <w:rPr>
          <w:rFonts w:cs="Times New Roman"/>
          <w:szCs w:val="24"/>
        </w:rPr>
        <w:fldChar w:fldCharType="begin"/>
      </w:r>
      <w:r>
        <w:rPr>
          <w:rFonts w:cs="Times New Roman"/>
          <w:szCs w:val="24"/>
        </w:rPr>
        <w:instrText xml:space="preserve"> ADDIN EN.CITE &lt;EndNote&gt;&lt;Cite&gt;&lt;Author&gt;Seyoum&lt;/Author&gt;&lt;Year&gt;2016&lt;/Year&gt;&lt;RecNum&gt;819&lt;/RecNum&gt;&lt;DisplayText&gt;[23]&lt;/DisplayText&gt;&lt;record&gt;&lt;rec-number&gt;819&lt;/rec-number&gt;&lt;foreign-keys&gt;&lt;key app="EN" db-id="vvzvxs0z3p5pf2e2e2op5zfdrrsr5d52fw2f"&gt;819&lt;/key&gt;&lt;/foreign-keys&gt;&lt;ref-type name="Journal Article"&gt;17&lt;/ref-type&gt;&lt;contributors&gt;&lt;authors&gt;&lt;author&gt;Seyoum, Awoke&lt;/author&gt;&lt;author&gt;Zewotir, Temesgen&lt;/author&gt;&lt;/authors&gt;&lt;/contributors&gt;&lt;titles&gt;&lt;title&gt;Quasi-Poisson versus negative binomial regression models in identifying factors affecting initial CD4 cell count change due to antiretroviral therapy administered to HIV-positive adults in north–West Ethiopia (Amhara region)&lt;/title&gt;&lt;secondary-title&gt;AIDS research and therapy&lt;/secondary-title&gt;&lt;/titles&gt;&lt;periodical&gt;&lt;full-title&gt;AIDS research and therapy&lt;/full-title&gt;&lt;/periodical&gt;&lt;pages&gt;36&lt;/pages&gt;&lt;volume&gt;13&lt;/volume&gt;&lt;number&gt;1&lt;/number&gt;&lt;dates&gt;&lt;year&gt;2016&lt;/year&gt;&lt;/dates&gt;&lt;isbn&gt;1742-6405&lt;/isbn&gt;&lt;urls&gt;&lt;/urls&gt;&lt;/record&gt;&lt;/Cite&gt;&lt;/EndNote&gt;</w:instrText>
      </w:r>
      <w:r>
        <w:rPr>
          <w:rFonts w:cs="Times New Roman"/>
          <w:szCs w:val="24"/>
        </w:rPr>
        <w:fldChar w:fldCharType="separate"/>
      </w:r>
      <w:r>
        <w:rPr>
          <w:rFonts w:cs="Times New Roman"/>
          <w:noProof/>
          <w:szCs w:val="24"/>
        </w:rPr>
        <w:t>[</w:t>
      </w:r>
      <w:hyperlink w:anchor="_ENREF_23" w:tooltip="Seyoum, 2016 #819" w:history="1">
        <w:r>
          <w:rPr>
            <w:rFonts w:cs="Times New Roman"/>
            <w:noProof/>
            <w:szCs w:val="24"/>
          </w:rPr>
          <w:t>23</w:t>
        </w:r>
      </w:hyperlink>
      <w:r>
        <w:rPr>
          <w:rFonts w:cs="Times New Roman"/>
          <w:noProof/>
          <w:szCs w:val="24"/>
        </w:rPr>
        <w:t>]</w:t>
      </w:r>
      <w:r>
        <w:rPr>
          <w:rFonts w:cs="Times New Roman"/>
          <w:szCs w:val="24"/>
        </w:rPr>
        <w:fldChar w:fldCharType="end"/>
      </w:r>
      <w:r>
        <w:rPr>
          <w:rFonts w:ascii="BdhkvdWarnockPro-Regular" w:hAnsi="BdhkvdWarnockPro-Regular" w:cs="BdhkvdWarnockPro-Regular"/>
          <w:color w:val="000000"/>
          <w:szCs w:val="24"/>
        </w:rPr>
        <w:t xml:space="preserve">. </w:t>
      </w:r>
      <w:r>
        <w:rPr>
          <w:rFonts w:cs="Times New Roman"/>
          <w:color w:val="000000"/>
          <w:szCs w:val="24"/>
        </w:rPr>
        <w:t>Since, AIC and BIC were smaller for q</w:t>
      </w:r>
      <w:r w:rsidRPr="00B84504">
        <w:rPr>
          <w:rFonts w:cs="Times New Roman"/>
          <w:color w:val="000000"/>
          <w:szCs w:val="24"/>
        </w:rPr>
        <w:t>uasi-Poisson</w:t>
      </w:r>
      <w:r>
        <w:rPr>
          <w:rFonts w:cs="Times New Roman"/>
          <w:color w:val="000000"/>
          <w:szCs w:val="24"/>
        </w:rPr>
        <w:t>, it has been selected as a model of CD4 cell count marginal data analysis</w:t>
      </w:r>
      <w:r w:rsidRPr="00B84504">
        <w:rPr>
          <w:rFonts w:cs="Times New Roman"/>
          <w:color w:val="000000"/>
          <w:szCs w:val="24"/>
        </w:rPr>
        <w:t xml:space="preserve">. </w:t>
      </w:r>
      <w:r>
        <w:rPr>
          <w:rFonts w:cs="Times New Roman"/>
          <w:color w:val="000000"/>
          <w:szCs w:val="24"/>
        </w:rPr>
        <w:t xml:space="preserve">Similarly, the binary logistic regression model was </w:t>
      </w:r>
      <w:proofErr w:type="spellStart"/>
      <w:r>
        <w:rPr>
          <w:rFonts w:cs="Times New Roman"/>
          <w:color w:val="000000"/>
          <w:szCs w:val="24"/>
        </w:rPr>
        <w:t>employeed</w:t>
      </w:r>
      <w:proofErr w:type="spellEnd"/>
      <w:r>
        <w:rPr>
          <w:rFonts w:cs="Times New Roman"/>
          <w:color w:val="000000"/>
          <w:szCs w:val="24"/>
        </w:rPr>
        <w:t xml:space="preserve"> for marginal data analysis </w:t>
      </w:r>
      <w:proofErr w:type="gramStart"/>
      <w:r>
        <w:rPr>
          <w:rFonts w:cs="Times New Roman"/>
          <w:color w:val="000000"/>
          <w:szCs w:val="24"/>
        </w:rPr>
        <w:t>of  the</w:t>
      </w:r>
      <w:proofErr w:type="gramEnd"/>
      <w:r>
        <w:rPr>
          <w:rFonts w:cs="Times New Roman"/>
          <w:color w:val="000000"/>
          <w:szCs w:val="24"/>
        </w:rPr>
        <w:t xml:space="preserve"> </w:t>
      </w:r>
      <w:proofErr w:type="spellStart"/>
      <w:r>
        <w:rPr>
          <w:rFonts w:cs="Times New Roman"/>
          <w:color w:val="000000"/>
          <w:szCs w:val="24"/>
        </w:rPr>
        <w:t>diotoumus</w:t>
      </w:r>
      <w:proofErr w:type="spellEnd"/>
      <w:r>
        <w:rPr>
          <w:rFonts w:cs="Times New Roman"/>
          <w:color w:val="000000"/>
          <w:szCs w:val="24"/>
        </w:rPr>
        <w:t xml:space="preserve"> outcome response variable, BMI. </w:t>
      </w:r>
      <w:r w:rsidRPr="002F4337">
        <w:rPr>
          <w:rFonts w:cs="Times New Roman"/>
          <w:color w:val="000000"/>
          <w:szCs w:val="24"/>
        </w:rPr>
        <w:t xml:space="preserve">In </w:t>
      </w:r>
      <w:r>
        <w:rPr>
          <w:rFonts w:cs="Times New Roman"/>
          <w:color w:val="000000"/>
          <w:szCs w:val="24"/>
        </w:rPr>
        <w:t xml:space="preserve">potential </w:t>
      </w:r>
      <w:r w:rsidRPr="002F4337">
        <w:rPr>
          <w:rFonts w:cs="Times New Roman"/>
          <w:color w:val="000000"/>
          <w:szCs w:val="24"/>
        </w:rPr>
        <w:t xml:space="preserve">predictor variable selection, we considered all predictors in the model, and fitted each product term obtained from predictor variables one at a time. </w:t>
      </w:r>
    </w:p>
    <w:p w14:paraId="65BD52AC" w14:textId="77777777" w:rsidR="00B55453" w:rsidRDefault="00B55453" w:rsidP="00B55453">
      <w:pPr>
        <w:autoSpaceDE w:val="0"/>
        <w:autoSpaceDN w:val="0"/>
        <w:adjustRightInd w:val="0"/>
        <w:spacing w:after="0"/>
        <w:ind w:left="-450"/>
        <w:rPr>
          <w:rFonts w:cs="Times New Roman"/>
          <w:szCs w:val="24"/>
        </w:rPr>
      </w:pPr>
      <w:r w:rsidRPr="0048716D">
        <w:rPr>
          <w:rFonts w:cs="Times New Roman"/>
          <w:color w:val="000000"/>
          <w:szCs w:val="24"/>
        </w:rPr>
        <w:t xml:space="preserve">To assess the association between CD4 cell count and </w:t>
      </w:r>
      <w:r>
        <w:rPr>
          <w:rFonts w:cs="Times New Roman"/>
          <w:color w:val="000000"/>
          <w:szCs w:val="24"/>
        </w:rPr>
        <w:t>BMI</w:t>
      </w:r>
      <w:r w:rsidRPr="0048716D">
        <w:rPr>
          <w:rFonts w:cs="Times New Roman"/>
          <w:color w:val="000000"/>
          <w:szCs w:val="24"/>
        </w:rPr>
        <w:t xml:space="preserve"> data</w:t>
      </w:r>
      <w:r>
        <w:rPr>
          <w:rFonts w:cs="Times New Roman"/>
          <w:color w:val="000000"/>
          <w:szCs w:val="24"/>
        </w:rPr>
        <w:t>,</w:t>
      </w:r>
      <w:r w:rsidRPr="0048716D">
        <w:rPr>
          <w:rFonts w:cs="Times New Roman"/>
          <w:color w:val="000000"/>
          <w:szCs w:val="24"/>
        </w:rPr>
        <w:t xml:space="preserve"> the joint generalized linear mixed model was fitted. In this model, the correlation between the two responses is specified through the random effect structure assuming separate random intercept for each outcome and combining them by imposing joint multivariate distribution on the random intercept.</w:t>
      </w:r>
      <w:r>
        <w:rPr>
          <w:rFonts w:cs="Times New Roman"/>
          <w:szCs w:val="24"/>
        </w:rPr>
        <w:t xml:space="preserve">  A</w:t>
      </w:r>
      <w:r w:rsidRPr="00F05203">
        <w:rPr>
          <w:rFonts w:cs="Times New Roman"/>
          <w:color w:val="000000" w:themeColor="text1"/>
          <w:szCs w:val="24"/>
        </w:rPr>
        <w:t xml:space="preserve"> direct specification of joint distribution for both outcomes using mixed effects model</w:t>
      </w:r>
      <w:r>
        <w:rPr>
          <w:rFonts w:cs="Times New Roman"/>
          <w:color w:val="000000" w:themeColor="text1"/>
          <w:szCs w:val="24"/>
        </w:rPr>
        <w:t xml:space="preserve"> was developed</w:t>
      </w:r>
      <w:r w:rsidRPr="00F05203">
        <w:rPr>
          <w:rFonts w:cs="Times New Roman"/>
          <w:color w:val="000000" w:themeColor="text1"/>
          <w:szCs w:val="24"/>
        </w:rPr>
        <w:t xml:space="preserve"> </w:t>
      </w:r>
      <w:r w:rsidRPr="00F05203">
        <w:rPr>
          <w:rFonts w:cs="Times New Roman"/>
          <w:szCs w:val="24"/>
        </w:rPr>
        <w:fldChar w:fldCharType="begin"/>
      </w:r>
      <w:r>
        <w:rPr>
          <w:rFonts w:cs="Times New Roman"/>
          <w:szCs w:val="24"/>
        </w:rPr>
        <w:instrText xml:space="preserve"> ADDIN EN.CITE &lt;EndNote&gt;&lt;Cite&gt;&lt;Author&gt;Seyoum&lt;/Author&gt;&lt;Year&gt;2017&lt;/Year&gt;&lt;RecNum&gt;680&lt;/RecNum&gt;&lt;DisplayText&gt;[18]&lt;/DisplayText&gt;&lt;record&gt;&lt;rec-number&gt;680&lt;/rec-number&gt;&lt;foreign-keys&gt;&lt;key app="EN" db-id="2wtsta5p0azfvke9esb5fxf5vrx2ftaz5ate"&gt;680&lt;/key&gt;&lt;/foreign-keys&gt;&lt;ref-type name="Journal Article"&gt;17&lt;/ref-type&gt;&lt;contributors&gt;&lt;authors&gt;&lt;author&gt;Seyoum, Awoke&lt;/author&gt;&lt;author&gt;Temesgen, Zewotir&lt;/author&gt;&lt;/authors&gt;&lt;/contributors&gt;&lt;titles&gt;&lt;title&gt;Joint longitudinal data analysis in detecting determinants of CD4 cell count change and adherence to highly active antiretroviral therapy at Felege Hiwot Teaching and Specialized Hospital, North-west Ethiopia (Amhara Region)&lt;/title&gt;&lt;secondary-title&gt;AIDS Research and Therapy&lt;/secondary-title&gt;&lt;/titles&gt;&lt;periodical&gt;&lt;full-title&gt;AIDS research and therapy&lt;/full-title&gt;&lt;/periodical&gt;&lt;pages&gt;14&lt;/pages&gt;&lt;volume&gt;14&lt;/volume&gt;&lt;number&gt;1&lt;/number&gt;&lt;dates&gt;&lt;year&gt;2017&lt;/year&gt;&lt;/dates&gt;&lt;isbn&gt;1742-6405&lt;/isbn&gt;&lt;urls&gt;&lt;/urls&gt;&lt;/record&gt;&lt;/Cite&gt;&lt;/EndNote&gt;</w:instrText>
      </w:r>
      <w:r w:rsidRPr="00F05203">
        <w:rPr>
          <w:rFonts w:cs="Times New Roman"/>
          <w:szCs w:val="24"/>
        </w:rPr>
        <w:fldChar w:fldCharType="separate"/>
      </w:r>
      <w:r>
        <w:rPr>
          <w:rFonts w:cs="Times New Roman"/>
          <w:noProof/>
          <w:szCs w:val="24"/>
        </w:rPr>
        <w:t>[</w:t>
      </w:r>
      <w:hyperlink w:anchor="_ENREF_18" w:tooltip="Seyoum, 2017 #817" w:history="1">
        <w:r>
          <w:rPr>
            <w:rFonts w:cs="Times New Roman"/>
            <w:noProof/>
            <w:szCs w:val="24"/>
          </w:rPr>
          <w:t>18</w:t>
        </w:r>
      </w:hyperlink>
      <w:r>
        <w:rPr>
          <w:rFonts w:cs="Times New Roman"/>
          <w:noProof/>
          <w:szCs w:val="24"/>
        </w:rPr>
        <w:t>]</w:t>
      </w:r>
      <w:r w:rsidRPr="00F05203">
        <w:rPr>
          <w:rFonts w:cs="Times New Roman"/>
          <w:szCs w:val="24"/>
        </w:rPr>
        <w:fldChar w:fldCharType="end"/>
      </w:r>
      <w:r w:rsidRPr="00F05203">
        <w:rPr>
          <w:rFonts w:cs="Times New Roman"/>
          <w:szCs w:val="24"/>
        </w:rPr>
        <w:t xml:space="preserve">. </w:t>
      </w:r>
      <w:r w:rsidRPr="008470AF">
        <w:rPr>
          <w:rFonts w:cs="Times New Roman"/>
          <w:szCs w:val="24"/>
        </w:rPr>
        <w:t xml:space="preserve">The conditional independence of random effects in joint model </w:t>
      </w:r>
      <w:proofErr w:type="spellStart"/>
      <w:r w:rsidRPr="008470AF">
        <w:rPr>
          <w:rFonts w:cs="Times New Roman"/>
          <w:szCs w:val="24"/>
        </w:rPr>
        <w:t>considere</w:t>
      </w:r>
      <w:r>
        <w:rPr>
          <w:rFonts w:cs="Times New Roman"/>
          <w:szCs w:val="24"/>
        </w:rPr>
        <w:t>s</w:t>
      </w:r>
      <w:proofErr w:type="spellEnd"/>
      <w:r w:rsidRPr="008470AF">
        <w:rPr>
          <w:rFonts w:cs="Times New Roman"/>
          <w:szCs w:val="24"/>
        </w:rPr>
        <w:t xml:space="preserve"> the following components</w:t>
      </w:r>
      <w:r>
        <w:rPr>
          <w:rFonts w:cs="Times New Roman"/>
          <w:szCs w:val="24"/>
        </w:rPr>
        <w:t xml:space="preserve"> </w:t>
      </w:r>
      <w:r>
        <w:rPr>
          <w:rFonts w:cs="Times New Roman"/>
          <w:szCs w:val="24"/>
        </w:rPr>
        <w:fldChar w:fldCharType="begin"/>
      </w:r>
      <w:r>
        <w:rPr>
          <w:rFonts w:cs="Times New Roman"/>
          <w:szCs w:val="24"/>
        </w:rPr>
        <w:instrText xml:space="preserve"> ADDIN EN.CITE &lt;EndNote&gt;&lt;Cite&gt;&lt;Author&gt;Seid&lt;/Author&gt;&lt;Year&gt;2014&lt;/Year&gt;&lt;RecNum&gt;29&lt;/RecNum&gt;&lt;DisplayText&gt;[20]&lt;/DisplayText&gt;&lt;record&gt;&lt;rec-number&gt;29&lt;/rec-number&gt;&lt;foreign-keys&gt;&lt;key app="EN" db-id="vd09pe5fyaexwbede5w5xzx4zxrf905drr2v"&gt;29&lt;/key&gt;&lt;/foreign-keys&gt;&lt;ref-type name="Journal Article"&gt;17&lt;/ref-type&gt;&lt;contributors&gt;&lt;authors&gt;&lt;author&gt;Seid, Awol&lt;/author&gt;&lt;author&gt;Getie, Muluye&lt;/author&gt;&lt;author&gt;Birlie, Belay&lt;/author&gt;&lt;author&gt;Getachew, Yehenew&lt;/author&gt;&lt;/authors&gt;&lt;/contributors&gt;&lt;titles&gt;&lt;title&gt;Joint modeling of longitudinal CD4 cell counts and time-to-default from HAART treatment: a comparison of separate and joint models&lt;/title&gt;&lt;secondary-title&gt;Electronic Journal of Applied Statistical Analysis&lt;/secondary-title&gt;&lt;/titles&gt;&lt;pages&gt;292-314&lt;/pages&gt;&lt;volume&gt;7&lt;/volume&gt;&lt;number&gt;2&lt;/number&gt;&lt;dates&gt;&lt;year&gt;2014&lt;/year&gt;&lt;/dates&gt;&lt;isbn&gt;2070-5948&lt;/isbn&gt;&lt;urls&gt;&lt;/urls&gt;&lt;/record&gt;&lt;/Cite&gt;&lt;/EndNote&gt;</w:instrText>
      </w:r>
      <w:r>
        <w:rPr>
          <w:rFonts w:cs="Times New Roman"/>
          <w:szCs w:val="24"/>
        </w:rPr>
        <w:fldChar w:fldCharType="separate"/>
      </w:r>
      <w:r>
        <w:rPr>
          <w:rFonts w:cs="Times New Roman"/>
          <w:noProof/>
          <w:szCs w:val="24"/>
        </w:rPr>
        <w:t>[</w:t>
      </w:r>
      <w:hyperlink w:anchor="_ENREF_20" w:tooltip="Seid, 2014 #29" w:history="1">
        <w:r>
          <w:rPr>
            <w:rFonts w:cs="Times New Roman"/>
            <w:noProof/>
            <w:szCs w:val="24"/>
          </w:rPr>
          <w:t>20</w:t>
        </w:r>
      </w:hyperlink>
      <w:r>
        <w:rPr>
          <w:rFonts w:cs="Times New Roman"/>
          <w:noProof/>
          <w:szCs w:val="24"/>
        </w:rPr>
        <w:t>]</w:t>
      </w:r>
      <w:r>
        <w:rPr>
          <w:rFonts w:cs="Times New Roman"/>
          <w:szCs w:val="24"/>
        </w:rPr>
        <w:fldChar w:fldCharType="end"/>
      </w:r>
      <w:r w:rsidRPr="008470AF">
        <w:rPr>
          <w:rFonts w:cs="Times New Roman"/>
          <w:szCs w:val="24"/>
        </w:rPr>
        <w:t>:</w:t>
      </w:r>
    </w:p>
    <w:p w14:paraId="2B1975F0" w14:textId="77777777" w:rsidR="00B55453" w:rsidRPr="000E23F1" w:rsidRDefault="00B55453" w:rsidP="00B55453">
      <w:pPr>
        <w:rPr>
          <w:rFonts w:eastAsiaTheme="minorEastAsia" w:cs="Times New Roman"/>
          <w:szCs w:val="24"/>
        </w:rPr>
      </w:pPr>
      <m:oMathPara>
        <m:oMathParaPr>
          <m:jc m:val="right"/>
        </m:oMathParaPr>
        <m:oMath>
          <m:d>
            <m:dPr>
              <m:begChr m:val="{"/>
              <m:endChr m:val=""/>
              <m:ctrlPr>
                <w:rPr>
                  <w:rFonts w:ascii="Cambria Math" w:eastAsiaTheme="minorEastAsia" w:hAnsi="Cambria Math" w:cs="Times New Roman"/>
                  <w:i/>
                  <w:szCs w:val="24"/>
                </w:rPr>
              </m:ctrlPr>
            </m:dPr>
            <m:e>
              <m:eqArr>
                <m:eqArrPr>
                  <m:ctrlPr>
                    <w:rPr>
                      <w:rFonts w:ascii="Cambria Math" w:eastAsiaTheme="minorEastAsia" w:hAnsi="Cambria Math" w:cs="Times New Roman"/>
                      <w:i/>
                      <w:szCs w:val="24"/>
                    </w:rPr>
                  </m:ctrlPr>
                </m:eqArrPr>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cs="Times New Roman"/>
                          <w:szCs w:val="24"/>
                        </w:rPr>
                        <m:t>1</m:t>
                      </m:r>
                      <m:r>
                        <w:rPr>
                          <w:rFonts w:ascii="Cambria Math" w:hAnsi="Cambria Math" w:cs="Times New Roman"/>
                          <w:szCs w:val="24"/>
                        </w:rPr>
                        <m:t>ij</m:t>
                      </m:r>
                    </m:sub>
                  </m:sSub>
                  <m:r>
                    <m:rPr>
                      <m:sty m:val="p"/>
                    </m:rPr>
                    <w:rPr>
                      <w:rFonts w:ascii="Cambria Math" w:hAnsi="Cambria Math" w:cs="Times New Roman"/>
                      <w:szCs w:val="24"/>
                    </w:rPr>
                    <m:t xml:space="preserve">  stands for j</m:t>
                  </m:r>
                  <m:r>
                    <m:rPr>
                      <m:sty m:val="p"/>
                    </m:rPr>
                    <w:rPr>
                      <w:rFonts w:ascii="Cambria Math" w:hAnsi="Cambria Math" w:cs="Times New Roman"/>
                      <w:szCs w:val="24"/>
                      <w:vertAlign w:val="superscript"/>
                    </w:rPr>
                    <m:t>th</m:t>
                  </m:r>
                  <m:r>
                    <m:rPr>
                      <m:sty m:val="p"/>
                    </m:rPr>
                    <w:rPr>
                      <w:rFonts w:ascii="Cambria Math" w:hAnsi="Cambria Math" w:cs="Times New Roman"/>
                      <w:szCs w:val="24"/>
                    </w:rPr>
                    <m:t xml:space="preserve">  visit  CD4 cell count for the   i</m:t>
                  </m:r>
                  <m:r>
                    <m:rPr>
                      <m:sty m:val="p"/>
                    </m:rPr>
                    <w:rPr>
                      <w:rFonts w:ascii="Cambria Math" w:hAnsi="Cambria Math" w:cs="Times New Roman"/>
                      <w:szCs w:val="24"/>
                      <w:vertAlign w:val="superscript"/>
                    </w:rPr>
                    <m:t>th</m:t>
                  </m:r>
                  <m:r>
                    <m:rPr>
                      <m:sty m:val="p"/>
                    </m:rPr>
                    <w:rPr>
                      <w:rFonts w:ascii="Cambria Math" w:hAnsi="Cambria Math" w:cs="Times New Roman"/>
                      <w:szCs w:val="24"/>
                    </w:rPr>
                    <m:t xml:space="preserve"> patient</m:t>
                  </m:r>
                </m:e>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cs="Times New Roman"/>
                          <w:szCs w:val="24"/>
                        </w:rPr>
                        <m:t>2</m:t>
                      </m:r>
                      <m:r>
                        <w:rPr>
                          <w:rFonts w:ascii="Cambria Math" w:hAnsi="Cambria Math" w:cs="Times New Roman"/>
                          <w:szCs w:val="24"/>
                        </w:rPr>
                        <m:t>ij</m:t>
                      </m:r>
                    </m:sub>
                  </m:sSub>
                  <m:r>
                    <m:rPr>
                      <m:sty m:val="p"/>
                    </m:rPr>
                    <w:rPr>
                      <w:rFonts w:ascii="Cambria Math" w:hAnsi="Cambria Math" w:cs="Times New Roman"/>
                      <w:szCs w:val="24"/>
                    </w:rPr>
                    <m:t xml:space="preserve">  stands for j</m:t>
                  </m:r>
                  <m:r>
                    <m:rPr>
                      <m:sty m:val="p"/>
                    </m:rPr>
                    <w:rPr>
                      <w:rFonts w:ascii="Cambria Math" w:hAnsi="Cambria Math" w:cs="Times New Roman"/>
                      <w:szCs w:val="24"/>
                      <w:vertAlign w:val="superscript"/>
                    </w:rPr>
                    <m:t>th</m:t>
                  </m:r>
                  <m:r>
                    <m:rPr>
                      <m:sty m:val="p"/>
                    </m:rPr>
                    <w:rPr>
                      <w:rFonts w:ascii="Cambria Math" w:hAnsi="Cambria Math" w:cs="Times New Roman"/>
                      <w:szCs w:val="24"/>
                    </w:rPr>
                    <m:t xml:space="preserve">  visits  BMI  for the   i</m:t>
                  </m:r>
                  <m:r>
                    <m:rPr>
                      <m:sty m:val="p"/>
                    </m:rPr>
                    <w:rPr>
                      <w:rFonts w:ascii="Cambria Math" w:hAnsi="Cambria Math" w:cs="Times New Roman"/>
                      <w:szCs w:val="24"/>
                      <w:vertAlign w:val="superscript"/>
                    </w:rPr>
                    <m:t>th</m:t>
                  </m:r>
                  <m:r>
                    <m:rPr>
                      <m:sty m:val="p"/>
                    </m:rPr>
                    <w:rPr>
                      <w:rFonts w:ascii="Cambria Math" w:hAnsi="Cambria Math" w:cs="Times New Roman"/>
                      <w:szCs w:val="24"/>
                    </w:rPr>
                    <m:t xml:space="preserve"> patien</m:t>
                  </m:r>
                </m:e>
                <m:e>
                  <m:func>
                    <m:funcPr>
                      <m:ctrlPr>
                        <w:rPr>
                          <w:rFonts w:ascii="Cambria Math" w:hAnsi="Cambria Math" w:cs="Times New Roman"/>
                          <w:szCs w:val="24"/>
                        </w:rPr>
                      </m:ctrlPr>
                    </m:funcPr>
                    <m:fName>
                      <m:r>
                        <m:rPr>
                          <m:sty m:val="p"/>
                        </m:rPr>
                        <w:rPr>
                          <w:rFonts w:ascii="Cambria Math" w:hAnsi="Cambria Math" w:cs="Times New Roman"/>
                          <w:szCs w:val="24"/>
                        </w:rPr>
                        <m:t>log</m:t>
                      </m:r>
                    </m:fName>
                    <m:e>
                      <m:d>
                        <m:dPr>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μ</m:t>
                              </m:r>
                            </m:e>
                            <m:sub>
                              <m:r>
                                <w:rPr>
                                  <w:rFonts w:ascii="Cambria Math" w:cs="Times New Roman"/>
                                  <w:szCs w:val="24"/>
                                </w:rPr>
                                <m:t>1</m:t>
                              </m:r>
                              <m:r>
                                <w:rPr>
                                  <w:rFonts w:ascii="Cambria Math" w:hAnsi="Cambria Math" w:cs="Times New Roman"/>
                                  <w:szCs w:val="24"/>
                                </w:rPr>
                                <m:t>i</m:t>
                              </m:r>
                            </m:sub>
                          </m:sSub>
                          <m:ctrlPr>
                            <w:rPr>
                              <w:rFonts w:ascii="Cambria Math" w:hAnsi="Cambria Math" w:cs="Times New Roman"/>
                              <w:i/>
                              <w:szCs w:val="24"/>
                            </w:rPr>
                          </m:ctrlPr>
                        </m:e>
                      </m:d>
                      <m:ctrlPr>
                        <w:rPr>
                          <w:rFonts w:ascii="Cambria Math" w:hAnsi="Cambria Math" w:cs="Times New Roman"/>
                          <w:i/>
                          <w:szCs w:val="24"/>
                        </w:rPr>
                      </m:ctrlPr>
                    </m:e>
                  </m:func>
                  <m:r>
                    <m:rPr>
                      <m:sty m:val="p"/>
                    </m:rPr>
                    <w:rPr>
                      <w:rFonts w:ascii="Cambria Math" w:hAnsi="Cambria Math" w:cs="Times New Roman"/>
                      <w:szCs w:val="24"/>
                    </w:rPr>
                    <m:t xml:space="preserve">= </m:t>
                  </m:r>
                  <m:sSubSup>
                    <m:sSubSupPr>
                      <m:ctrlPr>
                        <w:rPr>
                          <w:rFonts w:ascii="Cambria Math" w:hAnsi="Cambria Math" w:cs="Times New Roman"/>
                          <w:i/>
                          <w:szCs w:val="24"/>
                        </w:rPr>
                      </m:ctrlPr>
                    </m:sSubSupPr>
                    <m:e>
                      <m:r>
                        <w:rPr>
                          <w:rFonts w:ascii="Cambria Math" w:hAnsi="Cambria Math" w:cs="Times New Roman"/>
                          <w:szCs w:val="24"/>
                        </w:rPr>
                        <m:t>X</m:t>
                      </m:r>
                    </m:e>
                    <m:sub>
                      <m:r>
                        <w:rPr>
                          <w:rFonts w:ascii="Cambria Math" w:cs="Times New Roman"/>
                          <w:szCs w:val="24"/>
                        </w:rPr>
                        <m:t>1</m:t>
                      </m:r>
                      <m:r>
                        <w:rPr>
                          <w:rFonts w:ascii="Cambria Math" w:hAnsi="Cambria Math" w:cs="Times New Roman"/>
                          <w:szCs w:val="24"/>
                        </w:rPr>
                        <m:t>ij</m:t>
                      </m:r>
                    </m:sub>
                    <m:sup>
                      <m:r>
                        <w:rPr>
                          <w:rFonts w:ascii="Cambria Math" w:hAnsi="Cambria Math" w:cs="Times New Roman"/>
                          <w:szCs w:val="24"/>
                        </w:rPr>
                        <m:t>T</m:t>
                      </m:r>
                    </m:sup>
                  </m:sSubSup>
                  <m:r>
                    <w:rPr>
                      <w:rFonts w:ascii="Cambria Math" w:hAnsi="Cambria Math" w:cs="Times New Roman"/>
                      <w:szCs w:val="24"/>
                    </w:rPr>
                    <m:t>β</m:t>
                  </m:r>
                  <m:r>
                    <m:rPr>
                      <m:sty m:val="p"/>
                    </m:rP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α</m:t>
                      </m:r>
                    </m:e>
                    <m:sub>
                      <m:eqArr>
                        <m:eqArrPr>
                          <m:ctrlPr>
                            <w:rPr>
                              <w:rFonts w:ascii="Cambria Math" w:hAnsi="Cambria Math" w:cs="Times New Roman"/>
                              <w:i/>
                              <w:szCs w:val="24"/>
                            </w:rPr>
                          </m:ctrlPr>
                        </m:eqArrPr>
                        <m:e>
                          <m:r>
                            <w:rPr>
                              <w:rFonts w:ascii="Cambria Math" w:cs="Times New Roman"/>
                              <w:szCs w:val="24"/>
                            </w:rPr>
                            <m:t>1</m:t>
                          </m:r>
                          <m:r>
                            <w:rPr>
                              <w:rFonts w:ascii="Cambria Math" w:hAnsi="Cambria Math" w:cs="Times New Roman"/>
                              <w:szCs w:val="24"/>
                            </w:rPr>
                            <m:t>i</m:t>
                          </m:r>
                        </m:e>
                      </m:eqArr>
                    </m:sub>
                  </m:sSub>
                  <m:r>
                    <w:rPr>
                      <w:rFonts w:ascii="Cambria Math" w:hAnsi="Cambria Math" w:cs="Times New Roman"/>
                      <w:szCs w:val="24"/>
                    </w:rPr>
                    <m:t xml:space="preserve">   for CD4 cell count</m:t>
                  </m:r>
                  <m:ctrlPr>
                    <w:rPr>
                      <w:rFonts w:ascii="Cambria Math" w:eastAsia="Cambria Math" w:hAnsi="Cambria Math" w:cs="Cambria Math"/>
                      <w:i/>
                      <w:szCs w:val="24"/>
                    </w:rPr>
                  </m:ctrlPr>
                </m:e>
                <m:e>
                  <m:r>
                    <m:rPr>
                      <m:sty m:val="p"/>
                    </m:rPr>
                    <w:rPr>
                      <w:rFonts w:ascii="Cambria Math" w:hAnsi="Cambria Math" w:cs="Times New Roman"/>
                      <w:szCs w:val="24"/>
                    </w:rPr>
                    <m:t xml:space="preserve">logit </m:t>
                  </m:r>
                  <m:d>
                    <m:dPr>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μ</m:t>
                          </m:r>
                        </m:e>
                        <m:sub>
                          <m:r>
                            <w:rPr>
                              <w:rFonts w:ascii="Cambria Math" w:cs="Times New Roman"/>
                              <w:szCs w:val="24"/>
                            </w:rPr>
                            <m:t>2</m:t>
                          </m:r>
                          <m:r>
                            <w:rPr>
                              <w:rFonts w:ascii="Cambria Math" w:hAnsi="Cambria Math" w:cs="Times New Roman"/>
                              <w:szCs w:val="24"/>
                            </w:rPr>
                            <m:t>i</m:t>
                          </m:r>
                        </m:sub>
                      </m:sSub>
                      <m:ctrlPr>
                        <w:rPr>
                          <w:rFonts w:ascii="Cambria Math" w:hAnsi="Cambria Math" w:cs="Times New Roman"/>
                          <w:i/>
                          <w:szCs w:val="24"/>
                        </w:rPr>
                      </m:ctrlPr>
                    </m:e>
                  </m:d>
                  <m:r>
                    <m:rPr>
                      <m:sty m:val="p"/>
                    </m:rP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X</m:t>
                      </m:r>
                    </m:e>
                    <m:sub>
                      <m:r>
                        <w:rPr>
                          <w:rFonts w:ascii="Cambria Math" w:cs="Times New Roman"/>
                          <w:szCs w:val="24"/>
                        </w:rPr>
                        <m:t>2</m:t>
                      </m:r>
                      <m:r>
                        <w:rPr>
                          <w:rFonts w:ascii="Cambria Math" w:hAnsi="Cambria Math" w:cs="Times New Roman"/>
                          <w:szCs w:val="24"/>
                        </w:rPr>
                        <m:t>ij</m:t>
                      </m:r>
                    </m:sub>
                    <m:sup>
                      <m:r>
                        <w:rPr>
                          <w:rFonts w:ascii="Cambria Math" w:hAnsi="Cambria Math" w:cs="Times New Roman"/>
                          <w:szCs w:val="24"/>
                        </w:rPr>
                        <m:t>T</m:t>
                      </m:r>
                    </m:sup>
                  </m:sSubSup>
                  <m:r>
                    <w:rPr>
                      <w:rFonts w:ascii="Cambria Math" w:hAnsi="Cambria Math" w:cs="Times New Roman"/>
                      <w:szCs w:val="24"/>
                    </w:rPr>
                    <m:t>β</m:t>
                  </m:r>
                  <m:r>
                    <m:rPr>
                      <m:sty m:val="p"/>
                    </m:rP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α</m:t>
                      </m:r>
                    </m:e>
                    <m:sub>
                      <m:eqArr>
                        <m:eqArrPr>
                          <m:ctrlPr>
                            <w:rPr>
                              <w:rFonts w:ascii="Cambria Math" w:hAnsi="Cambria Math" w:cs="Times New Roman"/>
                              <w:i/>
                              <w:szCs w:val="24"/>
                            </w:rPr>
                          </m:ctrlPr>
                        </m:eqArrPr>
                        <m:e>
                          <m:r>
                            <w:rPr>
                              <w:rFonts w:ascii="Cambria Math" w:cs="Times New Roman"/>
                              <w:szCs w:val="24"/>
                            </w:rPr>
                            <m:t>2</m:t>
                          </m:r>
                          <m:r>
                            <w:rPr>
                              <w:rFonts w:ascii="Cambria Math" w:hAnsi="Cambria Math" w:cs="Times New Roman"/>
                              <w:szCs w:val="24"/>
                            </w:rPr>
                            <m:t>i</m:t>
                          </m:r>
                        </m:e>
                      </m:eqArr>
                    </m:sub>
                  </m:sSub>
                  <m:r>
                    <w:rPr>
                      <w:rFonts w:ascii="Cambria Math" w:hAnsi="Cambria Math" w:cs="Times New Roman"/>
                      <w:szCs w:val="24"/>
                    </w:rPr>
                    <m:t xml:space="preserve">    for BMI</m:t>
                  </m:r>
                </m:e>
              </m:eqArr>
            </m:e>
          </m:d>
          <m:r>
            <w:rPr>
              <w:rFonts w:ascii="Cambria Math" w:eastAsiaTheme="minorEastAsia" w:hAnsi="Cambria Math" w:cs="Times New Roman"/>
              <w:szCs w:val="24"/>
            </w:rPr>
            <m:t>(5)</m:t>
          </m:r>
        </m:oMath>
      </m:oMathPara>
    </w:p>
    <w:p w14:paraId="6B26BC88" w14:textId="64BBA469" w:rsidR="00E95803" w:rsidRPr="00B55453" w:rsidRDefault="00B55453" w:rsidP="00B55453">
      <w:pPr>
        <w:ind w:left="-450"/>
        <w:rPr>
          <w:rFonts w:cs="Times New Roman"/>
          <w:szCs w:val="24"/>
        </w:rPr>
      </w:pPr>
      <w:r>
        <w:rPr>
          <w:rFonts w:cs="Times New Roman"/>
          <w:szCs w:val="24"/>
        </w:rPr>
        <w:t xml:space="preserve">where log and logit are link function of </w:t>
      </w:r>
      <w:proofErr w:type="spellStart"/>
      <w:r>
        <w:rPr>
          <w:rFonts w:cs="Times New Roman"/>
          <w:szCs w:val="24"/>
        </w:rPr>
        <w:t>qusi</w:t>
      </w:r>
      <w:proofErr w:type="spellEnd"/>
      <w:r>
        <w:rPr>
          <w:rFonts w:cs="Times New Roman"/>
          <w:szCs w:val="24"/>
        </w:rPr>
        <w:t>-Poisson and negative-</w:t>
      </w:r>
      <w:proofErr w:type="spellStart"/>
      <w:r>
        <w:rPr>
          <w:rFonts w:cs="Times New Roman"/>
          <w:szCs w:val="24"/>
        </w:rPr>
        <w:t>Binimial</w:t>
      </w:r>
      <w:proofErr w:type="spellEnd"/>
      <w:r>
        <w:rPr>
          <w:rFonts w:cs="Times New Roman"/>
          <w:szCs w:val="24"/>
        </w:rPr>
        <w:t xml:space="preserve"> models respectively. </w:t>
      </w:r>
      <w:r w:rsidRPr="008F665F">
        <w:rPr>
          <w:rFonts w:cs="Times New Roman"/>
          <w:szCs w:val="24"/>
        </w:rPr>
        <w:t>The formulation of a joint model by striking a joint multivariate distribution helped in developing a joint multivariate distribution in the random effects of the two separate models.</w:t>
      </w:r>
    </w:p>
    <w:sectPr w:rsidR="00E95803" w:rsidRPr="00B5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dhkvdWarnockPro-Regular">
    <w:altName w:val="Cambria"/>
    <w:panose1 w:val="00000000000000000000"/>
    <w:charset w:val="00"/>
    <w:family w:val="roman"/>
    <w:notTrueType/>
    <w:pitch w:val="default"/>
    <w:sig w:usb0="00000003" w:usb1="00000000" w:usb2="00000000" w:usb3="00000000" w:csb0="00000001" w:csb1="00000000"/>
  </w:font>
  <w:font w:name="QxlkpwWarnockPro-I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53"/>
    <w:rsid w:val="00B55453"/>
    <w:rsid w:val="00E9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6379"/>
  <w15:chartTrackingRefBased/>
  <w15:docId w15:val="{2ACC6A9F-DE7A-4D1B-85FE-835A28BD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53"/>
    <w:pPr>
      <w:spacing w:after="120" w:line="360" w:lineRule="auto"/>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2020-04-15T15:42:00Z</dcterms:created>
  <dcterms:modified xsi:type="dcterms:W3CDTF">2020-04-15T15:42:00Z</dcterms:modified>
</cp:coreProperties>
</file>