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0B7" w:rsidRPr="00222FCC" w:rsidRDefault="00222FCC">
      <w:pPr>
        <w:rPr>
          <w:rFonts w:ascii="Times New Roman" w:hAnsi="Times New Roman" w:cs="Times New Roman"/>
          <w:b/>
          <w:sz w:val="24"/>
        </w:rPr>
      </w:pPr>
      <w:r w:rsidRPr="00222FCC">
        <w:rPr>
          <w:rFonts w:ascii="Times New Roman" w:hAnsi="Times New Roman" w:cs="Times New Roman"/>
          <w:b/>
          <w:sz w:val="24"/>
        </w:rPr>
        <w:t>Supplementary information</w:t>
      </w:r>
    </w:p>
    <w:p w:rsidR="007217CF" w:rsidRPr="00A91074" w:rsidRDefault="007217CF" w:rsidP="00A91074">
      <w:pPr>
        <w:spacing w:after="0"/>
        <w:rPr>
          <w:rFonts w:ascii="Times New Roman" w:hAnsi="Times New Roman" w:cs="Times New Roman"/>
          <w:sz w:val="28"/>
        </w:rPr>
      </w:pPr>
    </w:p>
    <w:p w:rsidR="00222FCC" w:rsidRPr="009837B9" w:rsidRDefault="00222FCC" w:rsidP="003D12EF">
      <w:pPr>
        <w:spacing w:after="0"/>
        <w:rPr>
          <w:rFonts w:ascii="Times New Roman" w:hAnsi="Times New Roman" w:cs="Times New Roman"/>
          <w:b/>
          <w:sz w:val="24"/>
        </w:rPr>
      </w:pPr>
      <w:bookmarkStart w:id="0" w:name="_Hlk37853010"/>
      <w:r w:rsidRPr="009837B9">
        <w:rPr>
          <w:rFonts w:ascii="Times New Roman" w:hAnsi="Times New Roman" w:cs="Times New Roman"/>
          <w:b/>
          <w:sz w:val="24"/>
        </w:rPr>
        <w:t xml:space="preserve">Supplementary Table 1. </w:t>
      </w:r>
      <w:r w:rsidR="003D12EF">
        <w:rPr>
          <w:rFonts w:ascii="Times New Roman" w:hAnsi="Times New Roman" w:cs="Times New Roman"/>
          <w:sz w:val="24"/>
        </w:rPr>
        <w:t xml:space="preserve">Demographics of </w:t>
      </w:r>
      <w:r w:rsidR="00202BAB">
        <w:rPr>
          <w:rFonts w:ascii="Times New Roman" w:hAnsi="Times New Roman" w:cs="Times New Roman"/>
          <w:sz w:val="24"/>
        </w:rPr>
        <w:t>CN amyloid positivity analysis</w:t>
      </w:r>
    </w:p>
    <w:tbl>
      <w:tblPr>
        <w:tblW w:w="65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00"/>
        <w:gridCol w:w="1560"/>
        <w:gridCol w:w="2260"/>
      </w:tblGrid>
      <w:tr w:rsidR="007217CF" w:rsidRPr="007217CF" w:rsidTr="007217CF"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  <w:b/>
                <w:bCs/>
              </w:rPr>
              <w:t xml:space="preserve">CN </w:t>
            </w:r>
            <w:r w:rsidR="009837B9" w:rsidRPr="007217CF">
              <w:rPr>
                <w:rFonts w:ascii="Times New Roman" w:hAnsi="Times New Roman" w:cs="Times New Roman"/>
                <w:b/>
                <w:bCs/>
              </w:rPr>
              <w:t>A</w:t>
            </w:r>
            <w:r w:rsidR="009837B9" w:rsidRPr="007217CF">
              <w:rPr>
                <w:rFonts w:ascii="Times New Roman" w:hAnsi="Times New Roman" w:cs="Times New Roman"/>
                <w:b/>
                <w:bCs/>
                <w:lang w:val="el-GR"/>
              </w:rPr>
              <w:t>β</w:t>
            </w:r>
            <w:r w:rsidR="009837B9">
              <w:rPr>
                <w:rFonts w:ascii="Times New Roman" w:hAnsi="Times New Roman" w:cs="Times New Roman"/>
                <w:b/>
                <w:bCs/>
                <w:lang w:val="el-GR"/>
              </w:rPr>
              <w:t>-</w:t>
            </w:r>
            <w:r w:rsidR="009837B9" w:rsidRPr="007217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217CF">
              <w:rPr>
                <w:rFonts w:ascii="Times New Roman" w:hAnsi="Times New Roman" w:cs="Times New Roman"/>
                <w:b/>
                <w:bCs/>
              </w:rPr>
              <w:t>(n=78)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  <w:b/>
                <w:bCs/>
              </w:rPr>
              <w:t>CN A</w:t>
            </w:r>
            <w:r w:rsidRPr="007217CF">
              <w:rPr>
                <w:rFonts w:ascii="Times New Roman" w:hAnsi="Times New Roman" w:cs="Times New Roman"/>
                <w:b/>
                <w:bCs/>
                <w:lang w:val="el-GR"/>
              </w:rPr>
              <w:t>β</w:t>
            </w:r>
            <w:r w:rsidRPr="007217CF">
              <w:rPr>
                <w:rFonts w:ascii="Times New Roman" w:hAnsi="Times New Roman" w:cs="Times New Roman"/>
                <w:b/>
                <w:bCs/>
              </w:rPr>
              <w:t>+ (n=28)</w:t>
            </w:r>
          </w:p>
        </w:tc>
      </w:tr>
      <w:tr w:rsidR="007217CF" w:rsidRPr="007217CF" w:rsidTr="007217CF">
        <w:trPr>
          <w:trHeight w:val="397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  <w:b/>
                <w:bCs/>
              </w:rPr>
              <w:t>Female, n (%)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42 (53.8)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20 (71.4)</w:t>
            </w:r>
          </w:p>
        </w:tc>
      </w:tr>
      <w:tr w:rsidR="007217CF" w:rsidRPr="007217CF" w:rsidTr="007217CF">
        <w:trPr>
          <w:trHeight w:val="397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  <w:b/>
                <w:bCs/>
              </w:rPr>
              <w:t>Age (SD) (y)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72.7±5.9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75.1±4.86</w:t>
            </w:r>
          </w:p>
        </w:tc>
      </w:tr>
      <w:tr w:rsidR="007217CF" w:rsidRPr="007217CF" w:rsidTr="007217CF">
        <w:trPr>
          <w:trHeight w:val="397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  <w:b/>
                <w:bCs/>
              </w:rPr>
              <w:t>Education (SD) (y)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16.7±2.5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16.4±2.6</w:t>
            </w:r>
          </w:p>
        </w:tc>
      </w:tr>
      <w:tr w:rsidR="007217CF" w:rsidRPr="007217CF" w:rsidTr="007217CF">
        <w:trPr>
          <w:trHeight w:val="397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  <w:b/>
                <w:bCs/>
              </w:rPr>
              <w:t>GCDR (SD)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0.0</w:t>
            </w:r>
          </w:p>
        </w:tc>
      </w:tr>
      <w:tr w:rsidR="007217CF" w:rsidRPr="007217CF" w:rsidTr="007217CF">
        <w:trPr>
          <w:trHeight w:val="397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  <w:b/>
                <w:bCs/>
              </w:rPr>
              <w:t>MMSE (SD)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2</w:t>
            </w:r>
            <w:r w:rsidR="008144E3">
              <w:rPr>
                <w:rFonts w:ascii="Times New Roman" w:hAnsi="Times New Roman" w:cs="Times New Roman"/>
              </w:rPr>
              <w:t>9</w:t>
            </w:r>
            <w:r w:rsidRPr="007217CF">
              <w:rPr>
                <w:rFonts w:ascii="Times New Roman" w:hAnsi="Times New Roman" w:cs="Times New Roman"/>
              </w:rPr>
              <w:t>.</w:t>
            </w:r>
            <w:r w:rsidR="008144E3">
              <w:rPr>
                <w:rFonts w:ascii="Times New Roman" w:hAnsi="Times New Roman" w:cs="Times New Roman"/>
              </w:rPr>
              <w:t>3</w:t>
            </w:r>
            <w:r w:rsidRPr="007217CF">
              <w:rPr>
                <w:rFonts w:ascii="Times New Roman" w:hAnsi="Times New Roman" w:cs="Times New Roman"/>
              </w:rPr>
              <w:t>±1.</w:t>
            </w:r>
            <w:r w:rsidR="00814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2</w:t>
            </w:r>
            <w:r w:rsidR="00E82B76">
              <w:rPr>
                <w:rFonts w:ascii="Times New Roman" w:hAnsi="Times New Roman" w:cs="Times New Roman"/>
              </w:rPr>
              <w:t>9</w:t>
            </w:r>
            <w:r w:rsidRPr="007217CF">
              <w:rPr>
                <w:rFonts w:ascii="Times New Roman" w:hAnsi="Times New Roman" w:cs="Times New Roman"/>
              </w:rPr>
              <w:t>.0±1.</w:t>
            </w:r>
            <w:r w:rsidR="00E82B76">
              <w:rPr>
                <w:rFonts w:ascii="Times New Roman" w:hAnsi="Times New Roman" w:cs="Times New Roman"/>
              </w:rPr>
              <w:t>0</w:t>
            </w:r>
          </w:p>
        </w:tc>
      </w:tr>
      <w:tr w:rsidR="007217CF" w:rsidRPr="007217CF" w:rsidTr="007217CF">
        <w:trPr>
          <w:trHeight w:val="397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  <w:b/>
                <w:bCs/>
              </w:rPr>
              <w:t>MADAS-Cog (SD)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8144E3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217CF" w:rsidRPr="007217C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="007217CF" w:rsidRPr="007217CF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6</w:t>
            </w:r>
            <w:r w:rsidR="007217CF" w:rsidRPr="007217C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1</w:t>
            </w:r>
            <w:r w:rsidR="00E82B76">
              <w:rPr>
                <w:rFonts w:ascii="Times New Roman" w:hAnsi="Times New Roman" w:cs="Times New Roman"/>
              </w:rPr>
              <w:t>0</w:t>
            </w:r>
            <w:r w:rsidRPr="007217CF">
              <w:rPr>
                <w:rFonts w:ascii="Times New Roman" w:hAnsi="Times New Roman" w:cs="Times New Roman"/>
              </w:rPr>
              <w:t>.6±</w:t>
            </w:r>
            <w:r w:rsidR="00E82B76">
              <w:rPr>
                <w:rFonts w:ascii="Times New Roman" w:hAnsi="Times New Roman" w:cs="Times New Roman"/>
              </w:rPr>
              <w:t>4</w:t>
            </w:r>
            <w:r w:rsidRPr="007217CF">
              <w:rPr>
                <w:rFonts w:ascii="Times New Roman" w:hAnsi="Times New Roman" w:cs="Times New Roman"/>
              </w:rPr>
              <w:t>.4</w:t>
            </w:r>
          </w:p>
        </w:tc>
      </w:tr>
      <w:tr w:rsidR="007217CF" w:rsidRPr="007217CF" w:rsidTr="007217CF">
        <w:trPr>
          <w:trHeight w:val="397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  <w:b/>
                <w:bCs/>
              </w:rPr>
              <w:t xml:space="preserve">Logical memory I: </w:t>
            </w:r>
            <w:r w:rsidRPr="007217CF">
              <w:rPr>
                <w:rFonts w:ascii="Times New Roman" w:hAnsi="Times New Roman" w:cs="Times New Roman"/>
                <w:b/>
                <w:bCs/>
              </w:rPr>
              <w:br/>
              <w:t>Immediate recall (SD)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1</w:t>
            </w:r>
            <w:r w:rsidR="008144E3">
              <w:rPr>
                <w:rFonts w:ascii="Times New Roman" w:hAnsi="Times New Roman" w:cs="Times New Roman"/>
              </w:rPr>
              <w:t>4</w:t>
            </w:r>
            <w:r w:rsidRPr="007217CF">
              <w:rPr>
                <w:rFonts w:ascii="Times New Roman" w:hAnsi="Times New Roman" w:cs="Times New Roman"/>
              </w:rPr>
              <w:t>.</w:t>
            </w:r>
            <w:r w:rsidR="008144E3">
              <w:rPr>
                <w:rFonts w:ascii="Times New Roman" w:hAnsi="Times New Roman" w:cs="Times New Roman"/>
              </w:rPr>
              <w:t>2</w:t>
            </w:r>
            <w:r w:rsidRPr="007217CF">
              <w:rPr>
                <w:rFonts w:ascii="Times New Roman" w:hAnsi="Times New Roman" w:cs="Times New Roman"/>
              </w:rPr>
              <w:t>±</w:t>
            </w:r>
            <w:r w:rsidR="008144E3">
              <w:rPr>
                <w:rFonts w:ascii="Times New Roman" w:hAnsi="Times New Roman" w:cs="Times New Roman"/>
              </w:rPr>
              <w:t>2</w:t>
            </w:r>
            <w:r w:rsidRPr="007217CF">
              <w:rPr>
                <w:rFonts w:ascii="Times New Roman" w:hAnsi="Times New Roman" w:cs="Times New Roman"/>
              </w:rPr>
              <w:t>.</w:t>
            </w:r>
            <w:r w:rsidR="008144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1</w:t>
            </w:r>
            <w:r w:rsidR="00B7643C">
              <w:rPr>
                <w:rFonts w:ascii="Times New Roman" w:hAnsi="Times New Roman" w:cs="Times New Roman"/>
              </w:rPr>
              <w:t>3</w:t>
            </w:r>
            <w:r w:rsidRPr="007217CF">
              <w:rPr>
                <w:rFonts w:ascii="Times New Roman" w:hAnsi="Times New Roman" w:cs="Times New Roman"/>
              </w:rPr>
              <w:t>.</w:t>
            </w:r>
            <w:r w:rsidR="00B7643C">
              <w:rPr>
                <w:rFonts w:ascii="Times New Roman" w:hAnsi="Times New Roman" w:cs="Times New Roman"/>
              </w:rPr>
              <w:t>8</w:t>
            </w:r>
            <w:r w:rsidRPr="007217CF">
              <w:rPr>
                <w:rFonts w:ascii="Times New Roman" w:hAnsi="Times New Roman" w:cs="Times New Roman"/>
              </w:rPr>
              <w:t>±3.</w:t>
            </w:r>
            <w:r w:rsidR="00B7643C">
              <w:rPr>
                <w:rFonts w:ascii="Times New Roman" w:hAnsi="Times New Roman" w:cs="Times New Roman"/>
              </w:rPr>
              <w:t>0</w:t>
            </w:r>
          </w:p>
        </w:tc>
      </w:tr>
      <w:tr w:rsidR="007217CF" w:rsidRPr="007217CF" w:rsidTr="007217CF">
        <w:trPr>
          <w:trHeight w:val="397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  <w:b/>
                <w:bCs/>
              </w:rPr>
              <w:t xml:space="preserve">Logical memory II: </w:t>
            </w:r>
            <w:r w:rsidRPr="007217CF">
              <w:rPr>
                <w:rFonts w:ascii="Times New Roman" w:hAnsi="Times New Roman" w:cs="Times New Roman"/>
                <w:b/>
                <w:bCs/>
              </w:rPr>
              <w:br/>
              <w:t>Delayed recall (SD)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1</w:t>
            </w:r>
            <w:r w:rsidR="008144E3">
              <w:rPr>
                <w:rFonts w:ascii="Times New Roman" w:hAnsi="Times New Roman" w:cs="Times New Roman"/>
              </w:rPr>
              <w:t>2</w:t>
            </w:r>
            <w:r w:rsidRPr="007217CF">
              <w:rPr>
                <w:rFonts w:ascii="Times New Roman" w:hAnsi="Times New Roman" w:cs="Times New Roman"/>
              </w:rPr>
              <w:t>.</w:t>
            </w:r>
            <w:r w:rsidR="008144E3">
              <w:rPr>
                <w:rFonts w:ascii="Times New Roman" w:hAnsi="Times New Roman" w:cs="Times New Roman"/>
              </w:rPr>
              <w:t>8</w:t>
            </w:r>
            <w:r w:rsidRPr="007217CF">
              <w:rPr>
                <w:rFonts w:ascii="Times New Roman" w:hAnsi="Times New Roman" w:cs="Times New Roman"/>
              </w:rPr>
              <w:t>±3.</w:t>
            </w:r>
            <w:r w:rsidR="008144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1</w:t>
            </w:r>
            <w:r w:rsidR="00B7643C">
              <w:rPr>
                <w:rFonts w:ascii="Times New Roman" w:hAnsi="Times New Roman" w:cs="Times New Roman"/>
              </w:rPr>
              <w:t>3</w:t>
            </w:r>
            <w:r w:rsidRPr="007217CF">
              <w:rPr>
                <w:rFonts w:ascii="Times New Roman" w:hAnsi="Times New Roman" w:cs="Times New Roman"/>
              </w:rPr>
              <w:t>.</w:t>
            </w:r>
            <w:r w:rsidR="00B7643C">
              <w:rPr>
                <w:rFonts w:ascii="Times New Roman" w:hAnsi="Times New Roman" w:cs="Times New Roman"/>
              </w:rPr>
              <w:t>0</w:t>
            </w:r>
            <w:r w:rsidRPr="007217CF">
              <w:rPr>
                <w:rFonts w:ascii="Times New Roman" w:hAnsi="Times New Roman" w:cs="Times New Roman"/>
              </w:rPr>
              <w:t>±</w:t>
            </w:r>
            <w:r w:rsidR="00B7643C">
              <w:rPr>
                <w:rFonts w:ascii="Times New Roman" w:hAnsi="Times New Roman" w:cs="Times New Roman"/>
              </w:rPr>
              <w:t>3</w:t>
            </w:r>
            <w:r w:rsidRPr="007217CF">
              <w:rPr>
                <w:rFonts w:ascii="Times New Roman" w:hAnsi="Times New Roman" w:cs="Times New Roman"/>
              </w:rPr>
              <w:t>.</w:t>
            </w:r>
            <w:r w:rsidR="00B7643C">
              <w:rPr>
                <w:rFonts w:ascii="Times New Roman" w:hAnsi="Times New Roman" w:cs="Times New Roman"/>
              </w:rPr>
              <w:t>1</w:t>
            </w:r>
          </w:p>
        </w:tc>
      </w:tr>
      <w:tr w:rsidR="007217CF" w:rsidRPr="007217CF" w:rsidTr="007217CF">
        <w:trPr>
          <w:trHeight w:val="397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  <w:b/>
                <w:bCs/>
              </w:rPr>
              <w:t xml:space="preserve">Subjects with </w:t>
            </w:r>
            <w:r w:rsidRPr="007217CF">
              <w:rPr>
                <w:rFonts w:ascii="Times New Roman" w:hAnsi="Times New Roman" w:cs="Times New Roman"/>
                <w:b/>
                <w:bCs/>
              </w:rPr>
              <w:br/>
              <w:t>Amyloid positive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28 (100)</w:t>
            </w:r>
          </w:p>
        </w:tc>
      </w:tr>
      <w:bookmarkEnd w:id="0"/>
    </w:tbl>
    <w:p w:rsidR="00C85384" w:rsidRDefault="00C85384" w:rsidP="00C85384">
      <w:pPr>
        <w:spacing w:after="0"/>
      </w:pPr>
    </w:p>
    <w:p w:rsidR="007217CF" w:rsidRDefault="009F1948">
      <w:r>
        <w:rPr>
          <w:noProof/>
        </w:rPr>
        <w:drawing>
          <wp:inline distT="0" distB="0" distL="0" distR="0">
            <wp:extent cx="5486876" cy="4011516"/>
            <wp:effectExtent l="0" t="0" r="0" b="825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876" cy="401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7CF" w:rsidRPr="00403BBD" w:rsidRDefault="007217CF" w:rsidP="007217CF">
      <w:pPr>
        <w:rPr>
          <w:rFonts w:ascii="Times New Roman" w:hAnsi="Times New Roman" w:cs="Times New Roman"/>
          <w:sz w:val="24"/>
          <w:szCs w:val="24"/>
        </w:rPr>
      </w:pPr>
      <w:r w:rsidRPr="00403BBD">
        <w:rPr>
          <w:rFonts w:ascii="Times New Roman" w:hAnsi="Times New Roman" w:cs="Times New Roman"/>
          <w:b/>
          <w:sz w:val="24"/>
          <w:szCs w:val="24"/>
        </w:rPr>
        <w:lastRenderedPageBreak/>
        <w:t>Supplementary Figure 1.</w:t>
      </w:r>
      <w:r w:rsidRPr="00403BBD">
        <w:rPr>
          <w:rFonts w:ascii="Times New Roman" w:hAnsi="Times New Roman" w:cs="Times New Roman"/>
          <w:sz w:val="24"/>
          <w:szCs w:val="24"/>
        </w:rPr>
        <w:t xml:space="preserve"> Comparison of amyloid negative CN and amyloid positive CN</w:t>
      </w:r>
    </w:p>
    <w:p w:rsidR="007217CF" w:rsidRPr="00403BBD" w:rsidRDefault="007217CF" w:rsidP="007217CF">
      <w:pPr>
        <w:spacing w:line="240" w:lineRule="auto"/>
        <w:textAlignment w:val="baseline"/>
        <w:rPr>
          <w:rFonts w:ascii="Times New Roman" w:eastAsia="굴림" w:hAnsi="Times New Roman" w:cs="Times New Roman"/>
          <w:color w:val="000000"/>
          <w:sz w:val="24"/>
          <w:szCs w:val="20"/>
        </w:rPr>
      </w:pPr>
      <w:r w:rsidRPr="00403BBD">
        <w:rPr>
          <w:rFonts w:ascii="Times New Roman" w:eastAsia="굴림" w:hAnsi="Times New Roman" w:cs="Times New Roman"/>
          <w:color w:val="000000"/>
          <w:sz w:val="24"/>
          <w:szCs w:val="20"/>
        </w:rPr>
        <w:t xml:space="preserve">Group difference in radiality, cortical thickness and mean diffusivity from cognitive normal amyloid negative and positive. Radiality showed decrease in </w:t>
      </w:r>
      <w:r w:rsidR="00004ABB">
        <w:rPr>
          <w:rFonts w:ascii="Times New Roman" w:eastAsia="굴림" w:hAnsi="Times New Roman" w:cs="Times New Roman"/>
          <w:color w:val="000000"/>
          <w:sz w:val="24"/>
          <w:szCs w:val="20"/>
        </w:rPr>
        <w:t xml:space="preserve">left </w:t>
      </w:r>
      <w:r w:rsidRPr="00403BBD">
        <w:rPr>
          <w:rFonts w:ascii="Times New Roman" w:eastAsia="굴림" w:hAnsi="Times New Roman" w:cs="Times New Roman"/>
          <w:color w:val="000000"/>
          <w:sz w:val="24"/>
          <w:szCs w:val="20"/>
        </w:rPr>
        <w:t xml:space="preserve">postcentral, </w:t>
      </w:r>
      <w:proofErr w:type="spellStart"/>
      <w:r w:rsidRPr="00403BBD">
        <w:rPr>
          <w:rFonts w:ascii="Times New Roman" w:eastAsia="굴림" w:hAnsi="Times New Roman" w:cs="Times New Roman"/>
          <w:color w:val="000000"/>
          <w:sz w:val="24"/>
          <w:szCs w:val="20"/>
        </w:rPr>
        <w:t>CT</w:t>
      </w:r>
      <w:r w:rsidR="009837B9">
        <w:rPr>
          <w:rFonts w:ascii="Times New Roman" w:eastAsia="굴림" w:hAnsi="Times New Roman" w:cs="Times New Roman"/>
          <w:color w:val="000000"/>
          <w:sz w:val="24"/>
          <w:szCs w:val="20"/>
        </w:rPr>
        <w:t>h</w:t>
      </w:r>
      <w:proofErr w:type="spellEnd"/>
      <w:r w:rsidRPr="00403BBD">
        <w:rPr>
          <w:rFonts w:ascii="Times New Roman" w:eastAsia="굴림" w:hAnsi="Times New Roman" w:cs="Times New Roman"/>
          <w:color w:val="000000"/>
          <w:sz w:val="24"/>
          <w:szCs w:val="20"/>
        </w:rPr>
        <w:t xml:space="preserve"> showed increase in </w:t>
      </w:r>
      <w:r w:rsidR="00004ABB">
        <w:rPr>
          <w:rFonts w:ascii="Times New Roman" w:eastAsia="굴림" w:hAnsi="Times New Roman" w:cs="Times New Roman"/>
          <w:color w:val="000000"/>
          <w:sz w:val="24"/>
          <w:szCs w:val="20"/>
        </w:rPr>
        <w:t>left lingual</w:t>
      </w:r>
      <w:r w:rsidRPr="00403BBD">
        <w:rPr>
          <w:rFonts w:ascii="Times New Roman" w:eastAsia="굴림" w:hAnsi="Times New Roman" w:cs="Times New Roman"/>
          <w:color w:val="000000"/>
          <w:sz w:val="24"/>
          <w:szCs w:val="20"/>
        </w:rPr>
        <w:t xml:space="preserve">, and MD showed decrease in postcentral cortex. </w:t>
      </w:r>
      <w:r w:rsidR="009837B9">
        <w:rPr>
          <w:rFonts w:ascii="Times New Roman" w:eastAsia="굴림" w:hAnsi="Times New Roman" w:cs="Times New Roman"/>
          <w:color w:val="000000"/>
          <w:sz w:val="24"/>
          <w:szCs w:val="20"/>
        </w:rPr>
        <w:t>Color bar</w:t>
      </w:r>
      <w:r w:rsidRPr="00403BBD">
        <w:rPr>
          <w:rFonts w:ascii="Times New Roman" w:eastAsia="굴림" w:hAnsi="Times New Roman" w:cs="Times New Roman"/>
          <w:color w:val="000000"/>
          <w:sz w:val="24"/>
          <w:szCs w:val="20"/>
        </w:rPr>
        <w:t xml:space="preserve"> indicate</w:t>
      </w:r>
      <w:r w:rsidR="00951597">
        <w:rPr>
          <w:rFonts w:ascii="Times New Roman" w:eastAsia="굴림" w:hAnsi="Times New Roman" w:cs="Times New Roman"/>
          <w:color w:val="000000"/>
          <w:sz w:val="24"/>
          <w:szCs w:val="20"/>
        </w:rPr>
        <w:t>s</w:t>
      </w:r>
      <w:r w:rsidRPr="00403BBD">
        <w:rPr>
          <w:rFonts w:ascii="Times New Roman" w:eastAsia="굴림" w:hAnsi="Times New Roman" w:cs="Times New Roman"/>
          <w:color w:val="000000"/>
          <w:sz w:val="24"/>
          <w:szCs w:val="20"/>
        </w:rPr>
        <w:t xml:space="preserve"> </w:t>
      </w:r>
      <w:r w:rsidRPr="007327E6">
        <w:rPr>
          <w:rFonts w:ascii="Times New Roman" w:eastAsia="굴림" w:hAnsi="Times New Roman" w:cs="Times New Roman"/>
          <w:i/>
          <w:color w:val="000000"/>
          <w:sz w:val="24"/>
          <w:szCs w:val="20"/>
        </w:rPr>
        <w:t>p</w:t>
      </w:r>
      <w:r w:rsidRPr="00403BBD">
        <w:rPr>
          <w:rFonts w:ascii="Times New Roman" w:eastAsia="굴림" w:hAnsi="Times New Roman" w:cs="Times New Roman"/>
          <w:color w:val="000000"/>
          <w:sz w:val="24"/>
          <w:szCs w:val="20"/>
        </w:rPr>
        <w:t>-value interval of 0.05 to 10</w:t>
      </w:r>
      <w:r w:rsidRPr="00403BBD">
        <w:rPr>
          <w:rFonts w:ascii="Times New Roman" w:eastAsia="굴림" w:hAnsi="Times New Roman" w:cs="Times New Roman"/>
          <w:color w:val="000000"/>
          <w:sz w:val="24"/>
          <w:szCs w:val="20"/>
          <w:vertAlign w:val="superscript"/>
        </w:rPr>
        <w:t>-5</w:t>
      </w:r>
    </w:p>
    <w:p w:rsidR="007217CF" w:rsidRDefault="007217CF"/>
    <w:p w:rsidR="007217CF" w:rsidRPr="009A573C" w:rsidRDefault="007217CF" w:rsidP="007217CF">
      <w:pPr>
        <w:spacing w:after="0"/>
        <w:rPr>
          <w:rFonts w:ascii="Times New Roman" w:hAnsi="Times New Roman" w:cs="Times New Roman"/>
          <w:sz w:val="24"/>
        </w:rPr>
      </w:pPr>
      <w:r w:rsidRPr="009837B9">
        <w:rPr>
          <w:rFonts w:ascii="Times New Roman" w:hAnsi="Times New Roman" w:cs="Times New Roman"/>
          <w:b/>
          <w:sz w:val="24"/>
        </w:rPr>
        <w:t xml:space="preserve">Supplementary Table </w:t>
      </w:r>
      <w:r w:rsidR="003D12EF">
        <w:rPr>
          <w:rFonts w:ascii="Times New Roman" w:hAnsi="Times New Roman" w:cs="Times New Roman"/>
          <w:b/>
          <w:sz w:val="24"/>
        </w:rPr>
        <w:t>2</w:t>
      </w:r>
      <w:r w:rsidRPr="009837B9">
        <w:rPr>
          <w:rFonts w:ascii="Times New Roman" w:hAnsi="Times New Roman" w:cs="Times New Roman"/>
          <w:b/>
          <w:sz w:val="24"/>
        </w:rPr>
        <w:t xml:space="preserve">. </w:t>
      </w:r>
      <w:r w:rsidRPr="009A573C">
        <w:rPr>
          <w:rFonts w:ascii="Times New Roman" w:hAnsi="Times New Roman" w:cs="Times New Roman"/>
          <w:sz w:val="24"/>
        </w:rPr>
        <w:t>Results of cutoff analysis</w:t>
      </w:r>
    </w:p>
    <w:tbl>
      <w:tblPr>
        <w:tblW w:w="86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87"/>
        <w:gridCol w:w="1282"/>
        <w:gridCol w:w="1276"/>
        <w:gridCol w:w="1276"/>
        <w:gridCol w:w="1276"/>
        <w:gridCol w:w="843"/>
      </w:tblGrid>
      <w:tr w:rsidR="007217CF" w:rsidRPr="00403BBD" w:rsidTr="00EB38F7">
        <w:trPr>
          <w:trHeight w:val="22"/>
        </w:trPr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  <w:b/>
                <w:bCs/>
              </w:rPr>
              <w:t>Accuracy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  <w:b/>
                <w:bCs/>
              </w:rPr>
              <w:t>Sensitivity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  <w:b/>
                <w:bCs/>
              </w:rPr>
              <w:t>Specificity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  <w:b/>
                <w:bCs/>
              </w:rPr>
              <w:t>AUC</w:t>
            </w:r>
          </w:p>
        </w:tc>
      </w:tr>
      <w:tr w:rsidR="007217CF" w:rsidRPr="00403BBD" w:rsidTr="00EB38F7">
        <w:trPr>
          <w:trHeight w:val="584"/>
        </w:trPr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  <w:b/>
                <w:bCs/>
              </w:rPr>
              <w:t>CN vs EMCI</w:t>
            </w: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78 vs 5</w:t>
            </w:r>
            <w:r w:rsidR="00FF3D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70.5%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70.2%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72.7%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0.766</w:t>
            </w:r>
          </w:p>
        </w:tc>
      </w:tr>
      <w:tr w:rsidR="007217CF" w:rsidRPr="00403BBD" w:rsidTr="00EB38F7">
        <w:trPr>
          <w:trHeight w:val="584"/>
        </w:trPr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  <w:b/>
                <w:bCs/>
              </w:rPr>
              <w:t>CN vs LMCI</w:t>
            </w: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78 vs 34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67.9%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70.6%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66.7%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0.757</w:t>
            </w:r>
          </w:p>
        </w:tc>
      </w:tr>
      <w:tr w:rsidR="007217CF" w:rsidRPr="00403BBD" w:rsidTr="00EB38F7">
        <w:trPr>
          <w:trHeight w:val="584"/>
        </w:trPr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  <w:b/>
                <w:bCs/>
              </w:rPr>
              <w:t>CN vs (EMCI+LMCI)</w:t>
            </w: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78 vs 8</w:t>
            </w:r>
            <w:r w:rsidR="00FF3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70.5%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69.4%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66.7%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0.766</w:t>
            </w:r>
          </w:p>
        </w:tc>
      </w:tr>
      <w:tr w:rsidR="007217CF" w:rsidRPr="00403BBD" w:rsidTr="00EB38F7">
        <w:trPr>
          <w:trHeight w:val="584"/>
        </w:trPr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  <w:b/>
                <w:bCs/>
              </w:rPr>
              <w:t>CN vs AD</w:t>
            </w: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78 vs 39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78.6%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79.5%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78.1%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0.867</w:t>
            </w:r>
          </w:p>
        </w:tc>
      </w:tr>
      <w:tr w:rsidR="007217CF" w:rsidRPr="00403BBD" w:rsidTr="00EB38F7">
        <w:trPr>
          <w:trHeight w:val="584"/>
        </w:trPr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  <w:b/>
                <w:bCs/>
              </w:rPr>
              <w:t>CN vs (EMCI+LMCI+AD)</w:t>
            </w: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78 vs 12</w:t>
            </w:r>
            <w:r w:rsidR="00FF3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72.8%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72.3%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73.1%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0.798</w:t>
            </w:r>
          </w:p>
        </w:tc>
      </w:tr>
    </w:tbl>
    <w:p w:rsidR="003E29F5" w:rsidRDefault="003E29F5"/>
    <w:p w:rsidR="003E29F5" w:rsidRPr="00281677" w:rsidRDefault="003E29F5" w:rsidP="003E29F5">
      <w:pPr>
        <w:wordWrap/>
        <w:snapToGrid w:val="0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1677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E</w:t>
      </w:r>
      <w:r w:rsidRPr="002816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thical approval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consent to participate</w:t>
      </w:r>
    </w:p>
    <w:p w:rsidR="003E29F5" w:rsidRDefault="003E29F5" w:rsidP="003E29F5">
      <w:pPr>
        <w:spacing w:line="360" w:lineRule="auto"/>
        <w:jc w:val="left"/>
        <w:rPr>
          <w:rFonts w:hint="eastAsia"/>
        </w:rPr>
      </w:pPr>
      <w:r w:rsidRPr="00826C70">
        <w:rPr>
          <w:rFonts w:ascii="Times New Roman" w:hAnsi="Times New Roman" w:cs="Times New Roman"/>
          <w:color w:val="000000" w:themeColor="text1"/>
          <w:sz w:val="24"/>
          <w:szCs w:val="24"/>
        </w:rPr>
        <w:t>The study procedures were approved by the institutional review boards of all participating centers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6C70">
        <w:rPr>
          <w:rFonts w:ascii="Times New Roman" w:hAnsi="Times New Roman" w:cs="Times New Roman"/>
          <w:color w:val="000000" w:themeColor="text1"/>
          <w:sz w:val="24"/>
          <w:szCs w:val="24"/>
        </w:rPr>
        <w:t>(https://adni.loni.usc.edu/wp-content/uploads/how_to_apply/ ADNI_Acknowledgement_Lis</w:t>
      </w:r>
      <w:bookmarkStart w:id="1" w:name="_GoBack"/>
      <w:bookmarkEnd w:id="1"/>
      <w:r w:rsidRPr="00826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t.pdf), and written informed consent was obtained from all participants or their authorized representatives. Ethics approval was obtained from the institutional review boards of each institution involved: Oregon Health and Science University; University of Southern California; University of California—San Diego; University of Michigan; Mayo Clinic, Rochester; Baylor College of Medicine; Columbia University Medical Center; Washington University, St. Louis; University of Alabama at Birmingham; Mount Sinai School of Medicine; Rush University Medical Center; Wien Center; Johns Hopkins University; New York University; Duke University Medical Center; University of Pennsylvania; University of Kentucky; University of Pittsburgh; University of Rochester Medical Center; University of California, Irvine; University of Texas Southwestern Medical School; Emory University; University of Kansas, Medical Center; University of California, Los Angeles; Mayo Clinic, Jacksonville; Indiana University; Yale University </w:t>
      </w:r>
      <w:r w:rsidRPr="00826C7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School of Medicine; McGill University, Montreal-Jewish General Hospital; Sunnybrook Health Sciences, Ontario; </w:t>
      </w:r>
      <w:proofErr w:type="spellStart"/>
      <w:r w:rsidRPr="00826C70">
        <w:rPr>
          <w:rFonts w:ascii="Times New Roman" w:hAnsi="Times New Roman" w:cs="Times New Roman"/>
          <w:color w:val="000000" w:themeColor="text1"/>
          <w:sz w:val="24"/>
          <w:szCs w:val="24"/>
        </w:rPr>
        <w:t>U.B.C.Clinic</w:t>
      </w:r>
      <w:proofErr w:type="spellEnd"/>
      <w:r w:rsidRPr="00826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AD &amp; Related Disorders; Cognitive Neurology—St. Joseph’s, Ontario; Cleveland Clinic Lou </w:t>
      </w:r>
      <w:proofErr w:type="spellStart"/>
      <w:r w:rsidRPr="00826C70">
        <w:rPr>
          <w:rFonts w:ascii="Times New Roman" w:hAnsi="Times New Roman" w:cs="Times New Roman"/>
          <w:color w:val="000000" w:themeColor="text1"/>
          <w:sz w:val="24"/>
          <w:szCs w:val="24"/>
        </w:rPr>
        <w:t>Ruvo</w:t>
      </w:r>
      <w:proofErr w:type="spellEnd"/>
      <w:r w:rsidRPr="00826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Center for Brain Health; Northwestern University; Premiere Research Inst (Palm Beach Neurology); Georgetown University Medical Center; Brigham and Women’s Hospital; Stanford University; Banner Sun Health Research Institute; Boston University; Howard University; Case Western Reserve University; University of California, Davis—Sacramento; Neurological Care of CNY; Parkwood Hospital; University of Wisconsin; University of California, Irvine—BIC; Banner Alzheimer’s Institute; Dent Neurologic Institute; Ohio State University; Albany Medical College; Hartford Hospital, Olin Neuropsychiatry Research Center; Dartmouth-Hitchcock Medical Center; Wake Forest University Health Sciences; Rhode Island Hospital; Butler Hospital; UC San Francisco; Medical University South Carolina; St. Joseph’s Health Care Nathan Kline Institute; University of Iowa College of Medicine; Cornell University; and University of South Florida: USF Health Byrd Alzheimer’s Institute.</w:t>
      </w:r>
    </w:p>
    <w:sectPr w:rsidR="003E29F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710" w:rsidRDefault="00DC6710" w:rsidP="00FF3D7E">
      <w:pPr>
        <w:spacing w:after="0" w:line="240" w:lineRule="auto"/>
      </w:pPr>
      <w:r>
        <w:separator/>
      </w:r>
    </w:p>
  </w:endnote>
  <w:endnote w:type="continuationSeparator" w:id="0">
    <w:p w:rsidR="00DC6710" w:rsidRDefault="00DC6710" w:rsidP="00FF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710" w:rsidRDefault="00DC6710" w:rsidP="00FF3D7E">
      <w:pPr>
        <w:spacing w:after="0" w:line="240" w:lineRule="auto"/>
      </w:pPr>
      <w:r>
        <w:separator/>
      </w:r>
    </w:p>
  </w:footnote>
  <w:footnote w:type="continuationSeparator" w:id="0">
    <w:p w:rsidR="00DC6710" w:rsidRDefault="00DC6710" w:rsidP="00FF3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F8"/>
    <w:rsid w:val="00004ABB"/>
    <w:rsid w:val="000740B7"/>
    <w:rsid w:val="000A4111"/>
    <w:rsid w:val="00170F80"/>
    <w:rsid w:val="00202BAB"/>
    <w:rsid w:val="00222FCC"/>
    <w:rsid w:val="003C6AF8"/>
    <w:rsid w:val="003D12EF"/>
    <w:rsid w:val="003E29F5"/>
    <w:rsid w:val="003F659B"/>
    <w:rsid w:val="004B0EF1"/>
    <w:rsid w:val="005C2F94"/>
    <w:rsid w:val="00632128"/>
    <w:rsid w:val="007217CF"/>
    <w:rsid w:val="007327E6"/>
    <w:rsid w:val="00755DB6"/>
    <w:rsid w:val="008144E3"/>
    <w:rsid w:val="00943B2F"/>
    <w:rsid w:val="00951597"/>
    <w:rsid w:val="009837B9"/>
    <w:rsid w:val="009A3A23"/>
    <w:rsid w:val="009A573C"/>
    <w:rsid w:val="009B64F4"/>
    <w:rsid w:val="009F1948"/>
    <w:rsid w:val="00A25FBA"/>
    <w:rsid w:val="00A91074"/>
    <w:rsid w:val="00B7643C"/>
    <w:rsid w:val="00C85384"/>
    <w:rsid w:val="00DC6710"/>
    <w:rsid w:val="00DC7762"/>
    <w:rsid w:val="00DD6237"/>
    <w:rsid w:val="00E82B76"/>
    <w:rsid w:val="00EA1B1D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46F7A"/>
  <w15:chartTrackingRefBased/>
  <w15:docId w15:val="{56E2BFFA-D708-46BD-8FFB-46CAA03D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7C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D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F3D7E"/>
  </w:style>
  <w:style w:type="paragraph" w:styleId="a4">
    <w:name w:val="footer"/>
    <w:basedOn w:val="a"/>
    <w:link w:val="Char0"/>
    <w:uiPriority w:val="99"/>
    <w:unhideWhenUsed/>
    <w:rsid w:val="00FF3D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F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3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Jaehak-CNI</dc:creator>
  <cp:keywords/>
  <dc:description/>
  <cp:lastModifiedBy>drm</cp:lastModifiedBy>
  <cp:revision>7</cp:revision>
  <dcterms:created xsi:type="dcterms:W3CDTF">2020-06-08T08:06:00Z</dcterms:created>
  <dcterms:modified xsi:type="dcterms:W3CDTF">2020-09-18T06:15:00Z</dcterms:modified>
</cp:coreProperties>
</file>