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B7" w:rsidRPr="00222FCC" w:rsidRDefault="00222FCC">
      <w:pPr>
        <w:rPr>
          <w:rFonts w:ascii="Times New Roman" w:hAnsi="Times New Roman" w:cs="Times New Roman"/>
          <w:b/>
          <w:sz w:val="24"/>
        </w:rPr>
      </w:pPr>
      <w:r w:rsidRPr="00222FCC">
        <w:rPr>
          <w:rFonts w:ascii="Times New Roman" w:hAnsi="Times New Roman" w:cs="Times New Roman"/>
          <w:b/>
          <w:sz w:val="24"/>
        </w:rPr>
        <w:t>Supplementary information</w:t>
      </w:r>
    </w:p>
    <w:p w:rsidR="007217CF" w:rsidRDefault="007217CF"/>
    <w:p w:rsidR="00222FCC" w:rsidRDefault="00222FCC">
      <w:pPr>
        <w:rPr>
          <w:rFonts w:hint="eastAsia"/>
        </w:rPr>
      </w:pPr>
      <w:r>
        <w:rPr>
          <w:rFonts w:hint="eastAsia"/>
        </w:rPr>
        <w:t>Supplementary Table 1. Amyloid positive cognitive normal</w:t>
      </w:r>
    </w:p>
    <w:tbl>
      <w:tblPr>
        <w:tblW w:w="6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1560"/>
        <w:gridCol w:w="2260"/>
      </w:tblGrid>
      <w:tr w:rsidR="007217CF" w:rsidRPr="007217CF" w:rsidTr="007217CF"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(n=78)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A</w:t>
            </w:r>
            <w:r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+ (n=28)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Female, n (%)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42 (53.8)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20 (71.4)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Age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72.7±5.9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75.1±4.86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Education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16.67±2.5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16.4±2.6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GCDR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MMSE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28.6±1.1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28.0±1.9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MADAS-Cog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6.4±3.1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14.6±8.4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Immediate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13.1±3.3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12.5±3.2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Delayed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11.2±3.5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10.8±2.3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Subjects with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Amyloid positive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 (100)</w:t>
            </w:r>
          </w:p>
        </w:tc>
      </w:tr>
    </w:tbl>
    <w:p w:rsidR="007217CF" w:rsidRDefault="007217CF">
      <w:pPr>
        <w:rPr>
          <w:rFonts w:hint="eastAsia"/>
        </w:rPr>
      </w:pPr>
    </w:p>
    <w:p w:rsidR="007217CF" w:rsidRDefault="007217CF">
      <w:r>
        <w:rPr>
          <w:noProof/>
        </w:rPr>
        <w:drawing>
          <wp:inline distT="0" distB="0" distL="0" distR="0" wp14:anchorId="5D65D866" wp14:editId="0EF1D91E">
            <wp:extent cx="4690793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100" cy="35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CF" w:rsidRPr="00403BBD" w:rsidRDefault="007217CF" w:rsidP="007217CF">
      <w:pPr>
        <w:rPr>
          <w:rFonts w:ascii="Times New Roman" w:hAnsi="Times New Roman" w:cs="Times New Roman"/>
          <w:sz w:val="24"/>
          <w:szCs w:val="24"/>
        </w:rPr>
      </w:pPr>
      <w:r w:rsidRPr="00403BBD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1.</w:t>
      </w:r>
      <w:r w:rsidRPr="00403BBD">
        <w:rPr>
          <w:rFonts w:ascii="Times New Roman" w:hAnsi="Times New Roman" w:cs="Times New Roman"/>
          <w:sz w:val="24"/>
          <w:szCs w:val="24"/>
        </w:rPr>
        <w:t xml:space="preserve"> Comparison of amyloid negative CN and amyloid positive CN</w:t>
      </w:r>
    </w:p>
    <w:p w:rsidR="007217CF" w:rsidRPr="00403BBD" w:rsidRDefault="007217CF" w:rsidP="007217CF">
      <w:pPr>
        <w:spacing w:line="240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0"/>
        </w:rPr>
      </w:pP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Group difference in </w:t>
      </w:r>
      <w:proofErr w:type="spellStart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radiality</w:t>
      </w:r>
      <w:proofErr w:type="spellEnd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, cortical thickness and mean diffusivity from cognitive normal amyloid negative and positive. </w:t>
      </w:r>
      <w:proofErr w:type="spellStart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Radiality</w:t>
      </w:r>
      <w:proofErr w:type="spellEnd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showed decrease in postcentral, CTH showed increase in insula, and MD showed decrease in postcentral cortex. Heat map indicate p-value interval of 0.05 to 10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  <w:vertAlign w:val="superscript"/>
        </w:rPr>
        <w:t>-5</w:t>
      </w:r>
    </w:p>
    <w:p w:rsidR="007217CF" w:rsidRDefault="007217CF">
      <w:pPr>
        <w:rPr>
          <w:rFonts w:hint="eastAsia"/>
        </w:rPr>
      </w:pPr>
    </w:p>
    <w:p w:rsidR="007217CF" w:rsidRPr="00EB3859" w:rsidRDefault="007217CF" w:rsidP="007217C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3859">
        <w:rPr>
          <w:rFonts w:ascii="Times New Roman" w:hAnsi="Times New Roman" w:cs="Times New Roman"/>
          <w:b/>
          <w:sz w:val="28"/>
        </w:rPr>
        <w:t>Supplementary Table 1. Results of cut-off analysis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7"/>
        <w:gridCol w:w="1282"/>
        <w:gridCol w:w="1276"/>
        <w:gridCol w:w="1276"/>
        <w:gridCol w:w="1276"/>
        <w:gridCol w:w="843"/>
      </w:tblGrid>
      <w:tr w:rsidR="007217CF" w:rsidRPr="00403BBD" w:rsidTr="00EB38F7">
        <w:trPr>
          <w:trHeight w:val="22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Accuracy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AUC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EMCI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70.2%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LMCI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0.757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69.4%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AD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79.5%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0.867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(EMCI+LMCI+AD)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124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72.3%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73.1%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0.798</w:t>
            </w:r>
          </w:p>
        </w:tc>
      </w:tr>
    </w:tbl>
    <w:p w:rsidR="007217CF" w:rsidRDefault="007217CF">
      <w:pPr>
        <w:rPr>
          <w:rFonts w:hint="eastAsia"/>
        </w:rPr>
      </w:pPr>
    </w:p>
    <w:sectPr w:rsidR="007217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8"/>
    <w:rsid w:val="000740B7"/>
    <w:rsid w:val="00222FCC"/>
    <w:rsid w:val="003C6AF8"/>
    <w:rsid w:val="007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8081"/>
  <w15:chartTrackingRefBased/>
  <w15:docId w15:val="{56E2BFFA-D708-46BD-8FFB-46CAA03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C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Jaehak-CNI</dc:creator>
  <cp:keywords/>
  <dc:description/>
  <cp:lastModifiedBy>Jaehak-CNI</cp:lastModifiedBy>
  <cp:revision>2</cp:revision>
  <dcterms:created xsi:type="dcterms:W3CDTF">2019-08-30T07:38:00Z</dcterms:created>
  <dcterms:modified xsi:type="dcterms:W3CDTF">2019-08-30T07:38:00Z</dcterms:modified>
</cp:coreProperties>
</file>