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2BDF" w14:textId="56DEECF2" w:rsidR="00B16F99" w:rsidRPr="003A4F68" w:rsidRDefault="00B16F99" w:rsidP="00B16F99">
      <w:pPr>
        <w:rPr>
          <w:rFonts w:ascii="Arial" w:hAnsi="Arial" w:cs="Arial"/>
          <w:b/>
          <w:sz w:val="22"/>
          <w:szCs w:val="22"/>
        </w:rPr>
      </w:pPr>
      <w:r w:rsidRPr="003A4F68">
        <w:rPr>
          <w:rFonts w:ascii="Arial" w:hAnsi="Arial" w:cs="Arial"/>
          <w:b/>
          <w:sz w:val="22"/>
          <w:szCs w:val="22"/>
        </w:rPr>
        <w:t>Supplementary Information for</w:t>
      </w:r>
    </w:p>
    <w:p w14:paraId="7487059E" w14:textId="77777777" w:rsidR="00733DA9" w:rsidRPr="003A4F68" w:rsidRDefault="00733DA9" w:rsidP="00733DA9">
      <w:pPr>
        <w:jc w:val="center"/>
        <w:rPr>
          <w:rFonts w:ascii="Arial" w:hAnsi="Arial" w:cs="Arial"/>
          <w:b/>
          <w:bCs/>
          <w:color w:val="020202"/>
          <w:sz w:val="22"/>
          <w:szCs w:val="22"/>
        </w:rPr>
      </w:pPr>
      <w:r w:rsidRPr="003A4F68">
        <w:rPr>
          <w:rFonts w:ascii="Arial" w:hAnsi="Arial" w:cs="Arial"/>
          <w:b/>
          <w:bCs/>
          <w:color w:val="020202"/>
          <w:sz w:val="22"/>
          <w:szCs w:val="22"/>
        </w:rPr>
        <w:t>Sequential Fear Generalization and Network Connectivity in Trauma Exposed Humans With and Without Psychopathology</w:t>
      </w:r>
    </w:p>
    <w:p w14:paraId="681E0A89" w14:textId="77777777" w:rsidR="00CF7B47" w:rsidRPr="003A4F68" w:rsidRDefault="00CF7B47" w:rsidP="00CF7B47">
      <w:pPr>
        <w:jc w:val="center"/>
        <w:rPr>
          <w:rFonts w:ascii="Arial" w:hAnsi="Arial" w:cs="Arial"/>
          <w:sz w:val="22"/>
          <w:szCs w:val="22"/>
        </w:rPr>
      </w:pPr>
    </w:p>
    <w:p w14:paraId="63870867" w14:textId="77777777" w:rsidR="00CF7B47" w:rsidRPr="003A4F68" w:rsidRDefault="00CF7B47" w:rsidP="00CF7B47">
      <w:pPr>
        <w:jc w:val="center"/>
        <w:rPr>
          <w:rFonts w:ascii="Arial" w:eastAsia="Arial" w:hAnsi="Arial" w:cs="Arial"/>
          <w:b/>
          <w:sz w:val="22"/>
          <w:szCs w:val="22"/>
        </w:rPr>
      </w:pPr>
    </w:p>
    <w:p w14:paraId="773A15B7" w14:textId="77777777" w:rsidR="00015F74" w:rsidRPr="003A4F68" w:rsidRDefault="00015F74" w:rsidP="007B5946">
      <w:pPr>
        <w:rPr>
          <w:rFonts w:ascii="Arial" w:hAnsi="Arial" w:cs="Arial"/>
          <w:sz w:val="22"/>
          <w:szCs w:val="22"/>
        </w:rPr>
      </w:pPr>
    </w:p>
    <w:p w14:paraId="6985025A" w14:textId="77777777" w:rsidR="00B16F99" w:rsidRPr="003A4F68" w:rsidRDefault="00B16F99" w:rsidP="007B5946">
      <w:pPr>
        <w:rPr>
          <w:rFonts w:ascii="Arial" w:hAnsi="Arial" w:cs="Arial"/>
          <w:sz w:val="22"/>
          <w:szCs w:val="22"/>
        </w:rPr>
      </w:pPr>
    </w:p>
    <w:p w14:paraId="51DF9633" w14:textId="77777777" w:rsidR="00015F74" w:rsidRPr="003A4F68" w:rsidRDefault="00015F74">
      <w:pPr>
        <w:rPr>
          <w:rFonts w:ascii="Arial" w:hAnsi="Arial" w:cs="Arial"/>
          <w:b/>
          <w:sz w:val="22"/>
          <w:szCs w:val="22"/>
        </w:rPr>
      </w:pPr>
    </w:p>
    <w:p w14:paraId="09920EA7" w14:textId="77777777" w:rsidR="002C030F" w:rsidRPr="003A4F68" w:rsidRDefault="009743A9">
      <w:pPr>
        <w:rPr>
          <w:rFonts w:ascii="Arial" w:hAnsi="Arial" w:cs="Arial"/>
          <w:b/>
          <w:sz w:val="22"/>
          <w:szCs w:val="22"/>
        </w:rPr>
      </w:pPr>
      <w:r w:rsidRPr="003A4F68">
        <w:rPr>
          <w:rFonts w:ascii="Arial" w:hAnsi="Arial" w:cs="Arial"/>
          <w:b/>
          <w:sz w:val="22"/>
          <w:szCs w:val="22"/>
        </w:rPr>
        <w:t xml:space="preserve">This PDF file </w:t>
      </w:r>
      <w:r w:rsidR="002C030F" w:rsidRPr="003A4F68">
        <w:rPr>
          <w:rFonts w:ascii="Arial" w:hAnsi="Arial" w:cs="Arial"/>
          <w:b/>
          <w:sz w:val="22"/>
          <w:szCs w:val="22"/>
        </w:rPr>
        <w:t>includes:</w:t>
      </w:r>
    </w:p>
    <w:p w14:paraId="4348D444" w14:textId="77777777" w:rsidR="002C030F" w:rsidRPr="003A4F68" w:rsidRDefault="002C030F">
      <w:pPr>
        <w:rPr>
          <w:rFonts w:ascii="Arial" w:hAnsi="Arial" w:cs="Arial"/>
          <w:sz w:val="22"/>
          <w:szCs w:val="22"/>
        </w:rPr>
      </w:pPr>
    </w:p>
    <w:p w14:paraId="5C040600" w14:textId="62C7D81B" w:rsidR="002C030F" w:rsidRPr="003A4F68" w:rsidRDefault="00BB2D2A" w:rsidP="00262D72">
      <w:pPr>
        <w:ind w:left="720"/>
        <w:rPr>
          <w:rFonts w:ascii="Arial" w:hAnsi="Arial" w:cs="Arial"/>
          <w:sz w:val="22"/>
          <w:szCs w:val="22"/>
        </w:rPr>
      </w:pPr>
      <w:r w:rsidRPr="003A4F68">
        <w:rPr>
          <w:rFonts w:ascii="Arial" w:hAnsi="Arial" w:cs="Arial"/>
          <w:sz w:val="22"/>
          <w:szCs w:val="22"/>
        </w:rPr>
        <w:t>Supplementary</w:t>
      </w:r>
      <w:r w:rsidR="007B5946" w:rsidRPr="003A4F68">
        <w:rPr>
          <w:rFonts w:ascii="Arial" w:hAnsi="Arial" w:cs="Arial"/>
          <w:sz w:val="22"/>
          <w:szCs w:val="22"/>
        </w:rPr>
        <w:t xml:space="preserve"> </w:t>
      </w:r>
      <w:r w:rsidR="00D346C2" w:rsidRPr="003A4F68">
        <w:rPr>
          <w:rFonts w:ascii="Arial" w:hAnsi="Arial" w:cs="Arial"/>
          <w:sz w:val="22"/>
          <w:szCs w:val="22"/>
        </w:rPr>
        <w:t>t</w:t>
      </w:r>
      <w:r w:rsidR="002C030F" w:rsidRPr="003A4F68">
        <w:rPr>
          <w:rFonts w:ascii="Arial" w:hAnsi="Arial" w:cs="Arial"/>
          <w:sz w:val="22"/>
          <w:szCs w:val="22"/>
        </w:rPr>
        <w:t>ext</w:t>
      </w:r>
    </w:p>
    <w:p w14:paraId="21670AEA" w14:textId="0F126C4C" w:rsidR="002C030F" w:rsidRPr="003A4F68" w:rsidRDefault="00DA59EA" w:rsidP="00262D72">
      <w:pPr>
        <w:ind w:left="720"/>
        <w:rPr>
          <w:rFonts w:ascii="Arial" w:hAnsi="Arial" w:cs="Arial"/>
          <w:sz w:val="22"/>
          <w:szCs w:val="22"/>
        </w:rPr>
      </w:pPr>
      <w:r w:rsidRPr="003A4F68">
        <w:rPr>
          <w:rFonts w:ascii="Arial" w:hAnsi="Arial" w:cs="Arial"/>
          <w:sz w:val="22"/>
          <w:szCs w:val="22"/>
        </w:rPr>
        <w:t>Figures</w:t>
      </w:r>
      <w:r w:rsidR="00A3403B" w:rsidRPr="003A4F68">
        <w:rPr>
          <w:rFonts w:ascii="Arial" w:hAnsi="Arial" w:cs="Arial"/>
          <w:sz w:val="22"/>
          <w:szCs w:val="22"/>
        </w:rPr>
        <w:t xml:space="preserve"> </w:t>
      </w:r>
      <w:r w:rsidR="002C030F" w:rsidRPr="003A4F68">
        <w:rPr>
          <w:rFonts w:ascii="Arial" w:hAnsi="Arial" w:cs="Arial"/>
          <w:sz w:val="22"/>
          <w:szCs w:val="22"/>
        </w:rPr>
        <w:t>S1</w:t>
      </w:r>
      <w:r w:rsidR="00A3403B" w:rsidRPr="003A4F68">
        <w:rPr>
          <w:rFonts w:ascii="Arial" w:hAnsi="Arial" w:cs="Arial"/>
          <w:sz w:val="22"/>
          <w:szCs w:val="22"/>
        </w:rPr>
        <w:t xml:space="preserve"> to </w:t>
      </w:r>
      <w:r w:rsidR="002C030F" w:rsidRPr="003A4F68">
        <w:rPr>
          <w:rFonts w:ascii="Arial" w:hAnsi="Arial" w:cs="Arial"/>
          <w:sz w:val="22"/>
          <w:szCs w:val="22"/>
        </w:rPr>
        <w:t>S</w:t>
      </w:r>
      <w:r w:rsidR="00733DA9" w:rsidRPr="003A4F68">
        <w:rPr>
          <w:rFonts w:ascii="Arial" w:hAnsi="Arial" w:cs="Arial"/>
          <w:sz w:val="22"/>
          <w:szCs w:val="22"/>
        </w:rPr>
        <w:t>6</w:t>
      </w:r>
    </w:p>
    <w:p w14:paraId="091A6F7B" w14:textId="6B10D3F4" w:rsidR="002C030F" w:rsidRPr="003A4F68" w:rsidRDefault="002C030F" w:rsidP="00262D72">
      <w:pPr>
        <w:ind w:left="720"/>
        <w:rPr>
          <w:rFonts w:ascii="Arial" w:hAnsi="Arial" w:cs="Arial"/>
          <w:sz w:val="22"/>
          <w:szCs w:val="22"/>
        </w:rPr>
      </w:pPr>
      <w:r w:rsidRPr="003A4F68">
        <w:rPr>
          <w:rFonts w:ascii="Arial" w:hAnsi="Arial" w:cs="Arial"/>
          <w:sz w:val="22"/>
          <w:szCs w:val="22"/>
        </w:rPr>
        <w:t>Tables S1</w:t>
      </w:r>
      <w:r w:rsidR="00A3403B" w:rsidRPr="003A4F68">
        <w:rPr>
          <w:rFonts w:ascii="Arial" w:hAnsi="Arial" w:cs="Arial"/>
          <w:sz w:val="22"/>
          <w:szCs w:val="22"/>
        </w:rPr>
        <w:t xml:space="preserve"> to </w:t>
      </w:r>
      <w:r w:rsidRPr="003A4F68">
        <w:rPr>
          <w:rFonts w:ascii="Arial" w:hAnsi="Arial" w:cs="Arial"/>
          <w:sz w:val="22"/>
          <w:szCs w:val="22"/>
        </w:rPr>
        <w:t>S</w:t>
      </w:r>
      <w:r w:rsidR="00EB2255" w:rsidRPr="003A4F68">
        <w:rPr>
          <w:rFonts w:ascii="Arial" w:hAnsi="Arial" w:cs="Arial"/>
          <w:sz w:val="22"/>
          <w:szCs w:val="22"/>
        </w:rPr>
        <w:t>2</w:t>
      </w:r>
    </w:p>
    <w:p w14:paraId="7702D235" w14:textId="77777777" w:rsidR="002C030F" w:rsidRPr="003A4F68" w:rsidRDefault="002C030F">
      <w:pPr>
        <w:rPr>
          <w:rFonts w:ascii="Arial" w:hAnsi="Arial" w:cs="Arial"/>
          <w:sz w:val="22"/>
          <w:szCs w:val="22"/>
        </w:rPr>
      </w:pPr>
    </w:p>
    <w:p w14:paraId="0624FFEC" w14:textId="63608D10" w:rsidR="00065EBD" w:rsidRPr="003A4F68" w:rsidRDefault="00065EBD" w:rsidP="00262D72">
      <w:pPr>
        <w:ind w:left="720"/>
        <w:rPr>
          <w:rFonts w:ascii="Arial" w:hAnsi="Arial" w:cs="Arial"/>
          <w:sz w:val="22"/>
          <w:szCs w:val="22"/>
        </w:rPr>
      </w:pPr>
    </w:p>
    <w:p w14:paraId="0A109534" w14:textId="39389F11" w:rsidR="00733DA9" w:rsidRPr="003A4F68" w:rsidRDefault="00733DA9" w:rsidP="00262D72">
      <w:pPr>
        <w:ind w:left="720"/>
        <w:rPr>
          <w:rFonts w:ascii="Arial" w:hAnsi="Arial" w:cs="Arial"/>
          <w:sz w:val="22"/>
          <w:szCs w:val="22"/>
        </w:rPr>
      </w:pPr>
    </w:p>
    <w:p w14:paraId="1F410ECE" w14:textId="3AFE30C6" w:rsidR="00015F74" w:rsidRPr="003A4F68" w:rsidRDefault="00BB2D2A" w:rsidP="00B9440A">
      <w:pPr>
        <w:pStyle w:val="SMHeading"/>
        <w:rPr>
          <w:rFonts w:ascii="Arial" w:hAnsi="Arial" w:cs="Arial"/>
          <w:sz w:val="22"/>
          <w:szCs w:val="22"/>
        </w:rPr>
      </w:pPr>
      <w:r w:rsidRPr="003A4F68">
        <w:rPr>
          <w:rFonts w:ascii="Arial" w:hAnsi="Arial" w:cs="Arial"/>
          <w:sz w:val="22"/>
          <w:szCs w:val="22"/>
        </w:rPr>
        <w:t>Supplementary</w:t>
      </w:r>
      <w:r w:rsidR="00015F74" w:rsidRPr="003A4F68">
        <w:rPr>
          <w:rFonts w:ascii="Arial" w:hAnsi="Arial" w:cs="Arial"/>
          <w:sz w:val="22"/>
          <w:szCs w:val="22"/>
        </w:rPr>
        <w:t xml:space="preserve"> </w:t>
      </w:r>
      <w:r w:rsidR="001C0975" w:rsidRPr="003A4F68">
        <w:rPr>
          <w:rFonts w:ascii="Arial" w:hAnsi="Arial" w:cs="Arial"/>
          <w:sz w:val="22"/>
          <w:szCs w:val="22"/>
        </w:rPr>
        <w:t>Information Text</w:t>
      </w:r>
    </w:p>
    <w:p w14:paraId="00438031" w14:textId="77777777" w:rsidR="001504A3" w:rsidRPr="003A4F68" w:rsidRDefault="001504A3" w:rsidP="00B9440A">
      <w:pPr>
        <w:pStyle w:val="SMHeading"/>
        <w:rPr>
          <w:rFonts w:ascii="Arial" w:hAnsi="Arial" w:cs="Arial"/>
          <w:sz w:val="22"/>
          <w:szCs w:val="22"/>
        </w:rPr>
      </w:pPr>
    </w:p>
    <w:p w14:paraId="1A132A3E" w14:textId="30AD4933" w:rsidR="00256256" w:rsidRPr="003A4F68" w:rsidRDefault="00256256" w:rsidP="009417D1">
      <w:pPr>
        <w:shd w:val="clear" w:color="auto" w:fill="FFFFFF"/>
        <w:outlineLvl w:val="2"/>
        <w:rPr>
          <w:rFonts w:ascii="Arial" w:hAnsi="Arial" w:cs="Arial"/>
          <w:b/>
          <w:bCs/>
          <w:sz w:val="22"/>
          <w:szCs w:val="22"/>
        </w:rPr>
      </w:pPr>
      <w:r w:rsidRPr="003A4F68">
        <w:rPr>
          <w:rFonts w:ascii="Arial" w:hAnsi="Arial" w:cs="Arial"/>
          <w:b/>
          <w:bCs/>
          <w:sz w:val="22"/>
          <w:szCs w:val="22"/>
        </w:rPr>
        <w:t>Methods</w:t>
      </w:r>
    </w:p>
    <w:p w14:paraId="3A173002" w14:textId="2C234885" w:rsidR="009417D1" w:rsidRPr="003A4F68" w:rsidRDefault="009417D1" w:rsidP="009417D1">
      <w:pPr>
        <w:shd w:val="clear" w:color="auto" w:fill="FFFFFF"/>
        <w:outlineLvl w:val="2"/>
        <w:rPr>
          <w:rFonts w:ascii="Arial" w:hAnsi="Arial" w:cs="Arial"/>
          <w:b/>
          <w:bCs/>
          <w:sz w:val="22"/>
          <w:szCs w:val="22"/>
        </w:rPr>
      </w:pPr>
      <w:r w:rsidRPr="003A4F68">
        <w:rPr>
          <w:rFonts w:ascii="Arial" w:hAnsi="Arial" w:cs="Arial"/>
          <w:b/>
          <w:bCs/>
          <w:sz w:val="22"/>
          <w:szCs w:val="22"/>
        </w:rPr>
        <w:t>Participants</w:t>
      </w:r>
    </w:p>
    <w:p w14:paraId="3ED9D77C" w14:textId="77777777" w:rsidR="001504A3" w:rsidRPr="003A4F68" w:rsidRDefault="001504A3" w:rsidP="009417D1">
      <w:pPr>
        <w:shd w:val="clear" w:color="auto" w:fill="FFFFFF"/>
        <w:outlineLvl w:val="2"/>
        <w:rPr>
          <w:rFonts w:ascii="Arial" w:hAnsi="Arial" w:cs="Arial"/>
          <w:sz w:val="22"/>
          <w:szCs w:val="22"/>
        </w:rPr>
      </w:pPr>
      <w:r w:rsidRPr="003A4F68">
        <w:rPr>
          <w:rFonts w:ascii="Arial" w:hAnsi="Arial" w:cs="Arial"/>
          <w:sz w:val="22"/>
          <w:szCs w:val="22"/>
        </w:rPr>
        <w:t xml:space="preserve">To ensure substantial range of psychopathology in the TE sample, and consistent with a large body of work suggesting dose-response relationships between trauma exposure severity and psychopathology </w:t>
      </w:r>
      <w:r w:rsidRPr="003A4F68">
        <w:rPr>
          <w:rFonts w:ascii="Arial" w:hAnsi="Arial" w:cs="Arial"/>
          <w:sz w:val="22"/>
          <w:szCs w:val="22"/>
        </w:rPr>
        <w:fldChar w:fldCharType="begin"/>
      </w:r>
      <w:r w:rsidRPr="003A4F68">
        <w:rPr>
          <w:rFonts w:ascii="Arial" w:hAnsi="Arial" w:cs="Arial"/>
          <w:sz w:val="22"/>
          <w:szCs w:val="22"/>
        </w:rPr>
        <w:instrText xml:space="preserve"> ADDIN EN.CITE &lt;EndNote&gt;&lt;Cite&gt;&lt;Author&gt;Neria&lt;/Author&gt;&lt;Year&gt;2008&lt;/Year&gt;&lt;RecNum&gt;39&lt;/RecNum&gt;&lt;DisplayText&gt;(29)&lt;/DisplayText&gt;&lt;record&gt;&lt;rec-number&gt;39&lt;/rec-number&gt;&lt;foreign-keys&gt;&lt;key app="EN" db-id="r2f2waevaerfenedxr3vx5eovzwpr0sfvwxa" timestamp="1606317429"&gt;39&lt;/key&gt;&lt;/foreign-keys&gt;&lt;ref-type name="Journal Article"&gt;17&lt;/ref-type&gt;&lt;contributors&gt;&lt;authors&gt;&lt;author&gt;Neria, Y.&lt;/author&gt;&lt;author&gt;Nandi, A.&lt;/author&gt;&lt;author&gt;Galea, S.&lt;/author&gt;&lt;/authors&gt;&lt;/contributors&gt;&lt;auth-address&gt;Department of Epidemiology, Mailman School of Public Health, Columbia University Medical Center, New York, NY 10032, USA. ny126@columbia.edu&lt;/auth-address&gt;&lt;titles&gt;&lt;title&gt;Post-traumatic stress disorder following disasters: a systematic review&lt;/title&gt;&lt;secondary-title&gt;Psychol Med&lt;/secondary-title&gt;&lt;/titles&gt;&lt;periodical&gt;&lt;full-title&gt;Psychol Med&lt;/full-title&gt;&lt;/periodical&gt;&lt;pages&gt;467-80&lt;/pages&gt;&lt;volume&gt;38&lt;/volume&gt;&lt;number&gt;4&lt;/number&gt;&lt;keywords&gt;&lt;keyword&gt;Diagnostic and Statistical Manual of Mental Disorders&lt;/keyword&gt;&lt;keyword&gt;*Disasters&lt;/keyword&gt;&lt;keyword&gt;Humans&lt;/keyword&gt;&lt;keyword&gt;Longitudinal Studies&lt;/keyword&gt;&lt;keyword&gt;Risk Factors&lt;/keyword&gt;&lt;keyword&gt;Stress Disorders, Post-Traumatic/*diagnosis/psychology&lt;/keyword&gt;&lt;/keywords&gt;&lt;dates&gt;&lt;year&gt;2008&lt;/year&gt;&lt;pub-dates&gt;&lt;date&gt;Apr&lt;/date&gt;&lt;/pub-dates&gt;&lt;/dates&gt;&lt;isbn&gt;0033-2917 (Print)&amp;#xD;0033-2917 (Linking)&lt;/isbn&gt;&lt;accession-num&gt;17803838&lt;/accession-num&gt;&lt;urls&gt;&lt;related-urls&gt;&lt;url&gt;https://www.ncbi.nlm.nih.gov/pubmed/17803838&lt;/url&gt;&lt;/related-urls&gt;&lt;/urls&gt;&lt;custom2&gt;PMC4877688&lt;/custom2&gt;&lt;electronic-resource-num&gt;10.1017/S0033291707001353&lt;/electronic-resource-num&gt;&lt;/record&gt;&lt;/Cite&gt;&lt;/EndNote&gt;</w:instrText>
      </w:r>
      <w:r w:rsidRPr="003A4F68">
        <w:rPr>
          <w:rFonts w:ascii="Arial" w:hAnsi="Arial" w:cs="Arial"/>
          <w:sz w:val="22"/>
          <w:szCs w:val="22"/>
        </w:rPr>
        <w:fldChar w:fldCharType="separate"/>
      </w:r>
      <w:r w:rsidRPr="003A4F68">
        <w:rPr>
          <w:rFonts w:ascii="Arial" w:hAnsi="Arial" w:cs="Arial"/>
          <w:sz w:val="22"/>
          <w:szCs w:val="22"/>
        </w:rPr>
        <w:t>(29)</w:t>
      </w:r>
      <w:r w:rsidRPr="003A4F68">
        <w:rPr>
          <w:rFonts w:ascii="Arial" w:hAnsi="Arial" w:cs="Arial"/>
          <w:sz w:val="22"/>
          <w:szCs w:val="22"/>
        </w:rPr>
        <w:fldChar w:fldCharType="end"/>
      </w:r>
      <w:r w:rsidRPr="003A4F68">
        <w:rPr>
          <w:rFonts w:ascii="Arial" w:hAnsi="Arial" w:cs="Arial"/>
          <w:sz w:val="22"/>
          <w:szCs w:val="22"/>
        </w:rPr>
        <w:t xml:space="preserve">, we methodically characterized type, severity, number and timing of trauma exposures, and included both childhood and adulthood trauma exposure. Index trauma exposure met DSM-5 Criterion A of a traumatic event. </w:t>
      </w:r>
    </w:p>
    <w:p w14:paraId="3650B406" w14:textId="77777777" w:rsidR="001504A3" w:rsidRPr="003A4F68" w:rsidRDefault="001504A3" w:rsidP="009417D1">
      <w:pPr>
        <w:shd w:val="clear" w:color="auto" w:fill="FFFFFF"/>
        <w:outlineLvl w:val="2"/>
        <w:rPr>
          <w:rFonts w:ascii="Arial" w:hAnsi="Arial" w:cs="Arial"/>
          <w:sz w:val="22"/>
          <w:szCs w:val="22"/>
        </w:rPr>
      </w:pPr>
    </w:p>
    <w:p w14:paraId="3D1A1C23" w14:textId="462C8E02" w:rsidR="009417D1" w:rsidRPr="003A4F68" w:rsidRDefault="009417D1" w:rsidP="009417D1">
      <w:pPr>
        <w:shd w:val="clear" w:color="auto" w:fill="FFFFFF"/>
        <w:outlineLvl w:val="2"/>
        <w:rPr>
          <w:rFonts w:ascii="Arial" w:hAnsi="Arial" w:cs="Arial"/>
          <w:sz w:val="22"/>
          <w:szCs w:val="22"/>
        </w:rPr>
      </w:pPr>
      <w:r w:rsidRPr="003A4F68">
        <w:rPr>
          <w:rFonts w:ascii="Arial" w:hAnsi="Arial" w:cs="Arial"/>
          <w:sz w:val="22"/>
          <w:szCs w:val="22"/>
        </w:rPr>
        <w:t>An independent MD or PhD/PsyD clinical evaluator administered the Structured Clinical Interview for DSM-5 Disorders (SCID-5)</w:t>
      </w:r>
      <w:r w:rsidRPr="003A4F68">
        <w:rPr>
          <w:rFonts w:ascii="Arial" w:hAnsi="Arial" w:cs="Arial"/>
          <w:sz w:val="22"/>
          <w:szCs w:val="22"/>
        </w:rPr>
        <w:fldChar w:fldCharType="begin"/>
      </w:r>
      <w:r w:rsidRPr="003A4F68">
        <w:rPr>
          <w:rFonts w:ascii="Arial" w:hAnsi="Arial" w:cs="Arial"/>
          <w:sz w:val="22"/>
          <w:szCs w:val="22"/>
        </w:rPr>
        <w:instrText xml:space="preserve"> ADDIN EN.CITE &lt;EndNote&gt;&lt;Cite&gt;&lt;Author&gt;First&lt;/Author&gt;&lt;Year&gt;1996&lt;/Year&gt;&lt;RecNum&gt;325&lt;/RecNum&gt;&lt;DisplayText&gt;(30)&lt;/DisplayText&gt;&lt;record&gt;&lt;rec-number&gt;325&lt;/rec-number&gt;&lt;foreign-keys&gt;&lt;key app="EN" db-id="r2f2waevaerfenedxr3vx5eovzwpr0sfvwxa" timestamp="1611532015"&gt;325&lt;/key&gt;&lt;/foreign-keys&gt;&lt;ref-type name="Journal Article"&gt;17&lt;/ref-type&gt;&lt;contributors&gt;&lt;authors&gt;&lt;author&gt;First, MB, Spitzer, RL, Gibbon, M. &amp;amp; Williams, JB &lt;/author&gt;&lt;/authors&gt;&lt;/contributors&gt;&lt;titles&gt;&lt;title&gt;Structured Clinical Interview for the DSM-IV Axis I Disorders.&lt;/title&gt;&lt;/titles&gt;&lt;dates&gt;&lt;year&gt;1996&lt;/year&gt;&lt;/dates&gt;&lt;urls&gt;&lt;/urls&gt;&lt;/record&gt;&lt;/Cite&gt;&lt;/EndNote&gt;</w:instrText>
      </w:r>
      <w:r w:rsidRPr="003A4F68">
        <w:rPr>
          <w:rFonts w:ascii="Arial" w:hAnsi="Arial" w:cs="Arial"/>
          <w:sz w:val="22"/>
          <w:szCs w:val="22"/>
        </w:rPr>
        <w:fldChar w:fldCharType="separate"/>
      </w:r>
      <w:r w:rsidRPr="003A4F68">
        <w:rPr>
          <w:rFonts w:ascii="Arial" w:hAnsi="Arial" w:cs="Arial"/>
          <w:sz w:val="22"/>
          <w:szCs w:val="22"/>
        </w:rPr>
        <w:t>(30)</w:t>
      </w:r>
      <w:r w:rsidRPr="003A4F68">
        <w:rPr>
          <w:rFonts w:ascii="Arial" w:hAnsi="Arial" w:cs="Arial"/>
          <w:sz w:val="22"/>
          <w:szCs w:val="22"/>
        </w:rPr>
        <w:fldChar w:fldCharType="end"/>
      </w:r>
      <w:r w:rsidRPr="003A4F68">
        <w:rPr>
          <w:rFonts w:ascii="Arial" w:hAnsi="Arial" w:cs="Arial"/>
          <w:sz w:val="22"/>
          <w:szCs w:val="22"/>
        </w:rPr>
        <w:t xml:space="preserve"> and the Clinician-Administered PTSD Scale-5 (CAPS-5) </w:t>
      </w:r>
      <w:r w:rsidRPr="003A4F68">
        <w:rPr>
          <w:rFonts w:ascii="Arial" w:hAnsi="Arial" w:cs="Arial"/>
          <w:sz w:val="22"/>
          <w:szCs w:val="22"/>
        </w:rPr>
        <w:fldChar w:fldCharType="begin">
          <w:fldData xml:space="preserve">PEVuZE5vdGU+PENpdGU+PEF1dGhvcj5XZWF0aGVyczwvQXV0aG9yPjxZZWFyPjIwMDE8L1llYXI+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</w:fldData>
        </w:fldChar>
      </w:r>
      <w:r w:rsidRPr="003A4F68">
        <w:rPr>
          <w:rFonts w:ascii="Arial" w:hAnsi="Arial" w:cs="Arial"/>
          <w:sz w:val="22"/>
          <w:szCs w:val="22"/>
        </w:rPr>
        <w:instrText xml:space="preserve"> ADDIN EN.CITE </w:instrText>
      </w:r>
      <w:r w:rsidRPr="003A4F68">
        <w:rPr>
          <w:rFonts w:ascii="Arial" w:hAnsi="Arial" w:cs="Arial"/>
          <w:sz w:val="22"/>
          <w:szCs w:val="22"/>
        </w:rPr>
        <w:fldChar w:fldCharType="begin">
          <w:fldData xml:space="preserve">PEVuZE5vdGU+PENpdGU+PEF1dGhvcj5XZWF0aGVyczwvQXV0aG9yPjxZZWFyPjIwMDE8L1llYXI+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</w:fldData>
        </w:fldChar>
      </w:r>
      <w:r w:rsidRPr="003A4F68">
        <w:rPr>
          <w:rFonts w:ascii="Arial" w:hAnsi="Arial" w:cs="Arial"/>
          <w:sz w:val="22"/>
          <w:szCs w:val="22"/>
        </w:rPr>
        <w:instrText xml:space="preserve"> ADDIN EN.CITE.DATA </w:instrText>
      </w:r>
      <w:r w:rsidRPr="003A4F68">
        <w:rPr>
          <w:rFonts w:ascii="Arial" w:hAnsi="Arial" w:cs="Arial"/>
          <w:sz w:val="22"/>
          <w:szCs w:val="22"/>
        </w:rPr>
      </w:r>
      <w:r w:rsidRPr="003A4F68">
        <w:rPr>
          <w:rFonts w:ascii="Arial" w:hAnsi="Arial" w:cs="Arial"/>
          <w:sz w:val="22"/>
          <w:szCs w:val="22"/>
        </w:rPr>
        <w:fldChar w:fldCharType="end"/>
      </w:r>
      <w:r w:rsidRPr="003A4F68">
        <w:rPr>
          <w:rFonts w:ascii="Arial" w:hAnsi="Arial" w:cs="Arial"/>
          <w:sz w:val="22"/>
          <w:szCs w:val="22"/>
        </w:rPr>
      </w:r>
      <w:r w:rsidRPr="003A4F68">
        <w:rPr>
          <w:rFonts w:ascii="Arial" w:hAnsi="Arial" w:cs="Arial"/>
          <w:sz w:val="22"/>
          <w:szCs w:val="22"/>
        </w:rPr>
        <w:fldChar w:fldCharType="separate"/>
      </w:r>
      <w:r w:rsidRPr="003A4F68">
        <w:rPr>
          <w:rFonts w:ascii="Arial" w:hAnsi="Arial" w:cs="Arial"/>
          <w:sz w:val="22"/>
          <w:szCs w:val="22"/>
        </w:rPr>
        <w:t>(31, 32)</w:t>
      </w:r>
      <w:r w:rsidRPr="003A4F68">
        <w:rPr>
          <w:rFonts w:ascii="Arial" w:hAnsi="Arial" w:cs="Arial"/>
          <w:sz w:val="22"/>
          <w:szCs w:val="22"/>
        </w:rPr>
        <w:fldChar w:fldCharType="end"/>
      </w:r>
      <w:r w:rsidRPr="003A4F68">
        <w:rPr>
          <w:rFonts w:ascii="Arial" w:hAnsi="Arial" w:cs="Arial"/>
          <w:sz w:val="22"/>
          <w:szCs w:val="22"/>
        </w:rPr>
        <w:t xml:space="preserve">. The CAPS-5 is a 30-item instrument containing 0-4 Likert-style items of frequency and intensity for PTSD symptoms. It has good reliability and validity </w:t>
      </w:r>
      <w:r w:rsidRPr="003A4F68">
        <w:rPr>
          <w:rFonts w:ascii="Arial" w:hAnsi="Arial" w:cs="Arial"/>
          <w:sz w:val="22"/>
          <w:szCs w:val="22"/>
        </w:rPr>
        <w:fldChar w:fldCharType="begin"/>
      </w:r>
      <w:r w:rsidRPr="003A4F68">
        <w:rPr>
          <w:rFonts w:ascii="Arial" w:hAnsi="Arial" w:cs="Arial"/>
          <w:sz w:val="22"/>
          <w:szCs w:val="22"/>
        </w:rPr>
        <w:instrText xml:space="preserve"> ADDIN EN.CITE &lt;EndNote&gt;&lt;Cite&gt;&lt;Author&gt;Lobbestael&lt;/Author&gt;&lt;Year&gt;2011&lt;/Year&gt;&lt;RecNum&gt;324&lt;/RecNum&gt;&lt;DisplayText&gt;(33)&lt;/DisplayText&gt;&lt;record&gt;&lt;rec-number&gt;324&lt;/rec-number&gt;&lt;foreign-keys&gt;&lt;key app="EN" db-id="r2f2waevaerfenedxr3vx5eovzwpr0sfvwxa" timestamp="1611531790"&gt;324&lt;/key&gt;&lt;/foreign-keys&gt;&lt;ref-type name="Journal Article"&gt;17&lt;/ref-type&gt;&lt;contributors&gt;&lt;authors&gt;&lt;author&gt;Lobbestael, J.&lt;/author&gt;&lt;author&gt;Leurgans, M.&lt;/author&gt;&lt;author&gt;Arntz, A.&lt;/author&gt;&lt;/authors&gt;&lt;/contributors&gt;&lt;auth-address&gt;Maastricht University, Maastricht, The Netherlands. jill.lobbestael@maastrichtuniversity.nl&lt;/auth-address&gt;&lt;titles&gt;&lt;title&gt;Inter-rater reliability of the Structured Clinical Interview for DSM-IV Axis I Disorders (SCID I) and Axis II Disorders (SCID II)&lt;/title&gt;&lt;secondary-title&gt;Clin Psychol Psychother&lt;/secondary-title&gt;&lt;/titles&gt;&lt;periodical&gt;&lt;full-title&gt;Clin Psychol Psychother&lt;/full-title&gt;&lt;/periodical&gt;&lt;pages&gt;75-9&lt;/pages&gt;&lt;volume&gt;18&lt;/volume&gt;&lt;number&gt;1&lt;/number&gt;&lt;edition&gt;2010/03/24&lt;/edition&gt;&lt;keywords&gt;&lt;keyword&gt;Adolescent&lt;/keyword&gt;&lt;keyword&gt;Adult&lt;/keyword&gt;&lt;keyword&gt;Diagnostic and Statistical Manual of Mental Disorders&lt;/keyword&gt;&lt;keyword&gt;Female&lt;/keyword&gt;&lt;keyword&gt;Humans&lt;/keyword&gt;&lt;keyword&gt;Interview, Psychological/*methods/*standards&lt;/keyword&gt;&lt;keyword&gt;Male&lt;/keyword&gt;&lt;keyword&gt;Mental Disorders/*diagnosis&lt;/keyword&gt;&lt;keyword&gt;Middle Aged&lt;/keyword&gt;&lt;keyword&gt;Netherlands&lt;/keyword&gt;&lt;keyword&gt;Observer Variation&lt;/keyword&gt;&lt;keyword&gt;Psychometrics&lt;/keyword&gt;&lt;keyword&gt;Reproducibility of Results&lt;/keyword&gt;&lt;keyword&gt;Young Adult&lt;/keyword&gt;&lt;/keywords&gt;&lt;dates&gt;&lt;year&gt;2011&lt;/year&gt;&lt;pub-dates&gt;&lt;date&gt;Jan-Feb&lt;/date&gt;&lt;/pub-dates&gt;&lt;/dates&gt;&lt;isbn&gt;1099-0879 (Electronic)&amp;#xD;1063-3995 (Linking)&lt;/isbn&gt;&lt;accession-num&gt;20309842&lt;/accession-num&gt;&lt;urls&gt;&lt;related-urls&gt;&lt;url&gt;https://www.ncbi.nlm.nih.gov/pubmed/20309842&lt;/url&gt;&lt;/related-urls&gt;&lt;/urls&gt;&lt;electronic-resource-num&gt;10.1002/cpp.693&lt;/electronic-resource-num&gt;&lt;/record&gt;&lt;/Cite&gt;&lt;/EndNote&gt;</w:instrText>
      </w:r>
      <w:r w:rsidRPr="003A4F68">
        <w:rPr>
          <w:rFonts w:ascii="Arial" w:hAnsi="Arial" w:cs="Arial"/>
          <w:sz w:val="22"/>
          <w:szCs w:val="22"/>
        </w:rPr>
        <w:fldChar w:fldCharType="separate"/>
      </w:r>
      <w:r w:rsidRPr="003A4F68">
        <w:rPr>
          <w:rFonts w:ascii="Arial" w:hAnsi="Arial" w:cs="Arial"/>
          <w:sz w:val="22"/>
          <w:szCs w:val="22"/>
        </w:rPr>
        <w:t>(33)</w:t>
      </w:r>
      <w:r w:rsidRPr="003A4F68">
        <w:rPr>
          <w:rFonts w:ascii="Arial" w:hAnsi="Arial" w:cs="Arial"/>
          <w:sz w:val="22"/>
          <w:szCs w:val="22"/>
        </w:rPr>
        <w:fldChar w:fldCharType="end"/>
      </w:r>
      <w:r w:rsidRPr="003A4F68">
        <w:rPr>
          <w:rFonts w:ascii="Arial" w:hAnsi="Arial" w:cs="Arial"/>
          <w:sz w:val="22"/>
          <w:szCs w:val="22"/>
        </w:rPr>
        <w:t xml:space="preserve">. Depressive symptoms were assessed using the Hamilton Depression Scale (HAM-D, 17 item) </w:t>
      </w:r>
      <w:r w:rsidRPr="003A4F68">
        <w:rPr>
          <w:rFonts w:ascii="Arial" w:hAnsi="Arial" w:cs="Arial"/>
          <w:sz w:val="22"/>
          <w:szCs w:val="22"/>
        </w:rPr>
        <w:fldChar w:fldCharType="begin"/>
      </w:r>
      <w:r w:rsidRPr="003A4F68">
        <w:rPr>
          <w:rFonts w:ascii="Arial" w:hAnsi="Arial" w:cs="Arial"/>
          <w:sz w:val="22"/>
          <w:szCs w:val="22"/>
        </w:rPr>
        <w:instrText xml:space="preserve"> ADDIN EN.CITE &lt;EndNote&gt;&lt;Cite&gt;&lt;Author&gt;Hamilton&lt;/Author&gt;&lt;Year&gt;1960&lt;/Year&gt;&lt;RecNum&gt;3&lt;/RecNum&gt;&lt;DisplayText&gt;(34)&lt;/DisplayText&gt;&lt;record&gt;&lt;rec-number&gt;3&lt;/rec-number&gt;&lt;foreign-keys&gt;&lt;key app="EN" db-id="r2f2waevaerfenedxr3vx5eovzwpr0sfvwxa" timestamp="1600122965"&gt;3&lt;/key&gt;&lt;/foreign-keys&gt;&lt;ref-type name="Journal Article"&gt;17&lt;/ref-type&gt;&lt;contributors&gt;&lt;authors&gt;&lt;author&gt;Hamilton, M.&lt;/author&gt;&lt;/authors&gt;&lt;/contributors&gt;&lt;titles&gt;&lt;title&gt;A rating scale for depression&lt;/title&gt;&lt;secondary-title&gt;J Neurol Neurosurg Psychiatry&lt;/secondary-title&gt;&lt;/titles&gt;&lt;periodical&gt;&lt;full-title&gt;J Neurol Neurosurg Psychiatry&lt;/full-title&gt;&lt;/periodical&gt;&lt;pages&gt;56-62&lt;/pages&gt;&lt;volume&gt;23&lt;/volume&gt;&lt;edition&gt;1960/02/01&lt;/edition&gt;&lt;keywords&gt;&lt;keyword&gt;Aged&lt;/keyword&gt;&lt;keyword&gt;*Depression&lt;/keyword&gt;&lt;keyword&gt;*Depressive Disorder&lt;/keyword&gt;&lt;keyword&gt;Humans&lt;/keyword&gt;&lt;keyword&gt;*Psychometrics&lt;/keyword&gt;&lt;/keywords&gt;&lt;dates&gt;&lt;year&gt;1960&lt;/year&gt;&lt;pub-dates&gt;&lt;date&gt;Feb&lt;/date&gt;&lt;/pub-dates&gt;&lt;/dates&gt;&lt;isbn&gt;0022-3050 (Print)&amp;#xD;0022-3050 (Linking)&lt;/isbn&gt;&lt;accession-num&gt;14399272&lt;/accession-num&gt;&lt;urls&gt;&lt;related-urls&gt;&lt;url&gt;https://www.ncbi.nlm.nih.gov/pubmed/14399272&lt;/url&gt;&lt;/related-urls&gt;&lt;/urls&gt;&lt;custom2&gt;PMC495331&lt;/custom2&gt;&lt;electronic-resource-num&gt;10.1136/jnnp.23.1.56&lt;/electronic-resource-num&gt;&lt;/record&gt;&lt;/Cite&gt;&lt;/EndNote&gt;</w:instrText>
      </w:r>
      <w:r w:rsidRPr="003A4F68">
        <w:rPr>
          <w:rFonts w:ascii="Arial" w:hAnsi="Arial" w:cs="Arial"/>
          <w:sz w:val="22"/>
          <w:szCs w:val="22"/>
        </w:rPr>
        <w:fldChar w:fldCharType="separate"/>
      </w:r>
      <w:r w:rsidRPr="003A4F68">
        <w:rPr>
          <w:rFonts w:ascii="Arial" w:hAnsi="Arial" w:cs="Arial"/>
          <w:sz w:val="22"/>
          <w:szCs w:val="22"/>
        </w:rPr>
        <w:t>(34)</w:t>
      </w:r>
      <w:r w:rsidRPr="003A4F68">
        <w:rPr>
          <w:rFonts w:ascii="Arial" w:hAnsi="Arial" w:cs="Arial"/>
          <w:sz w:val="22"/>
          <w:szCs w:val="22"/>
        </w:rPr>
        <w:fldChar w:fldCharType="end"/>
      </w:r>
      <w:r w:rsidRPr="003A4F68">
        <w:rPr>
          <w:rFonts w:ascii="Arial" w:hAnsi="Arial" w:cs="Arial"/>
          <w:sz w:val="22"/>
          <w:szCs w:val="22"/>
        </w:rPr>
        <w:t xml:space="preserve">, a reliable clinician-rated measure of depressive severity. Social anxiety symptoms were assessed using the Liebowitz Social Anxiety Scale (LSAS), a well-validated 24-item clinician-rated scale for Social Anxiety Disorder (SAD) severity, widely used in studies of SAD </w:t>
      </w:r>
      <w:r w:rsidRPr="003A4F68">
        <w:rPr>
          <w:rFonts w:ascii="Arial" w:hAnsi="Arial" w:cs="Arial"/>
          <w:sz w:val="22"/>
          <w:szCs w:val="22"/>
        </w:rPr>
        <w:fldChar w:fldCharType="begin"/>
      </w:r>
      <w:r w:rsidRPr="003A4F68">
        <w:rPr>
          <w:rFonts w:ascii="Arial" w:hAnsi="Arial" w:cs="Arial"/>
          <w:sz w:val="22"/>
          <w:szCs w:val="22"/>
        </w:rPr>
        <w:instrText xml:space="preserve"> ADDIN EN.CITE &lt;EndNote&gt;&lt;Cite&gt;&lt;Author&gt;Heimberg&lt;/Author&gt;&lt;Year&gt;1999&lt;/Year&gt;&lt;RecNum&gt;41&lt;/RecNum&gt;&lt;DisplayText&gt;(35)&lt;/DisplayText&gt;&lt;record&gt;&lt;rec-number&gt;41&lt;/rec-number&gt;&lt;foreign-keys&gt;&lt;key app="EN" db-id="r2f2waevaerfenedxr3vx5eovzwpr0sfvwxa" timestamp="1606317429"&gt;41&lt;/key&gt;&lt;/foreign-keys&gt;&lt;ref-type name="Journal Article"&gt;17&lt;/ref-type&gt;&lt;contributors&gt;&lt;authors&gt;&lt;author&gt;Heimberg, R. G.&lt;/author&gt;&lt;author&gt;Horner, K. J.&lt;/author&gt;&lt;author&gt;Juster, H. R.&lt;/author&gt;&lt;author&gt;Safren, S. A.&lt;/author&gt;&lt;author&gt;Brown, E. J.&lt;/author&gt;&lt;author&gt;Schneier, F. R.&lt;/author&gt;&lt;author&gt;Liebowitz, M. R.&lt;/author&gt;&lt;/authors&gt;&lt;/contributors&gt;&lt;auth-address&gt;Department of Psychology, Temple University, Philadelphia, PA 19122-6085, USA.&lt;/auth-address&gt;&lt;titles&gt;&lt;title&gt;Psychometric properties of the Liebowitz Social Anxiety Scale&lt;/title&gt;&lt;secondary-title&gt;Psychol Med&lt;/secondary-title&gt;&lt;/titles&gt;&lt;periodical&gt;&lt;full-title&gt;Psychol Med&lt;/full-title&gt;&lt;/periodical&gt;&lt;pages&gt;199-212&lt;/pages&gt;&lt;volume&gt;29&lt;/volume&gt;&lt;number&gt;1&lt;/number&gt;&lt;keywords&gt;&lt;keyword&gt;Adolescent&lt;/keyword&gt;&lt;keyword&gt;Adult&lt;/keyword&gt;&lt;keyword&gt;Female&lt;/keyword&gt;&lt;keyword&gt;Humans&lt;/keyword&gt;&lt;keyword&gt;Male&lt;/keyword&gt;&lt;keyword&gt;Middle Aged&lt;/keyword&gt;&lt;keyword&gt;Models, Psychological&lt;/keyword&gt;&lt;keyword&gt;Phobic Disorders/*diagnosis/*psychology&lt;/keyword&gt;&lt;keyword&gt;Psychiatric Status Rating Scales/*statistics &amp;amp; numerical data&lt;/keyword&gt;&lt;keyword&gt;Psychometrics&lt;/keyword&gt;&lt;keyword&gt;Reproducibility of Results&lt;/keyword&gt;&lt;keyword&gt;Social Alienation&lt;/keyword&gt;&lt;keyword&gt;Surveys and Questionnaires&lt;/keyword&gt;&lt;/keywords&gt;&lt;dates&gt;&lt;year&gt;1999&lt;/year&gt;&lt;pub-dates&gt;&lt;date&gt;Jan&lt;/date&gt;&lt;/pub-dates&gt;&lt;/dates&gt;&lt;isbn&gt;0033-2917 (Print)&amp;#xD;0033-2917 (Linking)&lt;/isbn&gt;&lt;accession-num&gt;10077308&lt;/accession-num&gt;&lt;urls&gt;&lt;related-urls&gt;&lt;url&gt;https://www.ncbi.nlm.nih.gov/pubmed/10077308&lt;/url&gt;&lt;/related-urls&gt;&lt;/urls&gt;&lt;electronic-resource-num&gt;10.1017/s0033291798007879&lt;/electronic-resource-num&gt;&lt;/record&gt;&lt;/Cite&gt;&lt;/EndNote&gt;</w:instrText>
      </w:r>
      <w:r w:rsidRPr="003A4F68">
        <w:rPr>
          <w:rFonts w:ascii="Arial" w:hAnsi="Arial" w:cs="Arial"/>
          <w:sz w:val="22"/>
          <w:szCs w:val="22"/>
        </w:rPr>
        <w:fldChar w:fldCharType="separate"/>
      </w:r>
      <w:r w:rsidRPr="003A4F68">
        <w:rPr>
          <w:rFonts w:ascii="Arial" w:hAnsi="Arial" w:cs="Arial"/>
          <w:sz w:val="22"/>
          <w:szCs w:val="22"/>
        </w:rPr>
        <w:t>(35)</w:t>
      </w:r>
      <w:r w:rsidRPr="003A4F68">
        <w:rPr>
          <w:rFonts w:ascii="Arial" w:hAnsi="Arial" w:cs="Arial"/>
          <w:sz w:val="22"/>
          <w:szCs w:val="22"/>
        </w:rPr>
        <w:fldChar w:fldCharType="end"/>
      </w:r>
      <w:r w:rsidRPr="003A4F68">
        <w:rPr>
          <w:rFonts w:ascii="Arial" w:hAnsi="Arial" w:cs="Arial"/>
          <w:sz w:val="22"/>
          <w:szCs w:val="22"/>
        </w:rPr>
        <w:t>. Panic disorder symptoms were assessed using the Panic Disorder Severity Scale (PDSS)</w:t>
      </w:r>
      <w:r w:rsidRPr="003A4F68">
        <w:rPr>
          <w:rFonts w:ascii="Arial" w:hAnsi="Arial" w:cs="Arial"/>
          <w:sz w:val="22"/>
          <w:szCs w:val="22"/>
        </w:rPr>
        <w:fldChar w:fldCharType="begin">
          <w:fldData xml:space="preserve">PEVuZE5vdGU+PENpdGU+PEF1dGhvcj5TaGVhcjwvQXV0aG9yPjxZZWFyPjIwMDE8L1llYXI+PFJl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</w:fldData>
        </w:fldChar>
      </w:r>
      <w:r w:rsidRPr="003A4F68">
        <w:rPr>
          <w:rFonts w:ascii="Arial" w:hAnsi="Arial" w:cs="Arial"/>
          <w:sz w:val="22"/>
          <w:szCs w:val="22"/>
        </w:rPr>
        <w:instrText xml:space="preserve"> ADDIN EN.CITE </w:instrText>
      </w:r>
      <w:r w:rsidRPr="003A4F68">
        <w:rPr>
          <w:rFonts w:ascii="Arial" w:hAnsi="Arial" w:cs="Arial"/>
          <w:sz w:val="22"/>
          <w:szCs w:val="22"/>
        </w:rPr>
        <w:fldChar w:fldCharType="begin">
          <w:fldData xml:space="preserve">PEVuZE5vdGU+PENpdGU+PEF1dGhvcj5TaGVhcjwvQXV0aG9yPjxZZWFyPjIwMDE8L1llYXI+PFJl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</w:fldData>
        </w:fldChar>
      </w:r>
      <w:r w:rsidRPr="003A4F68">
        <w:rPr>
          <w:rFonts w:ascii="Arial" w:hAnsi="Arial" w:cs="Arial"/>
          <w:sz w:val="22"/>
          <w:szCs w:val="22"/>
        </w:rPr>
        <w:instrText xml:space="preserve"> ADDIN EN.CITE.DATA </w:instrText>
      </w:r>
      <w:r w:rsidRPr="003A4F68">
        <w:rPr>
          <w:rFonts w:ascii="Arial" w:hAnsi="Arial" w:cs="Arial"/>
          <w:sz w:val="22"/>
          <w:szCs w:val="22"/>
        </w:rPr>
      </w:r>
      <w:r w:rsidRPr="003A4F68">
        <w:rPr>
          <w:rFonts w:ascii="Arial" w:hAnsi="Arial" w:cs="Arial"/>
          <w:sz w:val="22"/>
          <w:szCs w:val="22"/>
        </w:rPr>
        <w:fldChar w:fldCharType="end"/>
      </w:r>
      <w:r w:rsidRPr="003A4F68">
        <w:rPr>
          <w:rFonts w:ascii="Arial" w:hAnsi="Arial" w:cs="Arial"/>
          <w:sz w:val="22"/>
          <w:szCs w:val="22"/>
        </w:rPr>
      </w:r>
      <w:r w:rsidRPr="003A4F68">
        <w:rPr>
          <w:rFonts w:ascii="Arial" w:hAnsi="Arial" w:cs="Arial"/>
          <w:sz w:val="22"/>
          <w:szCs w:val="22"/>
        </w:rPr>
        <w:fldChar w:fldCharType="separate"/>
      </w:r>
      <w:r w:rsidRPr="003A4F68">
        <w:rPr>
          <w:rFonts w:ascii="Arial" w:hAnsi="Arial" w:cs="Arial"/>
          <w:sz w:val="22"/>
          <w:szCs w:val="22"/>
        </w:rPr>
        <w:t>(36)</w:t>
      </w:r>
      <w:r w:rsidRPr="003A4F68">
        <w:rPr>
          <w:rFonts w:ascii="Arial" w:hAnsi="Arial" w:cs="Arial"/>
          <w:sz w:val="22"/>
          <w:szCs w:val="22"/>
        </w:rPr>
        <w:fldChar w:fldCharType="end"/>
      </w:r>
      <w:r w:rsidRPr="003A4F68">
        <w:rPr>
          <w:rFonts w:ascii="Arial" w:hAnsi="Arial" w:cs="Arial"/>
          <w:sz w:val="22"/>
          <w:szCs w:val="22"/>
        </w:rPr>
        <w:t xml:space="preserve">, a self-report measure for panic severity. Self-rated instruments also included the Generalized Anxiety Disorder assessment (GAD-7) </w:t>
      </w:r>
      <w:r w:rsidRPr="003A4F68">
        <w:rPr>
          <w:rFonts w:ascii="Arial" w:hAnsi="Arial" w:cs="Arial"/>
          <w:sz w:val="22"/>
          <w:szCs w:val="22"/>
        </w:rPr>
        <w:fldChar w:fldCharType="begin"/>
      </w:r>
      <w:r w:rsidRPr="003A4F68">
        <w:rPr>
          <w:rFonts w:ascii="Arial" w:hAnsi="Arial" w:cs="Arial"/>
          <w:sz w:val="22"/>
          <w:szCs w:val="22"/>
        </w:rPr>
        <w:instrText xml:space="preserve"> ADDIN EN.CITE &lt;EndNote&gt;&lt;Cite&gt;&lt;Author&gt;Spitzer&lt;/Author&gt;&lt;Year&gt;2006&lt;/Year&gt;&lt;RecNum&gt;6&lt;/RecNum&gt;&lt;DisplayText&gt;(37)&lt;/DisplayText&gt;&lt;record&gt;&lt;rec-number&gt;6&lt;/rec-number&gt;&lt;foreign-keys&gt;&lt;key app="EN" db-id="r2f2waevaerfenedxr3vx5eovzwpr0sfvwxa" timestamp="1600123563"&gt;6&lt;/key&gt;&lt;/foreign-keys&gt;&lt;ref-type name="Journal Article"&gt;17&lt;/ref-type&gt;&lt;contributors&gt;&lt;authors&gt;&lt;author&gt;Spitzer, R. L.&lt;/author&gt;&lt;author&gt;Kroenke, K.&lt;/author&gt;&lt;author&gt;Williams, J. B.&lt;/author&gt;&lt;author&gt;Lowe, B.&lt;/author&gt;&lt;/authors&gt;&lt;/contributors&gt;&lt;auth-address&gt;Biometrics Research Department, New York State Psychiatric Institute, New York, NY 10032, USA. RLS8@Columbia.edu&lt;/auth-address&gt;&lt;titles&gt;&lt;title&gt;A brief measure for assessing generalized anxiety disorder: the GAD-7&lt;/title&gt;&lt;secondary-title&gt;Arch Intern Med&lt;/secondary-title&gt;&lt;/titles&gt;&lt;periodical&gt;&lt;full-title&gt;Arch Intern Med&lt;/full-title&gt;&lt;/periodical&gt;&lt;pages&gt;1092-7&lt;/pages&gt;&lt;volume&gt;166&lt;/volume&gt;&lt;number&gt;10&lt;/number&gt;&lt;edition&gt;2006/05/24&lt;/edition&gt;&lt;keywords&gt;&lt;keyword&gt;Adult&lt;/keyword&gt;&lt;keyword&gt;Anxiety Disorders/*diagnosis/epidemiology&lt;/keyword&gt;&lt;keyword&gt;Female&lt;/keyword&gt;&lt;keyword&gt;Humans&lt;/keyword&gt;&lt;keyword&gt;Incidence&lt;/keyword&gt;&lt;keyword&gt;Male&lt;/keyword&gt;&lt;keyword&gt;*Mental Status Schedule&lt;/keyword&gt;&lt;keyword&gt;Middle Aged&lt;/keyword&gt;&lt;keyword&gt;Reproducibility of Results&lt;/keyword&gt;&lt;keyword&gt;Retrospective Studies&lt;/keyword&gt;&lt;keyword&gt;Surveys and Questionnaires&lt;/keyword&gt;&lt;keyword&gt;United States/epidemiology&lt;/keyword&gt;&lt;/keywords&gt;&lt;dates&gt;&lt;year&gt;2006&lt;/year&gt;&lt;pub-dates&gt;&lt;date&gt;May 22&lt;/date&gt;&lt;/pub-dates&gt;&lt;/dates&gt;&lt;isbn&gt;0003-9926 (Print)&amp;#xD;0003-9926 (Linking)&lt;/isbn&gt;&lt;accession-num&gt;16717171&lt;/accession-num&gt;&lt;urls&gt;&lt;related-urls&gt;&lt;url&gt;https://www.ncbi.nlm.nih.gov/pubmed/16717171&lt;/url&gt;&lt;/related-urls&gt;&lt;/urls&gt;&lt;electronic-resource-num&gt;10.1001/archinte.166.10.1092&lt;/electronic-resource-num&gt;&lt;/record&gt;&lt;/Cite&gt;&lt;/EndNote&gt;</w:instrText>
      </w:r>
      <w:r w:rsidRPr="003A4F68">
        <w:rPr>
          <w:rFonts w:ascii="Arial" w:hAnsi="Arial" w:cs="Arial"/>
          <w:sz w:val="22"/>
          <w:szCs w:val="22"/>
        </w:rPr>
        <w:fldChar w:fldCharType="separate"/>
      </w:r>
      <w:r w:rsidRPr="003A4F68">
        <w:rPr>
          <w:rFonts w:ascii="Arial" w:hAnsi="Arial" w:cs="Arial"/>
          <w:sz w:val="22"/>
          <w:szCs w:val="22"/>
        </w:rPr>
        <w:t>(37)</w:t>
      </w:r>
      <w:r w:rsidRPr="003A4F68">
        <w:rPr>
          <w:rFonts w:ascii="Arial" w:hAnsi="Arial" w:cs="Arial"/>
          <w:sz w:val="22"/>
          <w:szCs w:val="22"/>
        </w:rPr>
        <w:fldChar w:fldCharType="end"/>
      </w:r>
      <w:r w:rsidRPr="003A4F68">
        <w:rPr>
          <w:rFonts w:ascii="Arial" w:hAnsi="Arial" w:cs="Arial"/>
          <w:sz w:val="22"/>
          <w:szCs w:val="22"/>
        </w:rPr>
        <w:t xml:space="preserve">, and the SF-36 </w:t>
      </w:r>
      <w:r w:rsidRPr="003A4F68">
        <w:rPr>
          <w:rFonts w:ascii="Arial" w:hAnsi="Arial" w:cs="Arial"/>
          <w:sz w:val="22"/>
          <w:szCs w:val="22"/>
        </w:rPr>
        <w:fldChar w:fldCharType="begin"/>
      </w:r>
      <w:r w:rsidRPr="003A4F68">
        <w:rPr>
          <w:rFonts w:ascii="Arial" w:hAnsi="Arial" w:cs="Arial"/>
          <w:sz w:val="22"/>
          <w:szCs w:val="22"/>
        </w:rPr>
        <w:instrText xml:space="preserve"> ADDIN EN.CITE &lt;EndNote&gt;&lt;Cite&gt;&lt;Author&gt;Ware&lt;/Author&gt;&lt;Year&gt;1992&lt;/Year&gt;&lt;RecNum&gt;4&lt;/RecNum&gt;&lt;DisplayText&gt;(38)&lt;/DisplayText&gt;&lt;record&gt;&lt;rec-number&gt;4&lt;/rec-number&gt;&lt;foreign-keys&gt;&lt;key app="EN" db-id="r2f2waevaerfenedxr3vx5eovzwpr0sfvwxa" timestamp="1600123186"&gt;4&lt;/key&gt;&lt;/foreign-keys&gt;&lt;ref-type name="Journal Article"&gt;17&lt;/ref-type&gt;&lt;contributors&gt;&lt;authors&gt;&lt;author&gt;Ware, J. E., Jr.&lt;/author&gt;&lt;author&gt;Sherbourne, C. D.&lt;/author&gt;&lt;/authors&gt;&lt;/contributors&gt;&lt;auth-address&gt;Health Institute, Boston, MA 02111.&lt;/auth-address&gt;&lt;titles&gt;&lt;title&gt;The MOS 36-item short-form health survey (SF-36). I. Conceptual framework and item selection&lt;/title&gt;&lt;secondary-title&gt;Med Care&lt;/secondary-title&gt;&lt;/titles&gt;&lt;periodical&gt;&lt;full-title&gt;Med Care&lt;/full-title&gt;&lt;/periodical&gt;&lt;pages&gt;473-83&lt;/pages&gt;&lt;volume&gt;30&lt;/volume&gt;&lt;number&gt;6&lt;/number&gt;&lt;edition&gt;1992/06/11&lt;/edition&gt;&lt;keywords&gt;&lt;keyword&gt;Activities of Daily Living&lt;/keyword&gt;&lt;keyword&gt;Adolescent&lt;/keyword&gt;&lt;keyword&gt;Adult&lt;/keyword&gt;&lt;keyword&gt;Aged&lt;/keyword&gt;&lt;keyword&gt;Health Policy&lt;/keyword&gt;&lt;keyword&gt;Health Services Research&lt;/keyword&gt;&lt;keyword&gt;*Health Status&lt;/keyword&gt;&lt;keyword&gt;*Health Surveys&lt;/keyword&gt;&lt;keyword&gt;Humans&lt;/keyword&gt;&lt;keyword&gt;Mental Health&lt;/keyword&gt;&lt;keyword&gt;Middle Aged&lt;/keyword&gt;&lt;keyword&gt;*Outcome Assessment, Health Care&lt;/keyword&gt;&lt;keyword&gt;Role&lt;/keyword&gt;&lt;keyword&gt;Self-Assessment&lt;/keyword&gt;&lt;keyword&gt;*Surveys and Questionnaires&lt;/keyword&gt;&lt;/keywords&gt;&lt;dates&gt;&lt;year&gt;1992&lt;/year&gt;&lt;pub-dates&gt;&lt;date&gt;Jun&lt;/date&gt;&lt;/pub-dates&gt;&lt;/dates&gt;&lt;isbn&gt;0025-7079 (Print)&amp;#xD;0025-7079 (Linking)&lt;/isbn&gt;&lt;accession-num&gt;1593914&lt;/accession-num&gt;&lt;urls&gt;&lt;related-urls&gt;&lt;url&gt;https://www.ncbi.nlm.nih.gov/pubmed/1593914&lt;/url&gt;&lt;/related-urls&gt;&lt;/urls&gt;&lt;/record&gt;&lt;/Cite&gt;&lt;/EndNote&gt;</w:instrText>
      </w:r>
      <w:r w:rsidRPr="003A4F68">
        <w:rPr>
          <w:rFonts w:ascii="Arial" w:hAnsi="Arial" w:cs="Arial"/>
          <w:sz w:val="22"/>
          <w:szCs w:val="22"/>
        </w:rPr>
        <w:fldChar w:fldCharType="separate"/>
      </w:r>
      <w:r w:rsidRPr="003A4F68">
        <w:rPr>
          <w:rFonts w:ascii="Arial" w:hAnsi="Arial" w:cs="Arial"/>
          <w:sz w:val="22"/>
          <w:szCs w:val="22"/>
        </w:rPr>
        <w:t>(38)</w:t>
      </w:r>
      <w:r w:rsidRPr="003A4F68">
        <w:rPr>
          <w:rFonts w:ascii="Arial" w:hAnsi="Arial" w:cs="Arial"/>
          <w:sz w:val="22"/>
          <w:szCs w:val="22"/>
        </w:rPr>
        <w:fldChar w:fldCharType="end"/>
      </w:r>
      <w:r w:rsidRPr="003A4F68">
        <w:rPr>
          <w:rFonts w:ascii="Arial" w:hAnsi="Arial" w:cs="Arial"/>
          <w:sz w:val="22"/>
          <w:szCs w:val="22"/>
        </w:rPr>
        <w:t xml:space="preserve">, a 36 item measure of generic health status, designed for use in clinical practice and research </w:t>
      </w:r>
      <w:r w:rsidRPr="003A4F68">
        <w:rPr>
          <w:rFonts w:ascii="Arial" w:hAnsi="Arial" w:cs="Arial"/>
          <w:sz w:val="22"/>
          <w:szCs w:val="22"/>
        </w:rPr>
        <w:fldChar w:fldCharType="begin">
          <w:fldData xml:space="preserve">PEVuZE5vdGU+PENpdGU+PEF1dGhvcj5OZXJpYTwvQXV0aG9yPjxZZWFyPjIwMDg8L1llYXI+PFJl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</w:fldData>
        </w:fldChar>
      </w:r>
      <w:r w:rsidRPr="003A4F68">
        <w:rPr>
          <w:rFonts w:ascii="Arial" w:hAnsi="Arial" w:cs="Arial"/>
          <w:sz w:val="22"/>
          <w:szCs w:val="22"/>
        </w:rPr>
        <w:instrText xml:space="preserve"> ADDIN EN.CITE </w:instrText>
      </w:r>
      <w:r w:rsidRPr="003A4F68">
        <w:rPr>
          <w:rFonts w:ascii="Arial" w:hAnsi="Arial" w:cs="Arial"/>
          <w:sz w:val="22"/>
          <w:szCs w:val="22"/>
        </w:rPr>
        <w:fldChar w:fldCharType="begin">
          <w:fldData xml:space="preserve">PEVuZE5vdGU+PENpdGU+PEF1dGhvcj5OZXJpYTwvQXV0aG9yPjxZZWFyPjIwMDg8L1llYXI+PFJl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</w:fldData>
        </w:fldChar>
      </w:r>
      <w:r w:rsidRPr="003A4F68">
        <w:rPr>
          <w:rFonts w:ascii="Arial" w:hAnsi="Arial" w:cs="Arial"/>
          <w:sz w:val="22"/>
          <w:szCs w:val="22"/>
        </w:rPr>
        <w:instrText xml:space="preserve"> ADDIN EN.CITE.DATA </w:instrText>
      </w:r>
      <w:r w:rsidRPr="003A4F68">
        <w:rPr>
          <w:rFonts w:ascii="Arial" w:hAnsi="Arial" w:cs="Arial"/>
          <w:sz w:val="22"/>
          <w:szCs w:val="22"/>
        </w:rPr>
      </w:r>
      <w:r w:rsidRPr="003A4F68">
        <w:rPr>
          <w:rFonts w:ascii="Arial" w:hAnsi="Arial" w:cs="Arial"/>
          <w:sz w:val="22"/>
          <w:szCs w:val="22"/>
        </w:rPr>
        <w:fldChar w:fldCharType="end"/>
      </w:r>
      <w:r w:rsidRPr="003A4F68">
        <w:rPr>
          <w:rFonts w:ascii="Arial" w:hAnsi="Arial" w:cs="Arial"/>
          <w:sz w:val="22"/>
          <w:szCs w:val="22"/>
        </w:rPr>
      </w:r>
      <w:r w:rsidRPr="003A4F68">
        <w:rPr>
          <w:rFonts w:ascii="Arial" w:hAnsi="Arial" w:cs="Arial"/>
          <w:sz w:val="22"/>
          <w:szCs w:val="22"/>
        </w:rPr>
        <w:fldChar w:fldCharType="separate"/>
      </w:r>
      <w:r w:rsidRPr="003A4F68">
        <w:rPr>
          <w:rFonts w:ascii="Arial" w:hAnsi="Arial" w:cs="Arial"/>
          <w:sz w:val="22"/>
          <w:szCs w:val="22"/>
        </w:rPr>
        <w:t>(39)</w:t>
      </w:r>
      <w:r w:rsidRPr="003A4F68">
        <w:rPr>
          <w:rFonts w:ascii="Arial" w:hAnsi="Arial" w:cs="Arial"/>
          <w:sz w:val="22"/>
          <w:szCs w:val="22"/>
        </w:rPr>
        <w:fldChar w:fldCharType="end"/>
      </w:r>
      <w:r w:rsidRPr="003A4F68">
        <w:rPr>
          <w:rFonts w:ascii="Arial" w:hAnsi="Arial" w:cs="Arial"/>
          <w:sz w:val="22"/>
          <w:szCs w:val="22"/>
        </w:rPr>
        <w:t>. Out of the 57 TE participants, 31 had PTSD, 11 had MDD, 11 had persistent depressive disorder (PDD), three had GAD, six had SAD, and six had PD (See table 1).</w:t>
      </w:r>
    </w:p>
    <w:p w14:paraId="2DB64BE6" w14:textId="77777777" w:rsidR="009417D1" w:rsidRPr="003A4F68" w:rsidRDefault="009417D1" w:rsidP="009417D1">
      <w:pPr>
        <w:shd w:val="clear" w:color="auto" w:fill="FFFFFF"/>
        <w:outlineLvl w:val="2"/>
        <w:rPr>
          <w:rFonts w:ascii="Arial" w:hAnsi="Arial" w:cs="Arial"/>
          <w:sz w:val="22"/>
          <w:szCs w:val="22"/>
        </w:rPr>
      </w:pPr>
    </w:p>
    <w:p w14:paraId="458A8095" w14:textId="77777777" w:rsidR="009417D1" w:rsidRPr="003A4F68" w:rsidRDefault="009417D1" w:rsidP="009417D1">
      <w:pPr>
        <w:shd w:val="clear" w:color="auto" w:fill="FFFFFF"/>
        <w:outlineLvl w:val="2"/>
        <w:rPr>
          <w:rFonts w:ascii="Arial" w:hAnsi="Arial" w:cs="Arial"/>
          <w:sz w:val="22"/>
          <w:szCs w:val="22"/>
        </w:rPr>
      </w:pPr>
      <w:r w:rsidRPr="003A4F68">
        <w:rPr>
          <w:rFonts w:ascii="Arial" w:hAnsi="Arial" w:cs="Arial"/>
          <w:sz w:val="22"/>
          <w:szCs w:val="22"/>
        </w:rPr>
        <w:t xml:space="preserve">Trauma-exposed participants were excluded due to: 1) Prior or current diagnosis of schizophrenia, psychotic disorder, bipolar disorder, dementia; 2) HAM-D score&gt; 25 reflecting significant depression and/or depression related impairment that warranted pharmacotherapy or combined medication and psychotherapy; 3) Individuals at risk for suicide; 4) History of substance/alcohol dependence within the past six months, or abuse within past two months; 5) Any psychotropic medications including antipsychotic, antidepressant, mood stabilizer, or stimulant medications in the last four weeks prior to </w:t>
      </w:r>
      <w:r w:rsidRPr="003A4F68">
        <w:rPr>
          <w:rFonts w:ascii="Arial" w:hAnsi="Arial" w:cs="Arial"/>
          <w:sz w:val="22"/>
          <w:szCs w:val="22"/>
        </w:rPr>
        <w:lastRenderedPageBreak/>
        <w:t>the study (6 weeks for fluoxetine); 6) Pregnancy; 7) Medical illness that could interfere with assessment of response or biological measures (fMRI); 8) Paramagnetic metallic implants or devices contraindicating magnetic resonance imaging or any other non-removable paramagnetic metal in the body; and 9) Significant claustrophobia that would preclude ability to remain calm within the MRI scanner.</w:t>
      </w:r>
    </w:p>
    <w:p w14:paraId="6D73BFA6" w14:textId="77777777" w:rsidR="009417D1" w:rsidRPr="003A4F68" w:rsidRDefault="009417D1" w:rsidP="009417D1">
      <w:pPr>
        <w:shd w:val="clear" w:color="auto" w:fill="FFFFFF"/>
        <w:outlineLvl w:val="2"/>
        <w:rPr>
          <w:rFonts w:ascii="Arial" w:hAnsi="Arial" w:cs="Arial"/>
          <w:sz w:val="22"/>
          <w:szCs w:val="22"/>
        </w:rPr>
      </w:pPr>
    </w:p>
    <w:p w14:paraId="60A1DFF8" w14:textId="2F37C614" w:rsidR="009417D1" w:rsidRPr="003A4F68" w:rsidRDefault="009417D1" w:rsidP="009417D1">
      <w:pPr>
        <w:shd w:val="clear" w:color="auto" w:fill="FFFFFF"/>
        <w:outlineLvl w:val="2"/>
        <w:rPr>
          <w:rFonts w:ascii="Arial" w:hAnsi="Arial" w:cs="Arial"/>
          <w:sz w:val="22"/>
          <w:szCs w:val="22"/>
        </w:rPr>
      </w:pPr>
      <w:r w:rsidRPr="003A4F68">
        <w:rPr>
          <w:rFonts w:ascii="Arial" w:hAnsi="Arial" w:cs="Arial"/>
          <w:sz w:val="22"/>
          <w:szCs w:val="22"/>
        </w:rPr>
        <w:t xml:space="preserve">Healthy control participants were excluded due to: 1) Any current or past psychiatric diagnosis; 2) A history of trauma exposure that fulfills DSM-5 PTSD criteria A; 3) HAM-D score&gt; 7; 4) Lifetime history of substance/alcohol dependence or abuse history; and point 6) to 9) as above. </w:t>
      </w:r>
    </w:p>
    <w:p w14:paraId="7E718677" w14:textId="77777777" w:rsidR="00256256" w:rsidRPr="003A4F68" w:rsidRDefault="00256256" w:rsidP="00256256">
      <w:pPr>
        <w:shd w:val="clear" w:color="auto" w:fill="FFFFFF"/>
        <w:outlineLvl w:val="2"/>
        <w:rPr>
          <w:rFonts w:ascii="Arial" w:hAnsi="Arial" w:cs="Arial"/>
          <w:b/>
          <w:color w:val="020202"/>
          <w:sz w:val="22"/>
          <w:szCs w:val="22"/>
        </w:rPr>
      </w:pPr>
    </w:p>
    <w:p w14:paraId="56057D33" w14:textId="63E25F5E" w:rsidR="00256256" w:rsidRPr="003A4F68" w:rsidRDefault="00256256" w:rsidP="00256256">
      <w:pPr>
        <w:shd w:val="clear" w:color="auto" w:fill="FFFFFF"/>
        <w:outlineLvl w:val="2"/>
        <w:rPr>
          <w:rFonts w:ascii="Arial" w:hAnsi="Arial" w:cs="Arial"/>
          <w:b/>
          <w:color w:val="020202"/>
          <w:sz w:val="22"/>
          <w:szCs w:val="22"/>
        </w:rPr>
      </w:pPr>
      <w:r w:rsidRPr="003A4F68">
        <w:rPr>
          <w:rFonts w:ascii="Arial" w:hAnsi="Arial" w:cs="Arial"/>
          <w:b/>
          <w:color w:val="020202"/>
          <w:sz w:val="22"/>
          <w:szCs w:val="22"/>
        </w:rPr>
        <w:t>fMRI Task</w:t>
      </w:r>
    </w:p>
    <w:p w14:paraId="5152E30E" w14:textId="77777777" w:rsidR="00C92A7D" w:rsidRPr="003A4F68" w:rsidRDefault="00256256" w:rsidP="00C92A7D">
      <w:pPr>
        <w:shd w:val="clear" w:color="auto" w:fill="FFFFFF"/>
        <w:outlineLvl w:val="2"/>
        <w:rPr>
          <w:rFonts w:ascii="Arial" w:hAnsi="Arial" w:cs="Arial"/>
          <w:sz w:val="22"/>
          <w:szCs w:val="22"/>
        </w:rPr>
      </w:pPr>
      <w:r w:rsidRPr="003A4F68">
        <w:rPr>
          <w:rFonts w:ascii="Arial" w:hAnsi="Arial" w:cs="Arial"/>
          <w:sz w:val="22"/>
          <w:szCs w:val="22"/>
        </w:rPr>
        <w:t>Five checkerboard-textured counterphase-flickering (10 Hz) rings of parametrically increasing size and one ‘V-shaped’ stimulus of the same counterphase-flickering type served as conditioned stimulus-type (CS+ and CS-) and generalization stimulus-type (GSs). The dimensions and size increments for employed rings are described in Figure 8. The current paradigm included one CS+ and the following two CS-: (i) either the largest or smallest ring referred to as the oCS- and (ii) a ‘v–shaped’ stimulus referred to as the vCS-. While all participants were conditioned with the same vCS-, the oCS- was the largest ring for 50% of participants and the smallest ring for the remaining half. Participants for whom the oCS- was the largest ring were conditioned with the smallest ring as CS+, and vice versa. The three intermediately sized rings served as GSs (i.e., GS1, GS2 and GS3) and formed a continuum-of-size between the CS+ and oCS- with GS3, GS2 and GS1 demarcating the GS with most to least similarity to the CS+, regardless of CS+ size. The inclusion of the vCS- allows for an assessment of brain responses to the CS+ (vs vCS-) that are independent of generalization effects to all ringed stimulus-type. Such an assessment is important because brain activations to the CS+ was used as functional regions of interest in which to test gradients of threat generalization and should thus be orthogonal to the generalization process. The CS+ vs vCS- contrast provides such an index of conditioning that is independent of generalization effects.</w:t>
      </w:r>
    </w:p>
    <w:p w14:paraId="1293FF7C" w14:textId="77777777" w:rsidR="00C92A7D" w:rsidRPr="003A4F68" w:rsidRDefault="00C92A7D" w:rsidP="00C92A7D">
      <w:pPr>
        <w:shd w:val="clear" w:color="auto" w:fill="FFFFFF"/>
        <w:outlineLvl w:val="2"/>
        <w:rPr>
          <w:rFonts w:ascii="Arial" w:hAnsi="Arial" w:cs="Arial"/>
          <w:sz w:val="22"/>
          <w:szCs w:val="22"/>
        </w:rPr>
      </w:pPr>
    </w:p>
    <w:p w14:paraId="1EAE10F0" w14:textId="77777777" w:rsidR="00C92A7D" w:rsidRPr="003A4F68" w:rsidRDefault="00C92A7D" w:rsidP="00C92A7D">
      <w:pPr>
        <w:shd w:val="clear" w:color="auto" w:fill="FFFFFF"/>
        <w:outlineLvl w:val="2"/>
        <w:rPr>
          <w:rFonts w:ascii="Arial" w:hAnsi="Arial" w:cs="Arial"/>
          <w:sz w:val="22"/>
          <w:szCs w:val="22"/>
        </w:rPr>
      </w:pPr>
      <w:r w:rsidRPr="003A4F68">
        <w:rPr>
          <w:rFonts w:ascii="Arial" w:hAnsi="Arial" w:cs="Arial"/>
          <w:b/>
          <w:sz w:val="22"/>
          <w:szCs w:val="22"/>
        </w:rPr>
        <w:t>Procedure</w:t>
      </w:r>
    </w:p>
    <w:p w14:paraId="409BCA87" w14:textId="77777777" w:rsidR="00C92A7D" w:rsidRPr="003A4F68" w:rsidRDefault="00C92A7D" w:rsidP="00C92A7D">
      <w:pPr>
        <w:shd w:val="clear" w:color="auto" w:fill="FFFFFF"/>
        <w:outlineLvl w:val="2"/>
        <w:rPr>
          <w:rFonts w:ascii="Arial" w:hAnsi="Arial" w:cs="Arial"/>
          <w:sz w:val="22"/>
          <w:szCs w:val="22"/>
        </w:rPr>
      </w:pPr>
      <w:r w:rsidRPr="003A4F68">
        <w:rPr>
          <w:rFonts w:ascii="Arial" w:hAnsi="Arial" w:cs="Arial"/>
          <w:sz w:val="22"/>
          <w:szCs w:val="22"/>
        </w:rPr>
        <w:t>Participants were not instructed of the CS/US contingency but were told they might learn to predict the shock if they attend to the presented stimulus-type. Shock electrodes were then attached, and the shock workup procedure was completed. Next, participants practiced using the button box to respond to the red crosshairs, which appeared both at the center of CSs and GSs and during the ITI periods. Participants were then placed in the scanner. Structural scans were acquired followed by pre-acquisition, acquisition, and generalization test. Participants rated their anxiety to CS+, oCS- and vCS- after pre-acquisition, acquisition, and generalization between scans.</w:t>
      </w:r>
    </w:p>
    <w:p w14:paraId="5547FAA2" w14:textId="77777777" w:rsidR="00C92A7D" w:rsidRPr="003A4F68" w:rsidRDefault="00C92A7D" w:rsidP="00C92A7D">
      <w:pPr>
        <w:shd w:val="clear" w:color="auto" w:fill="FFFFFF"/>
        <w:outlineLvl w:val="2"/>
        <w:rPr>
          <w:rFonts w:ascii="Arial" w:hAnsi="Arial" w:cs="Arial"/>
          <w:sz w:val="22"/>
          <w:szCs w:val="22"/>
        </w:rPr>
      </w:pPr>
    </w:p>
    <w:p w14:paraId="4476E1D0" w14:textId="1521CF72" w:rsidR="009417D1" w:rsidRPr="003A4F68" w:rsidRDefault="00256256" w:rsidP="003A4F68">
      <w:pPr>
        <w:shd w:val="clear" w:color="auto" w:fill="FFFFFF"/>
        <w:outlineLvl w:val="2"/>
        <w:rPr>
          <w:rFonts w:ascii="Arial" w:hAnsi="Arial" w:cs="Arial"/>
          <w:sz w:val="22"/>
          <w:szCs w:val="22"/>
        </w:rPr>
      </w:pPr>
      <w:r w:rsidRPr="003A4F68">
        <w:rPr>
          <w:rFonts w:ascii="Arial" w:hAnsi="Arial" w:cs="Arial"/>
          <w:sz w:val="22"/>
          <w:szCs w:val="22"/>
        </w:rPr>
        <w:t>All CSs and GSs were presented for 4 s on a rear-projection viewing screen mounted at the foot of the scanner with a viewing distance of 6.71 feet (204.47 cm). Inter-trial-intervals for CSs and GSs were either 2.4 or 4.8 s, during which participants focused their gaze on crosshairs in the center of the screen. The unconditioned stimulus (US) was a 100 ms electric shock (3–5mA) delivered to the participant’s right ankle. Prior to the start of the experiment, a sample shock procedure was performed during which participants received between one and three sample shocks and a level of shock rated by participants as being ‘highly uncomfortable but not painful’ was established. Shock intensity varied by participant and had an average intensity of 4.6mA (</w:t>
      </w:r>
      <w:proofErr w:type="spellStart"/>
      <w:r w:rsidRPr="003A4F68">
        <w:rPr>
          <w:rFonts w:ascii="Arial" w:hAnsi="Arial" w:cs="Arial"/>
          <w:sz w:val="22"/>
          <w:szCs w:val="22"/>
        </w:rPr>
        <w:t>s.d.</w:t>
      </w:r>
      <w:proofErr w:type="spellEnd"/>
      <w:r w:rsidRPr="003A4F68">
        <w:rPr>
          <w:rFonts w:ascii="Arial" w:hAnsi="Arial" w:cs="Arial"/>
          <w:sz w:val="22"/>
          <w:szCs w:val="22"/>
        </w:rPr>
        <w:t>=0.80).</w:t>
      </w:r>
    </w:p>
    <w:p w14:paraId="74FDED8F" w14:textId="420E94FF" w:rsidR="009417D1" w:rsidRPr="003A4F68" w:rsidRDefault="009417D1" w:rsidP="009417D1">
      <w:pPr>
        <w:rPr>
          <w:rFonts w:ascii="Arial" w:hAnsi="Arial" w:cs="Arial"/>
          <w:sz w:val="22"/>
          <w:szCs w:val="22"/>
        </w:rPr>
      </w:pPr>
      <w:r w:rsidRPr="003A4F68">
        <w:rPr>
          <w:rFonts w:ascii="Arial" w:hAnsi="Arial" w:cs="Arial"/>
          <w:b/>
          <w:bCs/>
          <w:sz w:val="22"/>
          <w:szCs w:val="22"/>
        </w:rPr>
        <w:lastRenderedPageBreak/>
        <w:t>Image Preprocessing</w:t>
      </w:r>
    </w:p>
    <w:p w14:paraId="322CC198" w14:textId="77777777" w:rsidR="009417D1" w:rsidRPr="003A4F68" w:rsidRDefault="009417D1" w:rsidP="009417D1">
      <w:pPr>
        <w:rPr>
          <w:rFonts w:ascii="Arial" w:hAnsi="Arial" w:cs="Arial"/>
          <w:sz w:val="22"/>
          <w:szCs w:val="22"/>
        </w:rPr>
      </w:pPr>
      <w:r w:rsidRPr="003A4F68">
        <w:rPr>
          <w:rFonts w:ascii="Arial" w:hAnsi="Arial" w:cs="Arial"/>
          <w:sz w:val="22"/>
          <w:szCs w:val="22"/>
        </w:rPr>
        <w:t>All fMRI images were preprocessed using MATLAB version R2018a (The MathWorks, Inc., Natick, Massachusetts) and statistical parametric mapping software (SPM12; Welcome Trust Centre for Neuroimaging, UCL, London, United Kingdom). (1) Functional images were spatially realigned to the first image in the </w:t>
      </w:r>
      <w:hyperlink r:id="rId8" w:tooltip="Learn more about Time Series Analysis from ScienceDirect's AI-generated Topic Pages" w:history="1">
        <w:r w:rsidRPr="003A4F68">
          <w:rPr>
            <w:rFonts w:ascii="Arial" w:hAnsi="Arial" w:cs="Arial"/>
            <w:sz w:val="22"/>
            <w:szCs w:val="22"/>
          </w:rPr>
          <w:t>time series</w:t>
        </w:r>
      </w:hyperlink>
      <w:r w:rsidRPr="003A4F68">
        <w:rPr>
          <w:rFonts w:ascii="Arial" w:hAnsi="Arial" w:cs="Arial"/>
          <w:sz w:val="22"/>
          <w:szCs w:val="22"/>
        </w:rPr>
        <w:t> using a six-parameter rigid body transformation; (2) then slice-time correction was performed; (3) outlier detection was carried out using artifact removal tools (ART). The principal component-based noise-correction method, “</w:t>
      </w:r>
      <w:proofErr w:type="spellStart"/>
      <w:r w:rsidRPr="003A4F68">
        <w:rPr>
          <w:rFonts w:ascii="Arial" w:hAnsi="Arial" w:cs="Arial"/>
          <w:sz w:val="22"/>
          <w:szCs w:val="22"/>
        </w:rPr>
        <w:t>CompCor</w:t>
      </w:r>
      <w:proofErr w:type="spellEnd"/>
      <w:r w:rsidRPr="003A4F68">
        <w:rPr>
          <w:rFonts w:ascii="Arial" w:hAnsi="Arial" w:cs="Arial"/>
          <w:sz w:val="22"/>
          <w:szCs w:val="22"/>
        </w:rPr>
        <w:t>,” implemented in this toolbox, was used for additional control of physiological noise and head motion effects. Outlier volumes in each participant were identified as having large spiking artifacts (i.e., volumes &gt;3 standard deviations from the mean image intensity), or large motion (i.e., 0.5 mm for scan-to-scan head-motion composite changes in the x, y, or z direction); (4) each functional image was then spatially normalized to the standard T1 </w:t>
      </w:r>
      <w:hyperlink r:id="rId9" w:tooltip="Learn more about DNA Template from ScienceDirect's AI-generated Topic Pages" w:history="1">
        <w:r w:rsidRPr="003A4F68">
          <w:rPr>
            <w:rFonts w:ascii="Arial" w:hAnsi="Arial" w:cs="Arial"/>
            <w:sz w:val="22"/>
            <w:szCs w:val="22"/>
          </w:rPr>
          <w:t>template</w:t>
        </w:r>
      </w:hyperlink>
      <w:r w:rsidRPr="003A4F68">
        <w:rPr>
          <w:rFonts w:ascii="Arial" w:hAnsi="Arial" w:cs="Arial"/>
          <w:sz w:val="22"/>
          <w:szCs w:val="22"/>
        </w:rPr>
        <w:t xml:space="preserve"> included in SPM12; functional images were then resliced to 2 × 2 × 2 mm voxels, according to the resulting spatial realignment and normalization parameters; (5) anatomical images were segmented into grey matter, white matter, and cerebrospinal fluid (CSF) regions; (6) functional scans were smoothed with an 8mm full-width-at-half-maximum (FWHM) Gaussian kernel; (7) covariates corresponding to head motion (6 realignment parameters and their derivatives), outliers (one covariate per outlier consisting of 0s everywhere and a 1 for the outlier time point), and the BOLD time series from the participant-specific white matter and CSF masks were used in the GLM and connectivity analysis as predictors of no interest, and were removed from the BOLD functional time series using linear regression. </w:t>
      </w:r>
    </w:p>
    <w:p w14:paraId="2B2329B0" w14:textId="77777777" w:rsidR="009417D1" w:rsidRPr="003A4F68" w:rsidRDefault="009417D1" w:rsidP="009417D1">
      <w:pPr>
        <w:rPr>
          <w:rFonts w:ascii="Arial" w:hAnsi="Arial" w:cs="Arial"/>
          <w:sz w:val="22"/>
          <w:szCs w:val="22"/>
        </w:rPr>
      </w:pPr>
    </w:p>
    <w:p w14:paraId="298466FC" w14:textId="77777777" w:rsidR="009417D1" w:rsidRPr="003A4F68" w:rsidRDefault="009417D1" w:rsidP="009417D1">
      <w:pPr>
        <w:rPr>
          <w:rFonts w:ascii="Arial" w:hAnsi="Arial" w:cs="Arial"/>
          <w:sz w:val="22"/>
          <w:szCs w:val="22"/>
        </w:rPr>
      </w:pPr>
      <w:r w:rsidRPr="003A4F68">
        <w:rPr>
          <w:rFonts w:ascii="Arial" w:hAnsi="Arial" w:cs="Arial"/>
          <w:sz w:val="22"/>
          <w:szCs w:val="22"/>
        </w:rPr>
        <w:t>From the original 114 sample, four participants were excluded due to being late for scan and not able to finish the SG task (two participants), or task failure of delivering shock (two participants). Twenty-two additional participants (15 TE and 7 HC) were excluded with greater risk rating to vCS-, compared to CS+ during acquisition phase in the fMRI task, or greater rating to vCS-, compared to red cross in post questionnaires. No participant was excluded from further analysis because of movement exceeding ±1 mm. Consequently, the final neural imaging analysis included 88 participants: 62 TE and 26 HC. Sum of root mean square (RMS) of 6 relative head motion parameters (movement from this time point to the next one) was calculated for each participant in all groups (TEPG, TEHC, and HC). No significant difference in head motion was found between each pair of groups (p&gt;0.5). Linear regression was performed to study the linear relationship between the dependent variable (sum of head motion) and independent variable (groups). The regression analysis results showed that the total head motion could not predict groups (p&gt;0.05).</w:t>
      </w:r>
    </w:p>
    <w:p w14:paraId="6F292800" w14:textId="77777777" w:rsidR="009417D1" w:rsidRPr="003A4F68" w:rsidRDefault="009417D1" w:rsidP="009417D1">
      <w:pPr>
        <w:rPr>
          <w:rFonts w:ascii="Arial" w:hAnsi="Arial" w:cs="Arial"/>
          <w:sz w:val="22"/>
          <w:szCs w:val="22"/>
        </w:rPr>
      </w:pPr>
    </w:p>
    <w:p w14:paraId="283DE232" w14:textId="77777777" w:rsidR="009417D1" w:rsidRPr="003A4F68" w:rsidRDefault="009417D1" w:rsidP="009417D1">
      <w:pPr>
        <w:rPr>
          <w:rFonts w:ascii="Arial" w:hAnsi="Arial" w:cs="Arial"/>
          <w:sz w:val="22"/>
          <w:szCs w:val="22"/>
        </w:rPr>
      </w:pPr>
      <w:r w:rsidRPr="003A4F68">
        <w:rPr>
          <w:rFonts w:ascii="Arial" w:hAnsi="Arial" w:cs="Arial"/>
          <w:b/>
          <w:sz w:val="22"/>
          <w:szCs w:val="22"/>
        </w:rPr>
        <w:t>fMRI Network Analysis</w:t>
      </w:r>
    </w:p>
    <w:p w14:paraId="57CCDD44" w14:textId="77777777" w:rsidR="009417D1" w:rsidRPr="003A4F68" w:rsidRDefault="009417D1" w:rsidP="009417D1">
      <w:pPr>
        <w:rPr>
          <w:rFonts w:ascii="Arial" w:hAnsi="Arial" w:cs="Arial"/>
          <w:sz w:val="22"/>
          <w:szCs w:val="22"/>
        </w:rPr>
      </w:pPr>
    </w:p>
    <w:p w14:paraId="0F8A138D" w14:textId="77777777" w:rsidR="009417D1" w:rsidRPr="003A4F68" w:rsidRDefault="009417D1" w:rsidP="009417D1">
      <w:pPr>
        <w:rPr>
          <w:rFonts w:ascii="Arial" w:hAnsi="Arial" w:cs="Arial"/>
          <w:sz w:val="22"/>
          <w:szCs w:val="22"/>
        </w:rPr>
      </w:pPr>
      <w:r w:rsidRPr="003A4F68">
        <w:rPr>
          <w:rFonts w:ascii="Arial" w:hAnsi="Arial" w:cs="Arial"/>
          <w:sz w:val="22"/>
          <w:szCs w:val="22"/>
        </w:rPr>
        <w:t xml:space="preserve">Two data reduction steps were performed using principal component analysis (PCA). First, participant-specific PCA was performed to reduce the dimensionality of each participant’s functional data </w:t>
      </w:r>
      <w:r w:rsidRPr="003A4F68">
        <w:rPr>
          <w:rFonts w:ascii="Arial" w:hAnsi="Arial" w:cs="Arial"/>
          <w:sz w:val="22"/>
          <w:szCs w:val="22"/>
        </w:rPr>
        <w:fldChar w:fldCharType="begin"/>
      </w:r>
      <w:r w:rsidRPr="003A4F68">
        <w:rPr>
          <w:rFonts w:ascii="Arial" w:hAnsi="Arial" w:cs="Arial"/>
          <w:sz w:val="22"/>
          <w:szCs w:val="22"/>
        </w:rPr>
        <w:instrText xml:space="preserve"> ADDIN EN.CITE &lt;EndNote&gt;&lt;Cite&gt;&lt;Author&gt;Calhoun&lt;/Author&gt;&lt;Year&gt;2001&lt;/Year&gt;&lt;RecNum&gt;148&lt;/RecNum&gt;&lt;DisplayText&gt;(31)&lt;/DisplayText&gt;&lt;record&gt;&lt;rec-number&gt;148&lt;/rec-number&gt;&lt;foreign-keys&gt;&lt;key app="EN" db-id="r2f2waevaerfenedxr3vx5eovzwpr0sfvwxa" timestamp="1610151069"&gt;148&lt;/key&gt;&lt;/foreign-keys&gt;&lt;ref-type name="Journal Article"&gt;17&lt;/ref-type&gt;&lt;contributors&gt;&lt;authors&gt;&lt;author&gt;Calhoun, V. D.&lt;/author&gt;&lt;author&gt;Adali, T.&lt;/author&gt;&lt;author&gt;Pearlson, G. D.&lt;/author&gt;&lt;author&gt;Pekar, J. J.&lt;/author&gt;&lt;/authors&gt;&lt;/contributors&gt;&lt;auth-address&gt;Division of Psychiatric Neuro-Imaging, Johns Hopkins University, Baltimore, Maryland, USA. vcalhoun@jhu.edu&lt;/auth-address&gt;&lt;titles&gt;&lt;title&gt;A method for making group inferences from functional MRI data using independent component analysis&lt;/title&gt;&lt;secondary-title&gt;Hum Brain Mapp&lt;/secondary-title&gt;&lt;/titles&gt;&lt;periodical&gt;&lt;full-title&gt;Hum Brain Mapp&lt;/full-title&gt;&lt;/periodical&gt;&lt;pages&gt;140-51&lt;/pages&gt;&lt;volume&gt;14&lt;/volume&gt;&lt;number&gt;3&lt;/number&gt;&lt;edition&gt;2001/09/18&lt;/edition&gt;&lt;keywords&gt;&lt;keyword&gt;Algorithms&lt;/keyword&gt;&lt;keyword&gt;Brain Mapping/*methods&lt;/keyword&gt;&lt;keyword&gt;Humans&lt;/keyword&gt;&lt;keyword&gt;Image Processing, Computer-Assisted/methods&lt;/keyword&gt;&lt;keyword&gt;Magnetic Resonance Imaging/*methods&lt;/keyword&gt;&lt;keyword&gt;Models, Neurological&lt;/keyword&gt;&lt;keyword&gt;*Signal Processing, Computer-Assisted&lt;/keyword&gt;&lt;keyword&gt;Visual Cortex/*anatomy &amp;amp; histology/*physiology&lt;/keyword&gt;&lt;/keywords&gt;&lt;dates&gt;&lt;year&gt;2001&lt;/year&gt;&lt;pub-dates&gt;&lt;date&gt;Nov&lt;/date&gt;&lt;/pub-dates&gt;&lt;/dates&gt;&lt;isbn&gt;1065-9471 (Print)&amp;#xD;1065-9471 (Linking)&lt;/isbn&gt;&lt;accession-num&gt;11559959&lt;/accession-num&gt;&lt;urls&gt;&lt;related-urls&gt;&lt;url&gt;https://www.ncbi.nlm.nih.gov/pubmed/11559959&lt;/url&gt;&lt;/related-urls&gt;&lt;/urls&gt;&lt;custom2&gt;PMC6871952&lt;/custom2&gt;&lt;electronic-resource-num&gt;10.1002/hbm.1048&lt;/electronic-resource-num&gt;&lt;/record&gt;&lt;/Cite&gt;&lt;/EndNote&gt;</w:instrText>
      </w:r>
      <w:r w:rsidRPr="003A4F68">
        <w:rPr>
          <w:rFonts w:ascii="Arial" w:hAnsi="Arial" w:cs="Arial"/>
          <w:sz w:val="22"/>
          <w:szCs w:val="22"/>
        </w:rPr>
        <w:fldChar w:fldCharType="separate"/>
      </w:r>
      <w:r w:rsidRPr="003A4F68">
        <w:rPr>
          <w:rFonts w:ascii="Arial" w:hAnsi="Arial" w:cs="Arial"/>
          <w:noProof/>
          <w:sz w:val="22"/>
          <w:szCs w:val="22"/>
        </w:rPr>
        <w:t>(31)</w:t>
      </w:r>
      <w:r w:rsidRPr="003A4F68">
        <w:rPr>
          <w:rFonts w:ascii="Arial" w:hAnsi="Arial" w:cs="Arial"/>
          <w:sz w:val="22"/>
          <w:szCs w:val="22"/>
        </w:rPr>
        <w:fldChar w:fldCharType="end"/>
      </w:r>
      <w:r w:rsidRPr="003A4F68">
        <w:rPr>
          <w:rFonts w:ascii="Arial" w:hAnsi="Arial" w:cs="Arial"/>
          <w:sz w:val="22"/>
          <w:szCs w:val="22"/>
        </w:rPr>
        <w:t xml:space="preserve">. Second, participant data were concatenated into one group and PCA was performed again prior to performing ICA. Independent components, or networks, were calculated using the Infomax algorithm </w:t>
      </w:r>
      <w:r w:rsidRPr="003A4F68">
        <w:rPr>
          <w:rFonts w:ascii="Arial" w:hAnsi="Arial" w:cs="Arial"/>
          <w:sz w:val="22"/>
          <w:szCs w:val="22"/>
        </w:rPr>
        <w:fldChar w:fldCharType="begin"/>
      </w:r>
      <w:r w:rsidRPr="003A4F68">
        <w:rPr>
          <w:rFonts w:ascii="Arial" w:hAnsi="Arial" w:cs="Arial"/>
          <w:sz w:val="22"/>
          <w:szCs w:val="22"/>
        </w:rPr>
        <w:instrText xml:space="preserve"> ADDIN EN.CITE &lt;EndNote&gt;&lt;Cite&gt;&lt;Author&gt;Bell&lt;/Author&gt;&lt;Year&gt;1995&lt;/Year&gt;&lt;RecNum&gt;46&lt;/RecNum&gt;&lt;DisplayText&gt;(32)&lt;/DisplayText&gt;&lt;record&gt;&lt;rec-number&gt;46&lt;/rec-number&gt;&lt;foreign-keys&gt;&lt;key app="EN" db-id="r2f2waevaerfenedxr3vx5eovzwpr0sfvwxa" timestamp="1606317429"&gt;46&lt;/key&gt;&lt;/foreign-keys&gt;&lt;ref-type name="Journal Article"&gt;17&lt;/ref-type&gt;&lt;contributors&gt;&lt;authors&gt;&lt;author&gt;Bell, A. J.&lt;/author&gt;&lt;author&gt;Sejnowski, T. J.&lt;/author&gt;&lt;/authors&gt;&lt;/contributors&gt;&lt;auth-address&gt;Howard Hughes Medical Institute, Computational Neurobiology Laboratory, Salk Institute, La Jolla, CA 92037, USA.&lt;/auth-address&gt;&lt;titles&gt;&lt;title&gt;An information-maximization approach to blind separation and blind deconvolution&lt;/title&gt;&lt;secondary-title&gt;Neural Comput&lt;/secondary-title&gt;&lt;/titles&gt;&lt;periodical&gt;&lt;full-title&gt;Neural Comput&lt;/full-title&gt;&lt;/periodical&gt;&lt;pages&gt;1129-59&lt;/pages&gt;&lt;volume&gt;7&lt;/volume&gt;&lt;number&gt;6&lt;/number&gt;&lt;edition&gt;1995/11/01&lt;/edition&gt;&lt;keywords&gt;&lt;keyword&gt;*Algorithms&lt;/keyword&gt;&lt;keyword&gt;Humans&lt;/keyword&gt;&lt;keyword&gt;Learning&lt;/keyword&gt;&lt;keyword&gt;Models, Statistical&lt;/keyword&gt;&lt;keyword&gt;*Neural Networks, Computer&lt;/keyword&gt;&lt;keyword&gt;Neurons&lt;/keyword&gt;&lt;keyword&gt;Probability&lt;/keyword&gt;&lt;keyword&gt;Problem Solving&lt;/keyword&gt;&lt;keyword&gt;*Speech&lt;/keyword&gt;&lt;/keywords&gt;&lt;dates&gt;&lt;year&gt;1995&lt;/year&gt;&lt;pub-dates&gt;&lt;date&gt;Nov&lt;/date&gt;&lt;/pub-dates&gt;&lt;/dates&gt;&lt;isbn&gt;0899-7667 (Print)&amp;#xD;0899-7667 (Linking)&lt;/isbn&gt;&lt;accession-num&gt;7584893&lt;/accession-num&gt;&lt;urls&gt;&lt;related-urls&gt;&lt;url&gt;https://www.ncbi.nlm.nih.gov/pubmed/7584893&lt;/url&gt;&lt;/related-urls&gt;&lt;/urls&gt;&lt;electronic-resource-num&gt;10.1162/neco.1995.7.6.1129&lt;/electronic-resource-num&gt;&lt;/record&gt;&lt;/Cite&gt;&lt;/EndNote&gt;</w:instrText>
      </w:r>
      <w:r w:rsidRPr="003A4F68">
        <w:rPr>
          <w:rFonts w:ascii="Arial" w:hAnsi="Arial" w:cs="Arial"/>
          <w:sz w:val="22"/>
          <w:szCs w:val="22"/>
        </w:rPr>
        <w:fldChar w:fldCharType="separate"/>
      </w:r>
      <w:r w:rsidRPr="003A4F68">
        <w:rPr>
          <w:rFonts w:ascii="Arial" w:hAnsi="Arial" w:cs="Arial"/>
          <w:noProof/>
          <w:sz w:val="22"/>
          <w:szCs w:val="22"/>
        </w:rPr>
        <w:t>(32)</w:t>
      </w:r>
      <w:r w:rsidRPr="003A4F68">
        <w:rPr>
          <w:rFonts w:ascii="Arial" w:hAnsi="Arial" w:cs="Arial"/>
          <w:sz w:val="22"/>
          <w:szCs w:val="22"/>
        </w:rPr>
        <w:fldChar w:fldCharType="end"/>
      </w:r>
      <w:r w:rsidRPr="003A4F68">
        <w:rPr>
          <w:rFonts w:ascii="Arial" w:hAnsi="Arial" w:cs="Arial"/>
          <w:sz w:val="22"/>
          <w:szCs w:val="22"/>
        </w:rPr>
        <w:t xml:space="preserve">. Number of independent components were estimated from the fMRI data by using the minimum description length (MDL) criteria, yielding 30 components. The infomax algorithm was repeated fifty times with randomly initialized decomposition matrices and the same convergence threshold using the ICASSO approach </w:t>
      </w:r>
      <w:r w:rsidRPr="003A4F68">
        <w:rPr>
          <w:rFonts w:ascii="Arial" w:hAnsi="Arial" w:cs="Arial"/>
          <w:color w:val="000000"/>
          <w:sz w:val="22"/>
          <w:szCs w:val="22"/>
        </w:rPr>
        <w:t xml:space="preserve">to assess the reliability of the generated components </w:t>
      </w:r>
      <w:r w:rsidRPr="003A4F68">
        <w:rPr>
          <w:rFonts w:ascii="Arial" w:hAnsi="Arial" w:cs="Arial"/>
          <w:color w:val="000000"/>
          <w:sz w:val="22"/>
          <w:szCs w:val="22"/>
        </w:rPr>
        <w:fldChar w:fldCharType="begin">
          <w:fldData xml:space="preserve">PEVuZE5vdGU+PENpdGU+PEF1dGhvcj5IaW1iZXJnPC9BdXRob3I+PFllYXI+MjAwNDwvWWVhcj48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</w:fldData>
        </w:fldChar>
      </w:r>
      <w:r w:rsidRPr="003A4F68">
        <w:rPr>
          <w:rFonts w:ascii="Arial" w:hAnsi="Arial" w:cs="Arial"/>
          <w:color w:val="000000"/>
          <w:sz w:val="22"/>
          <w:szCs w:val="22"/>
        </w:rPr>
        <w:instrText xml:space="preserve"> ADDIN EN.CITE </w:instrText>
      </w:r>
      <w:r w:rsidRPr="003A4F68">
        <w:rPr>
          <w:rFonts w:ascii="Arial" w:hAnsi="Arial" w:cs="Arial"/>
          <w:color w:val="000000"/>
          <w:sz w:val="22"/>
          <w:szCs w:val="22"/>
        </w:rPr>
        <w:fldChar w:fldCharType="begin">
          <w:fldData xml:space="preserve">PEVuZE5vdGU+PENpdGU+PEF1dGhvcj5IaW1iZXJnPC9BdXRob3I+PFllYXI+MjAwNDwvWWVhcj48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</w:fldData>
        </w:fldChar>
      </w:r>
      <w:r w:rsidRPr="003A4F68">
        <w:rPr>
          <w:rFonts w:ascii="Arial" w:hAnsi="Arial" w:cs="Arial"/>
          <w:color w:val="000000"/>
          <w:sz w:val="22"/>
          <w:szCs w:val="22"/>
        </w:rPr>
        <w:instrText xml:space="preserve"> ADDIN EN.CITE.DATA </w:instrText>
      </w:r>
      <w:r w:rsidRPr="003A4F68">
        <w:rPr>
          <w:rFonts w:ascii="Arial" w:hAnsi="Arial" w:cs="Arial"/>
          <w:color w:val="000000"/>
          <w:sz w:val="22"/>
          <w:szCs w:val="22"/>
        </w:rPr>
      </w:r>
      <w:r w:rsidRPr="003A4F68">
        <w:rPr>
          <w:rFonts w:ascii="Arial" w:hAnsi="Arial" w:cs="Arial"/>
          <w:color w:val="000000"/>
          <w:sz w:val="22"/>
          <w:szCs w:val="22"/>
        </w:rPr>
        <w:fldChar w:fldCharType="end"/>
      </w:r>
      <w:r w:rsidRPr="003A4F68">
        <w:rPr>
          <w:rFonts w:ascii="Arial" w:hAnsi="Arial" w:cs="Arial"/>
          <w:color w:val="000000"/>
          <w:sz w:val="22"/>
          <w:szCs w:val="22"/>
        </w:rPr>
      </w:r>
      <w:r w:rsidRPr="003A4F68">
        <w:rPr>
          <w:rFonts w:ascii="Arial" w:hAnsi="Arial" w:cs="Arial"/>
          <w:color w:val="000000"/>
          <w:sz w:val="22"/>
          <w:szCs w:val="22"/>
        </w:rPr>
        <w:fldChar w:fldCharType="separate"/>
      </w:r>
      <w:r w:rsidRPr="003A4F68">
        <w:rPr>
          <w:rFonts w:ascii="Arial" w:hAnsi="Arial" w:cs="Arial"/>
          <w:noProof/>
          <w:color w:val="000000"/>
          <w:sz w:val="22"/>
          <w:szCs w:val="22"/>
        </w:rPr>
        <w:t>(33)</w:t>
      </w:r>
      <w:r w:rsidRPr="003A4F68">
        <w:rPr>
          <w:rFonts w:ascii="Arial" w:hAnsi="Arial" w:cs="Arial"/>
          <w:color w:val="000000"/>
          <w:sz w:val="22"/>
          <w:szCs w:val="22"/>
        </w:rPr>
        <w:fldChar w:fldCharType="end"/>
      </w:r>
      <w:r w:rsidRPr="003A4F68">
        <w:rPr>
          <w:rFonts w:ascii="Arial" w:hAnsi="Arial" w:cs="Arial"/>
          <w:color w:val="000000"/>
          <w:sz w:val="22"/>
          <w:szCs w:val="22"/>
        </w:rPr>
        <w:t xml:space="preserve">. For each IC the ”centroid” (i.e., the most stable result) was determined following the </w:t>
      </w:r>
      <w:r w:rsidRPr="003A4F68">
        <w:rPr>
          <w:rFonts w:ascii="Arial" w:hAnsi="Arial" w:cs="Arial"/>
          <w:color w:val="000000"/>
          <w:sz w:val="22"/>
          <w:szCs w:val="22"/>
        </w:rPr>
        <w:lastRenderedPageBreak/>
        <w:t>agglomerative hierarchical clustering with average-linkage criterion, and its consistency was calculated with a cluster quality index (</w:t>
      </w:r>
      <w:proofErr w:type="spellStart"/>
      <w:r w:rsidRPr="003A4F68">
        <w:rPr>
          <w:rStyle w:val="Emphasis"/>
          <w:rFonts w:ascii="Arial" w:hAnsi="Arial" w:cs="Arial"/>
          <w:color w:val="000000"/>
          <w:sz w:val="22"/>
          <w:szCs w:val="22"/>
        </w:rPr>
        <w:t>Iq</w:t>
      </w:r>
      <w:proofErr w:type="spellEnd"/>
      <w:r w:rsidRPr="003A4F68">
        <w:rPr>
          <w:rFonts w:ascii="Arial" w:hAnsi="Arial" w:cs="Arial"/>
          <w:color w:val="000000"/>
          <w:sz w:val="22"/>
          <w:szCs w:val="22"/>
        </w:rPr>
        <w:t xml:space="preserve">) ranging from 0 to 1 </w:t>
      </w:r>
      <w:r w:rsidRPr="003A4F68">
        <w:rPr>
          <w:rFonts w:ascii="Arial" w:hAnsi="Arial" w:cs="Arial"/>
          <w:color w:val="000000"/>
          <w:sz w:val="22"/>
          <w:szCs w:val="22"/>
        </w:rPr>
        <w:fldChar w:fldCharType="begin"/>
      </w:r>
      <w:r w:rsidRPr="003A4F68">
        <w:rPr>
          <w:rFonts w:ascii="Arial" w:hAnsi="Arial" w:cs="Arial"/>
          <w:color w:val="000000"/>
          <w:sz w:val="22"/>
          <w:szCs w:val="22"/>
        </w:rPr>
        <w:instrText xml:space="preserve"> ADDIN EN.CITE &lt;EndNote&gt;&lt;Cite&gt;&lt;Author&gt;Himberg&lt;/Author&gt;&lt;Year&gt;2004&lt;/Year&gt;&lt;RecNum&gt;47&lt;/RecNum&gt;&lt;DisplayText&gt;(33)&lt;/DisplayText&gt;&lt;record&gt;&lt;rec-number&gt;47&lt;/rec-number&gt;&lt;foreign-keys&gt;&lt;key app="EN" db-id="r2f2waevaerfenedxr3vx5eovzwpr0sfvwxa" timestamp="1606317429"&gt;47&lt;/key&gt;&lt;/foreign-keys&gt;&lt;ref-type name="Journal Article"&gt;17&lt;/ref-type&gt;&lt;contributors&gt;&lt;authors&gt;&lt;author&gt;Himberg, J.&lt;/author&gt;&lt;author&gt;Hyvarinen, A.&lt;/author&gt;&lt;author&gt;Esposito, F.&lt;/author&gt;&lt;/authors&gt;&lt;/contributors&gt;&lt;auth-address&gt;Neural Networks Research Centre, Helsinki University of Technology, Helsinki, Finland.&lt;/auth-address&gt;&lt;titles&gt;&lt;title&gt;Validating the independent components of neuroimaging time series via clustering and visualization&lt;/title&gt;&lt;secondary-title&gt;Neuroimage&lt;/secondary-title&gt;&lt;/titles&gt;&lt;periodical&gt;&lt;full-title&gt;Neuroimage&lt;/full-title&gt;&lt;/periodical&gt;&lt;pages&gt;1214-22&lt;/pages&gt;&lt;volume&gt;22&lt;/volume&gt;&lt;number&gt;3&lt;/number&gt;&lt;edition&gt;2004/06/29&lt;/edition&gt;&lt;keywords&gt;&lt;keyword&gt;Algorithms&lt;/keyword&gt;&lt;keyword&gt;Brain/*physiology&lt;/keyword&gt;&lt;keyword&gt;Cluster Analysis&lt;/keyword&gt;&lt;keyword&gt;Data Interpretation, Statistical&lt;/keyword&gt;&lt;keyword&gt;Fingers/physiology&lt;/keyword&gt;&lt;keyword&gt;Humans&lt;/keyword&gt;&lt;keyword&gt;*Image Processing, Computer-Assisted&lt;/keyword&gt;&lt;keyword&gt;*Magnetic Resonance Imaging&lt;/keyword&gt;&lt;keyword&gt;*Magnetoencephalography&lt;/keyword&gt;&lt;keyword&gt;Models, Neurological&lt;/keyword&gt;&lt;keyword&gt;Motor Activity/physiology&lt;/keyword&gt;&lt;keyword&gt;Software&lt;/keyword&gt;&lt;/keywords&gt;&lt;dates&gt;&lt;year&gt;2004&lt;/year&gt;&lt;pub-dates&gt;&lt;date&gt;Jul&lt;/date&gt;&lt;/pub-dates&gt;&lt;/dates&gt;&lt;isbn&gt;1053-8119 (Print)&amp;#xD;1053-8119 (Linking)&lt;/isbn&gt;&lt;accession-num&gt;15219593&lt;/accession-num&gt;&lt;urls&gt;&lt;related-urls&gt;&lt;url&gt;https://www.ncbi.nlm.nih.gov/pubmed/15219593&lt;/url&gt;&lt;/related-urls&gt;&lt;/urls&gt;&lt;electronic-resource-num&gt;10.1016/j.neuroimage.2004.03.027&lt;/electronic-resource-num&gt;&lt;/record&gt;&lt;/Cite&gt;&lt;/EndNote&gt;</w:instrText>
      </w:r>
      <w:r w:rsidRPr="003A4F68">
        <w:rPr>
          <w:rFonts w:ascii="Arial" w:hAnsi="Arial" w:cs="Arial"/>
          <w:color w:val="000000"/>
          <w:sz w:val="22"/>
          <w:szCs w:val="22"/>
        </w:rPr>
        <w:fldChar w:fldCharType="separate"/>
      </w:r>
      <w:r w:rsidRPr="003A4F68">
        <w:rPr>
          <w:rFonts w:ascii="Arial" w:hAnsi="Arial" w:cs="Arial"/>
          <w:noProof/>
          <w:color w:val="000000"/>
          <w:sz w:val="22"/>
          <w:szCs w:val="22"/>
        </w:rPr>
        <w:t>(33)</w:t>
      </w:r>
      <w:r w:rsidRPr="003A4F68">
        <w:rPr>
          <w:rFonts w:ascii="Arial" w:hAnsi="Arial" w:cs="Arial"/>
          <w:color w:val="000000"/>
          <w:sz w:val="22"/>
          <w:szCs w:val="22"/>
        </w:rPr>
        <w:fldChar w:fldCharType="end"/>
      </w:r>
      <w:r w:rsidRPr="003A4F68">
        <w:rPr>
          <w:rFonts w:ascii="Arial" w:hAnsi="Arial" w:cs="Arial"/>
          <w:color w:val="000000"/>
          <w:sz w:val="22"/>
          <w:szCs w:val="22"/>
        </w:rPr>
        <w:t xml:space="preserve">. </w:t>
      </w:r>
      <w:r w:rsidRPr="003A4F68">
        <w:rPr>
          <w:rFonts w:ascii="Arial" w:hAnsi="Arial" w:cs="Arial"/>
          <w:sz w:val="22"/>
          <w:szCs w:val="22"/>
        </w:rPr>
        <w:t xml:space="preserve">Single-participant component time courses were then back reconstructed using the GICA-3 back-reconstruction approach. </w:t>
      </w:r>
    </w:p>
    <w:p w14:paraId="4D36E9BE" w14:textId="77777777" w:rsidR="009417D1" w:rsidRPr="003A4F68" w:rsidRDefault="009417D1" w:rsidP="009417D1">
      <w:pPr>
        <w:rPr>
          <w:rFonts w:ascii="Arial" w:hAnsi="Arial" w:cs="Arial"/>
          <w:sz w:val="22"/>
          <w:szCs w:val="22"/>
        </w:rPr>
      </w:pPr>
    </w:p>
    <w:p w14:paraId="3F644B4B" w14:textId="3F1CC178" w:rsidR="009417D1" w:rsidRPr="003A4F68" w:rsidRDefault="009417D1" w:rsidP="009417D1">
      <w:pPr>
        <w:rPr>
          <w:rFonts w:ascii="Arial" w:hAnsi="Arial" w:cs="Arial"/>
          <w:sz w:val="22"/>
          <w:szCs w:val="22"/>
        </w:rPr>
      </w:pPr>
      <w:r w:rsidRPr="003A4F68">
        <w:rPr>
          <w:rFonts w:ascii="Arial" w:eastAsiaTheme="minorEastAsia" w:hAnsi="Arial" w:cs="Arial"/>
          <w:sz w:val="22"/>
          <w:szCs w:val="22"/>
        </w:rPr>
        <w:t xml:space="preserve">A systematic approach was used to identify non-artifactual ICs, or intrinsic connectivity networks (ICNs) </w:t>
      </w:r>
      <w:r w:rsidRPr="003A4F68">
        <w:rPr>
          <w:rFonts w:ascii="Arial" w:eastAsiaTheme="minorEastAsia" w:hAnsi="Arial" w:cs="Arial"/>
          <w:sz w:val="22"/>
          <w:szCs w:val="22"/>
        </w:rPr>
        <w:fldChar w:fldCharType="begin">
          <w:fldData xml:space="preserve">PEVuZE5vdGU+PENpdGU+PEF1dGhvcj5BbGxlbjwvQXV0aG9yPjxZZWFyPjIwMTE8L1llYXI+PFJl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</w:fldData>
        </w:fldChar>
      </w:r>
      <w:r w:rsidRPr="003A4F68">
        <w:rPr>
          <w:rFonts w:ascii="Arial" w:eastAsiaTheme="minorEastAsia" w:hAnsi="Arial" w:cs="Arial"/>
          <w:sz w:val="22"/>
          <w:szCs w:val="22"/>
        </w:rPr>
        <w:instrText xml:space="preserve"> ADDIN EN.CITE </w:instrText>
      </w:r>
      <w:r w:rsidRPr="003A4F68">
        <w:rPr>
          <w:rFonts w:ascii="Arial" w:eastAsiaTheme="minorEastAsia" w:hAnsi="Arial" w:cs="Arial"/>
          <w:sz w:val="22"/>
          <w:szCs w:val="22"/>
        </w:rPr>
        <w:fldChar w:fldCharType="begin">
          <w:fldData xml:space="preserve">PEVuZE5vdGU+PENpdGU+PEF1dGhvcj5BbGxlbjwvQXV0aG9yPjxZZWFyPjIwMTE8L1llYXI+PFJl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</w:fldData>
        </w:fldChar>
      </w:r>
      <w:r w:rsidRPr="003A4F68">
        <w:rPr>
          <w:rFonts w:ascii="Arial" w:eastAsiaTheme="minorEastAsia" w:hAnsi="Arial" w:cs="Arial"/>
          <w:sz w:val="22"/>
          <w:szCs w:val="22"/>
        </w:rPr>
        <w:instrText xml:space="preserve"> ADDIN EN.CITE.DATA </w:instrText>
      </w:r>
      <w:r w:rsidRPr="003A4F68">
        <w:rPr>
          <w:rFonts w:ascii="Arial" w:eastAsiaTheme="minorEastAsia" w:hAnsi="Arial" w:cs="Arial"/>
          <w:sz w:val="22"/>
          <w:szCs w:val="22"/>
        </w:rPr>
      </w:r>
      <w:r w:rsidRPr="003A4F68">
        <w:rPr>
          <w:rFonts w:ascii="Arial" w:eastAsiaTheme="minorEastAsia" w:hAnsi="Arial" w:cs="Arial"/>
          <w:sz w:val="22"/>
          <w:szCs w:val="22"/>
        </w:rPr>
        <w:fldChar w:fldCharType="end"/>
      </w:r>
      <w:r w:rsidRPr="003A4F68">
        <w:rPr>
          <w:rFonts w:ascii="Arial" w:eastAsiaTheme="minorEastAsia" w:hAnsi="Arial" w:cs="Arial"/>
          <w:sz w:val="22"/>
          <w:szCs w:val="22"/>
        </w:rPr>
      </w:r>
      <w:r w:rsidRPr="003A4F68">
        <w:rPr>
          <w:rFonts w:ascii="Arial" w:eastAsiaTheme="minorEastAsia" w:hAnsi="Arial" w:cs="Arial"/>
          <w:sz w:val="22"/>
          <w:szCs w:val="22"/>
        </w:rPr>
        <w:fldChar w:fldCharType="separate"/>
      </w:r>
      <w:r w:rsidRPr="003A4F68">
        <w:rPr>
          <w:rFonts w:ascii="Arial" w:eastAsiaTheme="minorEastAsia" w:hAnsi="Arial" w:cs="Arial"/>
          <w:noProof/>
          <w:sz w:val="22"/>
          <w:szCs w:val="22"/>
        </w:rPr>
        <w:t>(34)</w:t>
      </w:r>
      <w:r w:rsidRPr="003A4F68">
        <w:rPr>
          <w:rFonts w:ascii="Arial" w:eastAsiaTheme="minorEastAsia" w:hAnsi="Arial" w:cs="Arial"/>
          <w:sz w:val="22"/>
          <w:szCs w:val="22"/>
        </w:rPr>
        <w:fldChar w:fldCharType="end"/>
      </w:r>
      <w:r w:rsidRPr="003A4F68">
        <w:rPr>
          <w:rFonts w:ascii="Arial" w:eastAsiaTheme="minorEastAsia" w:hAnsi="Arial" w:cs="Arial"/>
          <w:sz w:val="22"/>
          <w:szCs w:val="22"/>
        </w:rPr>
        <w:t>. First, the </w:t>
      </w:r>
      <w:proofErr w:type="spellStart"/>
      <w:r w:rsidRPr="003A4F68">
        <w:rPr>
          <w:rFonts w:ascii="Arial" w:eastAsiaTheme="minorEastAsia" w:hAnsi="Arial" w:cs="Arial"/>
          <w:i/>
          <w:sz w:val="22"/>
          <w:szCs w:val="22"/>
        </w:rPr>
        <w:t>Iq</w:t>
      </w:r>
      <w:proofErr w:type="spellEnd"/>
      <w:r w:rsidRPr="003A4F68">
        <w:rPr>
          <w:rFonts w:ascii="Arial" w:eastAsiaTheme="minorEastAsia" w:hAnsi="Arial" w:cs="Arial"/>
          <w:sz w:val="22"/>
          <w:szCs w:val="22"/>
        </w:rPr>
        <w:t> index from ICASSO was assessed as the criterion to validate</w:t>
      </w:r>
      <w:r w:rsidRPr="003A4F68">
        <w:rPr>
          <w:rFonts w:ascii="Arial" w:hAnsi="Arial" w:cs="Arial"/>
          <w:color w:val="000000"/>
          <w:sz w:val="22"/>
          <w:szCs w:val="22"/>
        </w:rPr>
        <w:t xml:space="preserve"> the IC decomposition stability. Components with an </w:t>
      </w:r>
      <w:proofErr w:type="spellStart"/>
      <w:r w:rsidRPr="003A4F68">
        <w:rPr>
          <w:rStyle w:val="Emphasis"/>
          <w:rFonts w:ascii="Arial" w:hAnsi="Arial" w:cs="Arial"/>
          <w:color w:val="000000"/>
          <w:sz w:val="22"/>
          <w:szCs w:val="22"/>
        </w:rPr>
        <w:t>Iq</w:t>
      </w:r>
      <w:proofErr w:type="spellEnd"/>
      <w:r w:rsidRPr="003A4F68">
        <w:rPr>
          <w:rFonts w:ascii="Arial" w:hAnsi="Arial" w:cs="Arial"/>
          <w:color w:val="000000"/>
          <w:sz w:val="22"/>
          <w:szCs w:val="22"/>
        </w:rPr>
        <w:t xml:space="preserve"> value less than 0.7 from 50 ICASSO repetitions were excluded. Second, visual evaluation of IC spatial patterns (e.g., ringing) as well as frequency inspection of IC time course spectra (e.g., time courses vastly dominated by low-frequency fluctuations) allowed additional components related to artifacts to be excluded from analysis. All the ICs that involved the majority of activation falling outside the cerebral cortex, for instance in the spinal cord, eyes, borders of the skull, ventricles, etc., were considered noise components and excluded from further analyses. After careful visual inspection of the spatial-temporal characteristics of each IC, 6 components were categorized as noise components, leaving 24 components for further analyses. Identification of the remaining components was accomplished by performing spatial correlation with publicly available GIFT network templates </w:t>
      </w:r>
      <w:r w:rsidRPr="003A4F68">
        <w:rPr>
          <w:rFonts w:ascii="Arial" w:hAnsi="Arial" w:cs="Arial"/>
          <w:color w:val="000000"/>
          <w:sz w:val="22"/>
          <w:szCs w:val="22"/>
        </w:rPr>
        <w:fldChar w:fldCharType="begin"/>
      </w:r>
      <w:r w:rsidRPr="003A4F68">
        <w:rPr>
          <w:rFonts w:ascii="Arial" w:hAnsi="Arial" w:cs="Arial"/>
          <w:color w:val="000000"/>
          <w:sz w:val="22"/>
          <w:szCs w:val="22"/>
        </w:rPr>
        <w:instrText xml:space="preserve"> ADDIN EN.CITE &lt;EndNote&gt;&lt;Cite&gt;&lt;Author&gt;Shirer&lt;/Author&gt;&lt;Year&gt;2012&lt;/Year&gt;&lt;RecNum&gt;332&lt;/RecNum&gt;&lt;DisplayText&gt;(35)&lt;/DisplayText&gt;&lt;record&gt;&lt;rec-number&gt;332&lt;/rec-number&gt;&lt;foreign-keys&gt;&lt;key app="EN" db-id="r2f2waevaerfenedxr3vx5eovzwpr0sfvwxa" timestamp="1618410994"&gt;332&lt;/key&gt;&lt;/foreign-keys&gt;&lt;ref-type name="Journal Article"&gt;17&lt;/ref-type&gt;&lt;contributors&gt;&lt;authors&gt;&lt;author&gt;Shirer, W. R.&lt;/author&gt;&lt;author&gt;Ryali, S.&lt;/author&gt;&lt;author&gt;Rykhlevskaia, E.&lt;/author&gt;&lt;author&gt;Menon, V.&lt;/author&gt;&lt;author&gt;Greicius, M. D.&lt;/author&gt;&lt;/authors&gt;&lt;/contributors&gt;&lt;auth-address&gt;Functional Imaging in Neuropsychiatric Disorders (FIND) Lab, Department of Neurology and Neurological Sciences, Stanford School of Medicine, Stanford, CA 94305, USA.&lt;/auth-address&gt;&lt;titles&gt;&lt;title&gt;Decoding subject-driven cognitive states with whole-brain connectivity patterns&lt;/title&gt;&lt;secondary-title&gt;Cereb Cortex&lt;/secondary-title&gt;&lt;/titles&gt;&lt;periodical&gt;&lt;full-title&gt;Cereb Cortex&lt;/full-title&gt;&lt;/periodical&gt;&lt;pages&gt;158-65&lt;/pages&gt;&lt;volume&gt;22&lt;/volume&gt;&lt;number&gt;1&lt;/number&gt;&lt;edition&gt;2011/05/28&lt;/edition&gt;&lt;keywords&gt;&lt;keyword&gt;Adolescent&lt;/keyword&gt;&lt;keyword&gt;Adult&lt;/keyword&gt;&lt;keyword&gt;Brain/blood supply/*physiology&lt;/keyword&gt;&lt;keyword&gt;*Brain Mapping&lt;/keyword&gt;&lt;keyword&gt;Cognition/classification/*physiology&lt;/keyword&gt;&lt;keyword&gt;Cohort Studies&lt;/keyword&gt;&lt;keyword&gt;Female&lt;/keyword&gt;&lt;keyword&gt;Humans&lt;/keyword&gt;&lt;keyword&gt;Image Processing, Computer-Assisted&lt;/keyword&gt;&lt;keyword&gt;Magnetic Resonance Imaging&lt;/keyword&gt;&lt;keyword&gt;Male&lt;/keyword&gt;&lt;keyword&gt;Mental Recall/*physiology&lt;/keyword&gt;&lt;keyword&gt;Neural Pathways/blood supply/*physiology&lt;/keyword&gt;&lt;keyword&gt;Neuropsychological Tests&lt;/keyword&gt;&lt;keyword&gt;Oxygen/blood&lt;/keyword&gt;&lt;keyword&gt;Young Adult&lt;/keyword&gt;&lt;/keywords&gt;&lt;dates&gt;&lt;year&gt;2012&lt;/year&gt;&lt;pub-dates&gt;&lt;date&gt;Jan&lt;/date&gt;&lt;/pub-dates&gt;&lt;/dates&gt;&lt;isbn&gt;1460-2199 (Electronic)&amp;#xD;1047-3211 (Linking)&lt;/isbn&gt;&lt;accession-num&gt;21616982&lt;/accession-num&gt;&lt;urls&gt;&lt;related-urls&gt;&lt;url&gt;https://www.ncbi.nlm.nih.gov/pubmed/21616982&lt;/url&gt;&lt;/related-urls&gt;&lt;/urls&gt;&lt;custom2&gt;PMC3236795&lt;/custom2&gt;&lt;electronic-resource-num&gt;10.1093/cercor/bhr099&lt;/electronic-resource-num&gt;&lt;/record&gt;&lt;/Cite&gt;&lt;/EndNote&gt;</w:instrText>
      </w:r>
      <w:r w:rsidRPr="003A4F68">
        <w:rPr>
          <w:rFonts w:ascii="Arial" w:hAnsi="Arial" w:cs="Arial"/>
          <w:color w:val="000000"/>
          <w:sz w:val="22"/>
          <w:szCs w:val="22"/>
        </w:rPr>
        <w:fldChar w:fldCharType="separate"/>
      </w:r>
      <w:r w:rsidRPr="003A4F68">
        <w:rPr>
          <w:rFonts w:ascii="Arial" w:hAnsi="Arial" w:cs="Arial"/>
          <w:noProof/>
          <w:color w:val="000000"/>
          <w:sz w:val="22"/>
          <w:szCs w:val="22"/>
        </w:rPr>
        <w:t>(35)</w:t>
      </w:r>
      <w:r w:rsidRPr="003A4F68">
        <w:rPr>
          <w:rFonts w:ascii="Arial" w:hAnsi="Arial" w:cs="Arial"/>
          <w:color w:val="000000"/>
          <w:sz w:val="22"/>
          <w:szCs w:val="22"/>
        </w:rPr>
        <w:fldChar w:fldCharType="end"/>
      </w:r>
      <w:r w:rsidRPr="003A4F68">
        <w:rPr>
          <w:rFonts w:ascii="Arial" w:hAnsi="Arial" w:cs="Arial"/>
          <w:color w:val="000000"/>
          <w:sz w:val="22"/>
          <w:szCs w:val="22"/>
        </w:rPr>
        <w:t xml:space="preserve">. Each IC was correlated with the given templates and best network template was selected based on the maximum correlation values. To define significant brain regions in each non-artifactual component, the spatial map of each component was </w:t>
      </w:r>
      <w:r w:rsidRPr="003A4F68">
        <w:rPr>
          <w:rStyle w:val="Emphasis"/>
          <w:rFonts w:ascii="Arial" w:hAnsi="Arial" w:cs="Arial"/>
          <w:color w:val="000000"/>
          <w:sz w:val="22"/>
          <w:szCs w:val="22"/>
        </w:rPr>
        <w:t>z-</w:t>
      </w:r>
      <w:r w:rsidRPr="003A4F68">
        <w:rPr>
          <w:rFonts w:ascii="Arial" w:hAnsi="Arial" w:cs="Arial"/>
          <w:color w:val="000000"/>
          <w:sz w:val="22"/>
          <w:szCs w:val="22"/>
        </w:rPr>
        <w:t>scored to facilitate between-subjects’ comparisons, and the averaged maps of </w:t>
      </w:r>
      <w:r w:rsidRPr="003A4F68">
        <w:rPr>
          <w:rStyle w:val="Emphasis"/>
          <w:rFonts w:ascii="Arial" w:hAnsi="Arial" w:cs="Arial"/>
          <w:color w:val="000000"/>
          <w:sz w:val="22"/>
          <w:szCs w:val="22"/>
        </w:rPr>
        <w:t>z</w:t>
      </w:r>
      <w:r w:rsidRPr="003A4F68">
        <w:rPr>
          <w:rFonts w:ascii="Arial" w:hAnsi="Arial" w:cs="Arial"/>
          <w:color w:val="000000"/>
          <w:sz w:val="22"/>
          <w:szCs w:val="22"/>
        </w:rPr>
        <w:t>-scores were entered into the second-level random effects analysis in SPM12. The significance threshold was set at family-wise error (FWE)-corrected threshold of </w:t>
      </w:r>
      <w:r w:rsidRPr="003A4F68">
        <w:rPr>
          <w:rStyle w:val="Emphasis"/>
          <w:rFonts w:ascii="Arial" w:hAnsi="Arial" w:cs="Arial"/>
          <w:color w:val="000000"/>
          <w:sz w:val="22"/>
          <w:szCs w:val="22"/>
        </w:rPr>
        <w:t>p</w:t>
      </w:r>
      <w:r w:rsidRPr="003A4F68">
        <w:rPr>
          <w:rFonts w:ascii="Arial" w:hAnsi="Arial" w:cs="Arial"/>
          <w:color w:val="000000"/>
          <w:sz w:val="22"/>
          <w:szCs w:val="22"/>
        </w:rPr>
        <w:t> &lt; 0.05 for multiple comparisons of voxel-wise whole-brain analysis.</w:t>
      </w:r>
    </w:p>
    <w:p w14:paraId="08CAAD74" w14:textId="6E935D69" w:rsidR="005D088E" w:rsidRPr="003A4F68" w:rsidRDefault="005D088E" w:rsidP="001C0975">
      <w:pPr>
        <w:pStyle w:val="SMText"/>
        <w:ind w:firstLine="0"/>
        <w:rPr>
          <w:rFonts w:ascii="Arial" w:hAnsi="Arial" w:cs="Arial"/>
          <w:sz w:val="22"/>
          <w:szCs w:val="22"/>
        </w:rPr>
      </w:pPr>
    </w:p>
    <w:p w14:paraId="3C3D6362" w14:textId="77777777" w:rsidR="000F07CE" w:rsidRPr="003A4F68" w:rsidRDefault="000F07CE" w:rsidP="000F07CE">
      <w:pPr>
        <w:pStyle w:val="SMText"/>
        <w:pageBreakBefore/>
        <w:ind w:firstLine="0"/>
        <w:rPr>
          <w:rFonts w:ascii="Arial" w:hAnsi="Arial" w:cs="Arial"/>
          <w:sz w:val="22"/>
          <w:szCs w:val="22"/>
        </w:rPr>
      </w:pPr>
    </w:p>
    <w:p w14:paraId="5D3E149A" w14:textId="77777777" w:rsidR="00256256" w:rsidRPr="003A4F68" w:rsidRDefault="00256256" w:rsidP="00256256">
      <w:pPr>
        <w:autoSpaceDE w:val="0"/>
        <w:autoSpaceDN w:val="0"/>
        <w:adjustRightInd w:val="0"/>
        <w:spacing w:before="100" w:beforeAutospacing="1" w:after="100" w:afterAutospacing="1"/>
        <w:rPr>
          <w:rFonts w:ascii="Arial" w:hAnsi="Arial" w:cs="Arial"/>
          <w:sz w:val="22"/>
          <w:szCs w:val="22"/>
        </w:rPr>
      </w:pPr>
      <w:r w:rsidRPr="003A4F68">
        <w:rPr>
          <w:rFonts w:ascii="Arial" w:hAnsi="Arial" w:cs="Arial"/>
          <w:noProof/>
          <w:sz w:val="22"/>
          <w:szCs w:val="22"/>
        </w:rPr>
        <w:drawing>
          <wp:inline distT="0" distB="0" distL="0" distR="0" wp14:anchorId="4377773A" wp14:editId="5925B739">
            <wp:extent cx="5560457" cy="288560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7235" cy="2904693"/>
                    </a:xfrm>
                    <a:prstGeom prst="rect">
                      <a:avLst/>
                    </a:prstGeom>
                  </pic:spPr>
                </pic:pic>
              </a:graphicData>
            </a:graphic>
          </wp:inline>
        </w:drawing>
      </w:r>
    </w:p>
    <w:p w14:paraId="4F9D5315" w14:textId="56538CD2" w:rsidR="00256256" w:rsidRPr="003A4F68" w:rsidRDefault="00256256" w:rsidP="000F07CE">
      <w:pPr>
        <w:autoSpaceDE w:val="0"/>
        <w:autoSpaceDN w:val="0"/>
        <w:adjustRightInd w:val="0"/>
        <w:spacing w:before="100" w:beforeAutospacing="1" w:after="100" w:afterAutospacing="1"/>
        <w:rPr>
          <w:rFonts w:ascii="Arial" w:hAnsi="Arial" w:cs="Arial"/>
          <w:sz w:val="22"/>
          <w:szCs w:val="22"/>
        </w:rPr>
      </w:pPr>
      <w:r w:rsidRPr="003A4F68">
        <w:rPr>
          <w:rFonts w:ascii="Arial" w:hAnsi="Arial" w:cs="Arial"/>
          <w:b/>
          <w:bCs/>
          <w:kern w:val="32"/>
          <w:sz w:val="22"/>
          <w:szCs w:val="22"/>
        </w:rPr>
        <w:t xml:space="preserve">Figure </w:t>
      </w:r>
      <w:r w:rsidR="000F07CE" w:rsidRPr="003A4F68">
        <w:rPr>
          <w:rFonts w:ascii="Arial" w:hAnsi="Arial" w:cs="Arial"/>
          <w:b/>
          <w:bCs/>
          <w:kern w:val="32"/>
          <w:sz w:val="22"/>
          <w:szCs w:val="22"/>
        </w:rPr>
        <w:t>S</w:t>
      </w:r>
      <w:r w:rsidRPr="003A4F68">
        <w:rPr>
          <w:rFonts w:ascii="Arial" w:hAnsi="Arial" w:cs="Arial"/>
          <w:b/>
          <w:bCs/>
          <w:kern w:val="32"/>
          <w:sz w:val="22"/>
          <w:szCs w:val="22"/>
        </w:rPr>
        <w:t>1:</w:t>
      </w:r>
      <w:r w:rsidRPr="003A4F68">
        <w:rPr>
          <w:rFonts w:ascii="Arial" w:hAnsi="Arial" w:cs="Arial"/>
          <w:sz w:val="22"/>
          <w:szCs w:val="22"/>
        </w:rPr>
        <w:t xml:space="preserve"> Risk ratings for pre-ACQ phase, ACQ phase and SG phase for two group (top: HCs, TEs) and three groups (bottom: HCs, TEHCs, TEPGs). </w:t>
      </w:r>
    </w:p>
    <w:p w14:paraId="5E4E4654" w14:textId="7BECEFE2" w:rsidR="002369EC" w:rsidRPr="003A4F68" w:rsidRDefault="002369EC" w:rsidP="000F07CE">
      <w:pPr>
        <w:autoSpaceDE w:val="0"/>
        <w:autoSpaceDN w:val="0"/>
        <w:adjustRightInd w:val="0"/>
        <w:spacing w:before="100" w:beforeAutospacing="1" w:after="100" w:afterAutospacing="1"/>
        <w:rPr>
          <w:rFonts w:ascii="Arial" w:hAnsi="Arial" w:cs="Arial"/>
          <w:sz w:val="22"/>
          <w:szCs w:val="22"/>
        </w:rPr>
      </w:pPr>
    </w:p>
    <w:p w14:paraId="4BBBBC78" w14:textId="7C3A1BBC" w:rsidR="002369EC" w:rsidRPr="003A4F68" w:rsidRDefault="002369EC" w:rsidP="000F07CE">
      <w:pPr>
        <w:autoSpaceDE w:val="0"/>
        <w:autoSpaceDN w:val="0"/>
        <w:adjustRightInd w:val="0"/>
        <w:spacing w:before="100" w:beforeAutospacing="1" w:after="100" w:afterAutospacing="1"/>
        <w:rPr>
          <w:rFonts w:ascii="Arial" w:hAnsi="Arial" w:cs="Arial"/>
          <w:sz w:val="22"/>
          <w:szCs w:val="22"/>
        </w:rPr>
      </w:pPr>
    </w:p>
    <w:p w14:paraId="2A11507D" w14:textId="77777777" w:rsidR="002369EC" w:rsidRPr="003A4F68" w:rsidRDefault="002369EC" w:rsidP="002369EC">
      <w:pPr>
        <w:autoSpaceDE w:val="0"/>
        <w:autoSpaceDN w:val="0"/>
        <w:adjustRightInd w:val="0"/>
        <w:spacing w:before="100" w:beforeAutospacing="1" w:after="100" w:afterAutospacing="1"/>
        <w:rPr>
          <w:rFonts w:ascii="Arial" w:hAnsi="Arial" w:cs="Arial"/>
          <w:sz w:val="22"/>
          <w:szCs w:val="22"/>
        </w:rPr>
      </w:pPr>
      <w:r w:rsidRPr="003A4F68">
        <w:rPr>
          <w:rFonts w:ascii="Arial" w:hAnsi="Arial" w:cs="Arial"/>
          <w:noProof/>
          <w:sz w:val="22"/>
          <w:szCs w:val="22"/>
        </w:rPr>
        <w:lastRenderedPageBreak/>
        <w:drawing>
          <wp:inline distT="0" distB="0" distL="0" distR="0" wp14:anchorId="216A270F" wp14:editId="0069305D">
            <wp:extent cx="5743167" cy="640829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7652" cy="6435615"/>
                    </a:xfrm>
                    <a:prstGeom prst="rect">
                      <a:avLst/>
                    </a:prstGeom>
                  </pic:spPr>
                </pic:pic>
              </a:graphicData>
            </a:graphic>
          </wp:inline>
        </w:drawing>
      </w:r>
    </w:p>
    <w:p w14:paraId="75498B19" w14:textId="6948197E" w:rsidR="002369EC" w:rsidRPr="003A4F68" w:rsidRDefault="002369EC" w:rsidP="002369EC">
      <w:pPr>
        <w:autoSpaceDE w:val="0"/>
        <w:autoSpaceDN w:val="0"/>
        <w:adjustRightInd w:val="0"/>
        <w:rPr>
          <w:rFonts w:ascii="Arial" w:hAnsi="Arial" w:cs="Arial"/>
          <w:sz w:val="22"/>
          <w:szCs w:val="22"/>
        </w:rPr>
      </w:pPr>
      <w:r w:rsidRPr="003A4F68">
        <w:rPr>
          <w:rFonts w:ascii="Arial" w:hAnsi="Arial" w:cs="Arial"/>
          <w:b/>
          <w:bCs/>
          <w:sz w:val="22"/>
          <w:szCs w:val="22"/>
        </w:rPr>
        <w:t>Figure S2:</w:t>
      </w:r>
      <w:r w:rsidRPr="003A4F68">
        <w:rPr>
          <w:rFonts w:ascii="Arial" w:hAnsi="Arial" w:cs="Arial"/>
          <w:sz w:val="22"/>
          <w:szCs w:val="22"/>
        </w:rPr>
        <w:t xml:space="preserve"> Neural responses to conditioned and generalization stimuli (vCS-, oCS-, GS1, GS2, GS3, CS+) across ICNs by stages across HC and TE groups. </w:t>
      </w:r>
    </w:p>
    <w:p w14:paraId="5C46FAD3" w14:textId="77777777" w:rsidR="002369EC" w:rsidRPr="003A4F68" w:rsidRDefault="002369EC" w:rsidP="000F07CE">
      <w:pPr>
        <w:autoSpaceDE w:val="0"/>
        <w:autoSpaceDN w:val="0"/>
        <w:adjustRightInd w:val="0"/>
        <w:spacing w:before="100" w:beforeAutospacing="1" w:after="100" w:afterAutospacing="1"/>
        <w:rPr>
          <w:rFonts w:ascii="Arial" w:hAnsi="Arial" w:cs="Arial"/>
          <w:noProof/>
          <w:sz w:val="22"/>
          <w:szCs w:val="22"/>
        </w:rPr>
      </w:pPr>
    </w:p>
    <w:p w14:paraId="0709B4F4" w14:textId="77777777" w:rsidR="00256256" w:rsidRPr="003A4F68" w:rsidRDefault="00256256" w:rsidP="00256256">
      <w:pPr>
        <w:autoSpaceDE w:val="0"/>
        <w:autoSpaceDN w:val="0"/>
        <w:adjustRightInd w:val="0"/>
        <w:spacing w:before="100" w:beforeAutospacing="1" w:after="100" w:afterAutospacing="1"/>
        <w:rPr>
          <w:rFonts w:ascii="Arial" w:hAnsi="Arial" w:cs="Arial"/>
          <w:noProof/>
          <w:sz w:val="22"/>
          <w:szCs w:val="22"/>
        </w:rPr>
      </w:pPr>
      <w:r w:rsidRPr="003A4F68">
        <w:rPr>
          <w:rFonts w:ascii="Arial" w:hAnsi="Arial" w:cs="Arial"/>
          <w:noProof/>
          <w:sz w:val="22"/>
          <w:szCs w:val="22"/>
        </w:rPr>
        <w:lastRenderedPageBreak/>
        <w:drawing>
          <wp:inline distT="0" distB="0" distL="0" distR="0" wp14:anchorId="3D108147" wp14:editId="3D3C596F">
            <wp:extent cx="5737839" cy="75100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4630" cy="7518960"/>
                    </a:xfrm>
                    <a:prstGeom prst="rect">
                      <a:avLst/>
                    </a:prstGeom>
                  </pic:spPr>
                </pic:pic>
              </a:graphicData>
            </a:graphic>
          </wp:inline>
        </w:drawing>
      </w:r>
    </w:p>
    <w:p w14:paraId="1A6FB695" w14:textId="098EDB60" w:rsidR="00256256" w:rsidRPr="003A4F68" w:rsidRDefault="00256256" w:rsidP="00256256">
      <w:pPr>
        <w:autoSpaceDE w:val="0"/>
        <w:autoSpaceDN w:val="0"/>
        <w:adjustRightInd w:val="0"/>
        <w:rPr>
          <w:rFonts w:ascii="Arial" w:hAnsi="Arial" w:cs="Arial"/>
          <w:sz w:val="22"/>
          <w:szCs w:val="22"/>
        </w:rPr>
      </w:pPr>
      <w:r w:rsidRPr="003A4F68">
        <w:rPr>
          <w:rFonts w:ascii="Arial" w:hAnsi="Arial" w:cs="Arial"/>
          <w:b/>
          <w:bCs/>
          <w:kern w:val="32"/>
          <w:sz w:val="22"/>
          <w:szCs w:val="22"/>
        </w:rPr>
        <w:t xml:space="preserve">Figure </w:t>
      </w:r>
      <w:r w:rsidR="000F07CE" w:rsidRPr="003A4F68">
        <w:rPr>
          <w:rFonts w:ascii="Arial" w:hAnsi="Arial" w:cs="Arial"/>
          <w:b/>
          <w:bCs/>
          <w:kern w:val="32"/>
          <w:sz w:val="22"/>
          <w:szCs w:val="22"/>
        </w:rPr>
        <w:t>S</w:t>
      </w:r>
      <w:r w:rsidR="002369EC" w:rsidRPr="003A4F68">
        <w:rPr>
          <w:rFonts w:ascii="Arial" w:hAnsi="Arial" w:cs="Arial"/>
          <w:b/>
          <w:bCs/>
          <w:kern w:val="32"/>
          <w:sz w:val="22"/>
          <w:szCs w:val="22"/>
        </w:rPr>
        <w:t>3</w:t>
      </w:r>
      <w:r w:rsidRPr="003A4F68">
        <w:rPr>
          <w:rFonts w:ascii="Arial" w:hAnsi="Arial" w:cs="Arial"/>
          <w:b/>
          <w:bCs/>
          <w:kern w:val="32"/>
          <w:sz w:val="22"/>
          <w:szCs w:val="22"/>
        </w:rPr>
        <w:t>:</w:t>
      </w:r>
      <w:r w:rsidRPr="003A4F68">
        <w:rPr>
          <w:rFonts w:ascii="Arial" w:hAnsi="Arial" w:cs="Arial"/>
          <w:sz w:val="22"/>
          <w:szCs w:val="22"/>
        </w:rPr>
        <w:t xml:space="preserve"> Neural responses to conditioned and generalization stimuli (vCS-, oCS-, GS1, GS2, GS3, CS+) across ICNs by stages across HC and TEHC and TEPG groups. </w:t>
      </w:r>
    </w:p>
    <w:p w14:paraId="488294CB" w14:textId="5492FBF2" w:rsidR="00A804D2" w:rsidRPr="003A4F68" w:rsidRDefault="00A804D2" w:rsidP="00256256">
      <w:pPr>
        <w:autoSpaceDE w:val="0"/>
        <w:autoSpaceDN w:val="0"/>
        <w:adjustRightInd w:val="0"/>
        <w:rPr>
          <w:rFonts w:ascii="Arial" w:hAnsi="Arial" w:cs="Arial"/>
          <w:sz w:val="22"/>
          <w:szCs w:val="22"/>
        </w:rPr>
      </w:pPr>
    </w:p>
    <w:p w14:paraId="25D868B4" w14:textId="7A35898B" w:rsidR="00A804D2" w:rsidRPr="003A4F68" w:rsidRDefault="00A804D2" w:rsidP="00256256">
      <w:pPr>
        <w:autoSpaceDE w:val="0"/>
        <w:autoSpaceDN w:val="0"/>
        <w:adjustRightInd w:val="0"/>
        <w:rPr>
          <w:rFonts w:ascii="Arial" w:hAnsi="Arial" w:cs="Arial"/>
          <w:sz w:val="22"/>
          <w:szCs w:val="22"/>
        </w:rPr>
      </w:pPr>
    </w:p>
    <w:p w14:paraId="72EA96A0" w14:textId="56BC2C9C" w:rsidR="00A804D2" w:rsidRPr="003A4F68" w:rsidRDefault="00A804D2" w:rsidP="00256256">
      <w:pPr>
        <w:autoSpaceDE w:val="0"/>
        <w:autoSpaceDN w:val="0"/>
        <w:adjustRightInd w:val="0"/>
        <w:rPr>
          <w:rFonts w:ascii="Arial" w:hAnsi="Arial" w:cs="Arial"/>
          <w:sz w:val="22"/>
          <w:szCs w:val="22"/>
        </w:rPr>
      </w:pPr>
      <w:r w:rsidRPr="003A4F68">
        <w:rPr>
          <w:rFonts w:ascii="Arial" w:hAnsi="Arial" w:cs="Arial"/>
          <w:noProof/>
          <w:sz w:val="22"/>
          <w:szCs w:val="22"/>
        </w:rPr>
        <w:drawing>
          <wp:inline distT="0" distB="0" distL="0" distR="0" wp14:anchorId="45CC2BB7" wp14:editId="6BD5A228">
            <wp:extent cx="5486400" cy="4650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650105"/>
                    </a:xfrm>
                    <a:prstGeom prst="rect">
                      <a:avLst/>
                    </a:prstGeom>
                  </pic:spPr>
                </pic:pic>
              </a:graphicData>
            </a:graphic>
          </wp:inline>
        </w:drawing>
      </w:r>
    </w:p>
    <w:p w14:paraId="0C08310B" w14:textId="45923246" w:rsidR="00A804D2" w:rsidRPr="003A4F68" w:rsidRDefault="00A804D2" w:rsidP="00256256">
      <w:pPr>
        <w:autoSpaceDE w:val="0"/>
        <w:autoSpaceDN w:val="0"/>
        <w:adjustRightInd w:val="0"/>
        <w:rPr>
          <w:rFonts w:ascii="Arial" w:hAnsi="Arial" w:cs="Arial"/>
          <w:sz w:val="22"/>
          <w:szCs w:val="22"/>
        </w:rPr>
      </w:pPr>
      <w:r w:rsidRPr="003A4F68">
        <w:rPr>
          <w:rFonts w:ascii="Arial" w:hAnsi="Arial" w:cs="Arial"/>
          <w:b/>
          <w:bCs/>
          <w:sz w:val="22"/>
          <w:szCs w:val="22"/>
        </w:rPr>
        <w:t>Figure S4:</w:t>
      </w:r>
      <w:r w:rsidRPr="003A4F68">
        <w:rPr>
          <w:rFonts w:ascii="Arial" w:hAnsi="Arial" w:cs="Arial"/>
          <w:sz w:val="22"/>
          <w:szCs w:val="22"/>
        </w:rPr>
        <w:t xml:space="preserve"> LDS across two stages in different groups for SN and RECN</w:t>
      </w:r>
    </w:p>
    <w:p w14:paraId="0230CC08" w14:textId="77777777" w:rsidR="00A804D2" w:rsidRPr="003A4F68" w:rsidRDefault="00A804D2" w:rsidP="00256256">
      <w:pPr>
        <w:autoSpaceDE w:val="0"/>
        <w:autoSpaceDN w:val="0"/>
        <w:adjustRightInd w:val="0"/>
        <w:rPr>
          <w:rFonts w:ascii="Arial" w:hAnsi="Arial" w:cs="Arial"/>
          <w:sz w:val="22"/>
          <w:szCs w:val="22"/>
        </w:rPr>
      </w:pPr>
    </w:p>
    <w:p w14:paraId="77483A1D" w14:textId="2218C84C" w:rsidR="000F07CE" w:rsidRPr="003A4F68" w:rsidRDefault="000F07CE" w:rsidP="00256256">
      <w:pPr>
        <w:autoSpaceDE w:val="0"/>
        <w:autoSpaceDN w:val="0"/>
        <w:adjustRightInd w:val="0"/>
        <w:rPr>
          <w:rFonts w:ascii="Arial" w:hAnsi="Arial" w:cs="Arial"/>
          <w:sz w:val="22"/>
          <w:szCs w:val="22"/>
        </w:rPr>
      </w:pPr>
    </w:p>
    <w:p w14:paraId="2BC8C6E1" w14:textId="50827337" w:rsidR="00553771" w:rsidRPr="003A4F68" w:rsidRDefault="00553771" w:rsidP="00256256">
      <w:pPr>
        <w:autoSpaceDE w:val="0"/>
        <w:autoSpaceDN w:val="0"/>
        <w:adjustRightInd w:val="0"/>
        <w:rPr>
          <w:rFonts w:ascii="Arial" w:hAnsi="Arial" w:cs="Arial"/>
          <w:sz w:val="22"/>
          <w:szCs w:val="22"/>
        </w:rPr>
      </w:pPr>
    </w:p>
    <w:p w14:paraId="378AD7C7" w14:textId="77777777" w:rsidR="00553771" w:rsidRPr="003A4F68" w:rsidRDefault="00553771" w:rsidP="00256256">
      <w:pPr>
        <w:autoSpaceDE w:val="0"/>
        <w:autoSpaceDN w:val="0"/>
        <w:adjustRightInd w:val="0"/>
        <w:rPr>
          <w:rFonts w:ascii="Arial" w:hAnsi="Arial" w:cs="Arial"/>
          <w:sz w:val="22"/>
          <w:szCs w:val="22"/>
        </w:rPr>
      </w:pPr>
    </w:p>
    <w:p w14:paraId="5331A809" w14:textId="77777777" w:rsidR="00553771" w:rsidRPr="003A4F68" w:rsidRDefault="00256256" w:rsidP="00256256">
      <w:pPr>
        <w:autoSpaceDE w:val="0"/>
        <w:autoSpaceDN w:val="0"/>
        <w:adjustRightInd w:val="0"/>
        <w:spacing w:before="100" w:beforeAutospacing="1" w:after="100" w:afterAutospacing="1"/>
        <w:rPr>
          <w:rFonts w:ascii="Arial" w:hAnsi="Arial" w:cs="Arial"/>
          <w:b/>
          <w:bCs/>
          <w:kern w:val="32"/>
          <w:sz w:val="22"/>
          <w:szCs w:val="22"/>
        </w:rPr>
      </w:pPr>
      <w:r w:rsidRPr="003A4F68">
        <w:rPr>
          <w:rFonts w:ascii="Arial" w:hAnsi="Arial" w:cs="Arial"/>
          <w:noProof/>
          <w:sz w:val="22"/>
          <w:szCs w:val="22"/>
        </w:rPr>
        <w:lastRenderedPageBreak/>
        <w:drawing>
          <wp:inline distT="0" distB="0" distL="0" distR="0" wp14:anchorId="4F3FCC98" wp14:editId="5D98B1D1">
            <wp:extent cx="5486400" cy="4269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269105"/>
                    </a:xfrm>
                    <a:prstGeom prst="rect">
                      <a:avLst/>
                    </a:prstGeom>
                  </pic:spPr>
                </pic:pic>
              </a:graphicData>
            </a:graphic>
          </wp:inline>
        </w:drawing>
      </w:r>
    </w:p>
    <w:p w14:paraId="4ABC1F9C" w14:textId="0B4F53F4" w:rsidR="00256256" w:rsidRPr="003A4F68" w:rsidRDefault="00256256" w:rsidP="00256256">
      <w:pPr>
        <w:autoSpaceDE w:val="0"/>
        <w:autoSpaceDN w:val="0"/>
        <w:adjustRightInd w:val="0"/>
        <w:spacing w:before="100" w:beforeAutospacing="1" w:after="100" w:afterAutospacing="1"/>
        <w:rPr>
          <w:rFonts w:ascii="Arial" w:hAnsi="Arial" w:cs="Arial"/>
          <w:sz w:val="22"/>
          <w:szCs w:val="22"/>
        </w:rPr>
      </w:pPr>
      <w:r w:rsidRPr="003A4F68">
        <w:rPr>
          <w:rFonts w:ascii="Arial" w:hAnsi="Arial" w:cs="Arial"/>
          <w:b/>
          <w:bCs/>
          <w:kern w:val="32"/>
          <w:sz w:val="22"/>
          <w:szCs w:val="22"/>
        </w:rPr>
        <w:t xml:space="preserve">Figure </w:t>
      </w:r>
      <w:r w:rsidR="000F07CE" w:rsidRPr="003A4F68">
        <w:rPr>
          <w:rFonts w:ascii="Arial" w:hAnsi="Arial" w:cs="Arial"/>
          <w:b/>
          <w:bCs/>
          <w:kern w:val="32"/>
          <w:sz w:val="22"/>
          <w:szCs w:val="22"/>
        </w:rPr>
        <w:t>S</w:t>
      </w:r>
      <w:r w:rsidR="00733DA9" w:rsidRPr="003A4F68">
        <w:rPr>
          <w:rFonts w:ascii="Arial" w:hAnsi="Arial" w:cs="Arial"/>
          <w:b/>
          <w:bCs/>
          <w:kern w:val="32"/>
          <w:sz w:val="22"/>
          <w:szCs w:val="22"/>
        </w:rPr>
        <w:t>5</w:t>
      </w:r>
      <w:r w:rsidRPr="003A4F68">
        <w:rPr>
          <w:rFonts w:ascii="Arial" w:hAnsi="Arial" w:cs="Arial"/>
          <w:b/>
          <w:bCs/>
          <w:kern w:val="32"/>
          <w:sz w:val="22"/>
          <w:szCs w:val="22"/>
        </w:rPr>
        <w:t>:</w:t>
      </w:r>
      <w:r w:rsidRPr="003A4F68">
        <w:rPr>
          <w:rFonts w:ascii="Arial" w:hAnsi="Arial" w:cs="Arial"/>
          <w:sz w:val="22"/>
          <w:szCs w:val="22"/>
        </w:rPr>
        <w:t xml:space="preserve"> Flowchart of study protocol</w:t>
      </w:r>
    </w:p>
    <w:p w14:paraId="2E158754" w14:textId="77777777" w:rsidR="00256256" w:rsidRPr="003A4F68" w:rsidRDefault="00256256" w:rsidP="00256256">
      <w:pPr>
        <w:autoSpaceDE w:val="0"/>
        <w:autoSpaceDN w:val="0"/>
        <w:adjustRightInd w:val="0"/>
        <w:spacing w:before="100" w:beforeAutospacing="1" w:after="100" w:afterAutospacing="1"/>
        <w:rPr>
          <w:rFonts w:ascii="Arial" w:hAnsi="Arial" w:cs="Arial"/>
          <w:sz w:val="22"/>
          <w:szCs w:val="22"/>
        </w:rPr>
      </w:pPr>
    </w:p>
    <w:p w14:paraId="0AF56B53" w14:textId="77777777" w:rsidR="00256256" w:rsidRPr="003A4F68" w:rsidRDefault="00256256" w:rsidP="00256256">
      <w:pPr>
        <w:autoSpaceDE w:val="0"/>
        <w:autoSpaceDN w:val="0"/>
        <w:adjustRightInd w:val="0"/>
        <w:spacing w:before="100" w:beforeAutospacing="1" w:after="100" w:afterAutospacing="1"/>
        <w:rPr>
          <w:rFonts w:ascii="Arial" w:hAnsi="Arial" w:cs="Arial"/>
          <w:sz w:val="22"/>
          <w:szCs w:val="22"/>
        </w:rPr>
      </w:pPr>
    </w:p>
    <w:p w14:paraId="0422FF69" w14:textId="77777777" w:rsidR="00256256" w:rsidRPr="003A4F68" w:rsidRDefault="00256256" w:rsidP="00256256">
      <w:pPr>
        <w:autoSpaceDE w:val="0"/>
        <w:autoSpaceDN w:val="0"/>
        <w:adjustRightInd w:val="0"/>
        <w:spacing w:before="100" w:beforeAutospacing="1" w:after="100" w:afterAutospacing="1"/>
        <w:rPr>
          <w:rFonts w:ascii="Arial" w:hAnsi="Arial" w:cs="Arial"/>
          <w:sz w:val="22"/>
          <w:szCs w:val="22"/>
        </w:rPr>
      </w:pPr>
    </w:p>
    <w:p w14:paraId="4DAD11B8" w14:textId="77777777" w:rsidR="00256256" w:rsidRPr="003A4F68" w:rsidRDefault="00256256" w:rsidP="00256256">
      <w:pPr>
        <w:autoSpaceDE w:val="0"/>
        <w:autoSpaceDN w:val="0"/>
        <w:adjustRightInd w:val="0"/>
        <w:spacing w:before="100" w:beforeAutospacing="1" w:after="100" w:afterAutospacing="1"/>
        <w:rPr>
          <w:rFonts w:ascii="Arial" w:hAnsi="Arial" w:cs="Arial"/>
          <w:sz w:val="22"/>
          <w:szCs w:val="22"/>
        </w:rPr>
      </w:pPr>
    </w:p>
    <w:p w14:paraId="038DB0FD" w14:textId="77777777" w:rsidR="00256256" w:rsidRPr="003A4F68" w:rsidRDefault="00256256" w:rsidP="00256256">
      <w:pPr>
        <w:autoSpaceDE w:val="0"/>
        <w:autoSpaceDN w:val="0"/>
        <w:adjustRightInd w:val="0"/>
        <w:spacing w:before="100" w:beforeAutospacing="1" w:after="100" w:afterAutospacing="1"/>
        <w:rPr>
          <w:rFonts w:ascii="Arial" w:hAnsi="Arial" w:cs="Arial"/>
          <w:sz w:val="22"/>
          <w:szCs w:val="22"/>
        </w:rPr>
      </w:pPr>
    </w:p>
    <w:p w14:paraId="6DCB9806" w14:textId="77777777" w:rsidR="00256256" w:rsidRPr="003A4F68" w:rsidRDefault="00256256" w:rsidP="00256256">
      <w:pPr>
        <w:autoSpaceDE w:val="0"/>
        <w:autoSpaceDN w:val="0"/>
        <w:adjustRightInd w:val="0"/>
        <w:spacing w:before="100" w:beforeAutospacing="1" w:after="100" w:afterAutospacing="1"/>
        <w:rPr>
          <w:rFonts w:ascii="Arial" w:hAnsi="Arial" w:cs="Arial"/>
          <w:sz w:val="22"/>
          <w:szCs w:val="22"/>
        </w:rPr>
      </w:pPr>
    </w:p>
    <w:p w14:paraId="36940E46" w14:textId="77777777" w:rsidR="00256256" w:rsidRPr="003A4F68" w:rsidRDefault="00256256" w:rsidP="00256256">
      <w:pPr>
        <w:autoSpaceDE w:val="0"/>
        <w:autoSpaceDN w:val="0"/>
        <w:adjustRightInd w:val="0"/>
        <w:spacing w:before="100" w:beforeAutospacing="1" w:after="100" w:afterAutospacing="1"/>
        <w:rPr>
          <w:rFonts w:ascii="Arial" w:hAnsi="Arial" w:cs="Arial"/>
          <w:sz w:val="22"/>
          <w:szCs w:val="22"/>
        </w:rPr>
      </w:pPr>
      <w:r w:rsidRPr="003A4F68">
        <w:rPr>
          <w:rFonts w:ascii="Arial" w:hAnsi="Arial" w:cs="Arial"/>
          <w:sz w:val="22"/>
          <w:szCs w:val="22"/>
        </w:rPr>
        <w:t xml:space="preserve"> </w:t>
      </w:r>
    </w:p>
    <w:p w14:paraId="68F46314" w14:textId="3E55C3F0" w:rsidR="00256256" w:rsidRPr="003A4F68" w:rsidRDefault="00256256" w:rsidP="00256256">
      <w:pPr>
        <w:spacing w:before="100" w:beforeAutospacing="1" w:after="100" w:afterAutospacing="1"/>
        <w:rPr>
          <w:rFonts w:ascii="Arial" w:hAnsi="Arial" w:cs="Arial"/>
          <w:sz w:val="22"/>
          <w:szCs w:val="22"/>
        </w:rPr>
      </w:pPr>
    </w:p>
    <w:p w14:paraId="7B4A955E" w14:textId="2E75D932" w:rsidR="00553771" w:rsidRPr="003A4F68" w:rsidRDefault="00553771" w:rsidP="00256256">
      <w:pPr>
        <w:spacing w:before="100" w:beforeAutospacing="1" w:after="100" w:afterAutospacing="1"/>
        <w:rPr>
          <w:rFonts w:ascii="Arial" w:hAnsi="Arial" w:cs="Arial"/>
          <w:sz w:val="22"/>
          <w:szCs w:val="22"/>
        </w:rPr>
      </w:pPr>
    </w:p>
    <w:p w14:paraId="7A1A1C5E" w14:textId="56BF2DBF" w:rsidR="00553771" w:rsidRPr="003A4F68" w:rsidRDefault="00553771" w:rsidP="00256256">
      <w:pPr>
        <w:spacing w:before="100" w:beforeAutospacing="1" w:after="100" w:afterAutospacing="1"/>
        <w:rPr>
          <w:rFonts w:ascii="Arial" w:hAnsi="Arial" w:cs="Arial"/>
          <w:sz w:val="22"/>
          <w:szCs w:val="22"/>
        </w:rPr>
      </w:pPr>
    </w:p>
    <w:p w14:paraId="7937467D" w14:textId="77777777" w:rsidR="00256256" w:rsidRPr="003A4F68" w:rsidRDefault="00256256" w:rsidP="00256256">
      <w:pPr>
        <w:spacing w:before="100" w:beforeAutospacing="1" w:after="100" w:afterAutospacing="1"/>
        <w:rPr>
          <w:rFonts w:ascii="Arial" w:hAnsi="Arial" w:cs="Arial"/>
          <w:sz w:val="22"/>
          <w:szCs w:val="22"/>
        </w:rPr>
      </w:pPr>
    </w:p>
    <w:p w14:paraId="58981AA0" w14:textId="737E579A" w:rsidR="00256256" w:rsidRPr="003A4F68" w:rsidRDefault="00256256" w:rsidP="00256256">
      <w:pPr>
        <w:rPr>
          <w:rFonts w:ascii="Arial" w:hAnsi="Arial" w:cs="Arial"/>
          <w:noProof/>
          <w:sz w:val="22"/>
          <w:szCs w:val="22"/>
        </w:rPr>
      </w:pPr>
      <w:r w:rsidRPr="003A4F68">
        <w:rPr>
          <w:rFonts w:ascii="Arial" w:hAnsi="Arial" w:cs="Arial"/>
          <w:noProof/>
          <w:sz w:val="22"/>
          <w:szCs w:val="22"/>
        </w:rPr>
        <w:t xml:space="preserve"> </w:t>
      </w:r>
      <w:r w:rsidRPr="003A4F68">
        <w:rPr>
          <w:rFonts w:ascii="Arial" w:hAnsi="Arial" w:cs="Arial"/>
          <w:noProof/>
          <w:sz w:val="22"/>
          <w:szCs w:val="22"/>
        </w:rPr>
        <w:drawing>
          <wp:inline distT="0" distB="0" distL="0" distR="0" wp14:anchorId="1682A67B" wp14:editId="7B2ED6AB">
            <wp:extent cx="536448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screen">
                      <a:extLst>
                        <a:ext uri="{28A0092B-C50C-407E-A947-70E740481C1C}">
                          <a14:useLocalDpi xmlns:a14="http://schemas.microsoft.com/office/drawing/2010/main"/>
                        </a:ext>
                      </a:extLst>
                    </a:blip>
                    <a:stretch>
                      <a:fillRect/>
                    </a:stretch>
                  </pic:blipFill>
                  <pic:spPr>
                    <a:xfrm>
                      <a:off x="0" y="0"/>
                      <a:ext cx="5364480" cy="1426845"/>
                    </a:xfrm>
                    <a:prstGeom prst="rect">
                      <a:avLst/>
                    </a:prstGeom>
                  </pic:spPr>
                </pic:pic>
              </a:graphicData>
            </a:graphic>
          </wp:inline>
        </w:drawing>
      </w:r>
    </w:p>
    <w:p w14:paraId="50F3AFBF" w14:textId="2FAA1585" w:rsidR="00553771" w:rsidRPr="003A4F68" w:rsidRDefault="00553771" w:rsidP="00256256">
      <w:pPr>
        <w:rPr>
          <w:rFonts w:ascii="Arial" w:hAnsi="Arial" w:cs="Arial"/>
          <w:noProof/>
          <w:sz w:val="22"/>
          <w:szCs w:val="22"/>
        </w:rPr>
      </w:pPr>
    </w:p>
    <w:p w14:paraId="2B084EB5" w14:textId="78C042DA" w:rsidR="00553771" w:rsidRPr="003A4F68" w:rsidRDefault="00553771" w:rsidP="00256256">
      <w:pPr>
        <w:rPr>
          <w:rFonts w:ascii="Arial" w:hAnsi="Arial" w:cs="Arial"/>
          <w:b/>
          <w:sz w:val="22"/>
          <w:szCs w:val="22"/>
        </w:rPr>
      </w:pPr>
      <w:r w:rsidRPr="003A4F68">
        <w:rPr>
          <w:rFonts w:ascii="Arial" w:hAnsi="Arial" w:cs="Arial"/>
          <w:noProof/>
          <w:sz w:val="22"/>
          <w:szCs w:val="22"/>
        </w:rPr>
        <w:drawing>
          <wp:inline distT="0" distB="0" distL="0" distR="0" wp14:anchorId="02D1A1E1" wp14:editId="33E7B044">
            <wp:extent cx="5486400" cy="2407156"/>
            <wp:effectExtent l="0" t="0" r="0"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407156"/>
                    </a:xfrm>
                    <a:prstGeom prst="rect">
                      <a:avLst/>
                    </a:prstGeom>
                  </pic:spPr>
                </pic:pic>
              </a:graphicData>
            </a:graphic>
          </wp:inline>
        </w:drawing>
      </w:r>
    </w:p>
    <w:p w14:paraId="5E4257A5" w14:textId="77777777" w:rsidR="00256256" w:rsidRPr="003A4F68" w:rsidRDefault="00256256" w:rsidP="00256256">
      <w:pPr>
        <w:rPr>
          <w:rFonts w:ascii="Arial" w:hAnsi="Arial" w:cs="Arial"/>
          <w:bCs/>
          <w:sz w:val="22"/>
          <w:szCs w:val="22"/>
        </w:rPr>
      </w:pPr>
    </w:p>
    <w:p w14:paraId="204FE6ED" w14:textId="2CE89530" w:rsidR="00553771" w:rsidRPr="003A4F68" w:rsidRDefault="00256256" w:rsidP="00553771">
      <w:pPr>
        <w:rPr>
          <w:rFonts w:ascii="Arial" w:hAnsi="Arial" w:cs="Arial"/>
          <w:bCs/>
          <w:sz w:val="22"/>
          <w:szCs w:val="22"/>
        </w:rPr>
      </w:pPr>
      <w:r w:rsidRPr="003A4F68">
        <w:rPr>
          <w:rFonts w:ascii="Arial" w:hAnsi="Arial" w:cs="Arial"/>
          <w:b/>
          <w:bCs/>
          <w:kern w:val="32"/>
          <w:sz w:val="22"/>
          <w:szCs w:val="22"/>
        </w:rPr>
        <w:t xml:space="preserve">Figure </w:t>
      </w:r>
      <w:r w:rsidR="00553771" w:rsidRPr="003A4F68">
        <w:rPr>
          <w:rFonts w:ascii="Arial" w:hAnsi="Arial" w:cs="Arial"/>
          <w:b/>
          <w:bCs/>
          <w:kern w:val="32"/>
          <w:sz w:val="22"/>
          <w:szCs w:val="22"/>
        </w:rPr>
        <w:t>S</w:t>
      </w:r>
      <w:r w:rsidR="00733DA9" w:rsidRPr="003A4F68">
        <w:rPr>
          <w:rFonts w:ascii="Arial" w:hAnsi="Arial" w:cs="Arial"/>
          <w:b/>
          <w:bCs/>
          <w:kern w:val="32"/>
          <w:sz w:val="22"/>
          <w:szCs w:val="22"/>
        </w:rPr>
        <w:t>6</w:t>
      </w:r>
      <w:r w:rsidRPr="003A4F68">
        <w:rPr>
          <w:rFonts w:ascii="Arial" w:hAnsi="Arial" w:cs="Arial"/>
          <w:bCs/>
          <w:sz w:val="22"/>
          <w:szCs w:val="22"/>
        </w:rPr>
        <w:t>: the generalization paradigm timeline included three phases ; (i) pre-acquisition-consisting in the absence of any shock US; (ii) acquisition-including with shock at an 80% reinforcement schedule; and (iii) generalization-including an early generalization (EG) stage and late generalization (LG) stage with shock US at a 33% reinforcement schedule to prevent extinction of the conditioned response.</w:t>
      </w:r>
      <w:r w:rsidR="00553771" w:rsidRPr="003A4F68">
        <w:rPr>
          <w:rFonts w:ascii="Arial" w:hAnsi="Arial" w:cs="Arial"/>
          <w:bCs/>
          <w:sz w:val="22"/>
          <w:szCs w:val="22"/>
        </w:rPr>
        <w:t xml:space="preserve"> </w:t>
      </w:r>
      <w:r w:rsidR="00553771" w:rsidRPr="003A4F68">
        <w:rPr>
          <w:rFonts w:ascii="Arial" w:hAnsi="Arial" w:cs="Arial"/>
          <w:sz w:val="22"/>
          <w:szCs w:val="22"/>
        </w:rPr>
        <w:t xml:space="preserve">Conditioning and generalization stimuli for counterbalancing groups A and B. Half of the participants were assigned to counterbalancing group A and half to B. For both counterbalancing groups A and B, GS3 consisted of the ring closest in size to CS., with GS2 and GS1 further decreasing in similarity to CS+. Ring diameters in centimeters (and visual angles) from smallest to largest were: 6.63 (0.938), 8.02(1.128), 9.38 (1.318), 10.98 (1.548) and 12.46 (1.758). </w:t>
      </w:r>
      <w:proofErr w:type="spellStart"/>
      <w:r w:rsidR="00553771" w:rsidRPr="003A4F68">
        <w:rPr>
          <w:rFonts w:ascii="Arial" w:hAnsi="Arial" w:cs="Arial"/>
          <w:sz w:val="22"/>
          <w:szCs w:val="22"/>
        </w:rPr>
        <w:t>vCS</w:t>
      </w:r>
      <w:proofErr w:type="spellEnd"/>
      <w:r w:rsidR="00553771" w:rsidRPr="003A4F68">
        <w:rPr>
          <w:rFonts w:ascii="Arial" w:hAnsi="Arial" w:cs="Arial"/>
          <w:sz w:val="22"/>
          <w:szCs w:val="22"/>
        </w:rPr>
        <w:t>-=</w:t>
      </w:r>
      <w:proofErr w:type="spellStart"/>
      <w:r w:rsidR="00553771" w:rsidRPr="003A4F68">
        <w:rPr>
          <w:rFonts w:ascii="Arial" w:hAnsi="Arial" w:cs="Arial"/>
          <w:sz w:val="22"/>
          <w:szCs w:val="22"/>
        </w:rPr>
        <w:t>v-shaped</w:t>
      </w:r>
      <w:proofErr w:type="spellEnd"/>
      <w:r w:rsidR="00553771" w:rsidRPr="003A4F68">
        <w:rPr>
          <w:rFonts w:ascii="Arial" w:hAnsi="Arial" w:cs="Arial"/>
          <w:sz w:val="22"/>
          <w:szCs w:val="22"/>
        </w:rPr>
        <w:t xml:space="preserve"> conditioned safety cue; oCS-=ring-shaped conditioned safety cue; GS1, GS2 and GS3.three classes of generalization stimuli; CS+=conditioned danger cue.</w:t>
      </w:r>
    </w:p>
    <w:p w14:paraId="78A65676" w14:textId="77777777" w:rsidR="00553771" w:rsidRPr="003A4F68" w:rsidRDefault="00553771" w:rsidP="00256256">
      <w:pPr>
        <w:rPr>
          <w:rFonts w:ascii="Arial" w:hAnsi="Arial" w:cs="Arial"/>
          <w:bCs/>
          <w:sz w:val="22"/>
          <w:szCs w:val="22"/>
        </w:rPr>
      </w:pPr>
    </w:p>
    <w:p w14:paraId="74B77500" w14:textId="77777777" w:rsidR="00256256" w:rsidRPr="003A4F68" w:rsidRDefault="00256256" w:rsidP="00256256">
      <w:pPr>
        <w:rPr>
          <w:rFonts w:ascii="Arial" w:hAnsi="Arial" w:cs="Arial"/>
          <w:bCs/>
          <w:sz w:val="22"/>
          <w:szCs w:val="22"/>
        </w:rPr>
      </w:pPr>
    </w:p>
    <w:p w14:paraId="419317AB" w14:textId="77777777" w:rsidR="009A5287" w:rsidRPr="003A4F68" w:rsidRDefault="009A5287" w:rsidP="00B9440A">
      <w:pPr>
        <w:pStyle w:val="SMcaption"/>
        <w:rPr>
          <w:rFonts w:ascii="Arial" w:hAnsi="Arial" w:cs="Arial"/>
          <w:sz w:val="22"/>
          <w:szCs w:val="22"/>
        </w:rPr>
      </w:pPr>
    </w:p>
    <w:p w14:paraId="46E07990" w14:textId="2758BE25" w:rsidR="00256256" w:rsidRPr="003A4F68" w:rsidRDefault="00256256" w:rsidP="00256256">
      <w:pPr>
        <w:pStyle w:val="SMHeading"/>
        <w:pageBreakBefore/>
        <w:rPr>
          <w:rFonts w:ascii="Arial" w:hAnsi="Arial" w:cs="Arial"/>
          <w:sz w:val="22"/>
          <w:szCs w:val="22"/>
        </w:rPr>
      </w:pPr>
      <w:r w:rsidRPr="003A4F68">
        <w:rPr>
          <w:rFonts w:ascii="Arial" w:hAnsi="Arial" w:cs="Arial"/>
          <w:sz w:val="22"/>
          <w:szCs w:val="22"/>
        </w:rPr>
        <w:lastRenderedPageBreak/>
        <w:t xml:space="preserve">Table </w:t>
      </w:r>
      <w:r w:rsidR="000F07CE" w:rsidRPr="003A4F68">
        <w:rPr>
          <w:rFonts w:ascii="Arial" w:hAnsi="Arial" w:cs="Arial"/>
          <w:sz w:val="22"/>
          <w:szCs w:val="22"/>
        </w:rPr>
        <w:t>S1</w:t>
      </w:r>
      <w:r w:rsidRPr="003A4F68">
        <w:rPr>
          <w:rFonts w:ascii="Arial" w:hAnsi="Arial" w:cs="Arial"/>
          <w:sz w:val="22"/>
          <w:szCs w:val="22"/>
        </w:rPr>
        <w:t>: Summary of Independent Component Regions of Interest</w:t>
      </w:r>
    </w:p>
    <w:p w14:paraId="2CA47489" w14:textId="77777777" w:rsidR="00256256" w:rsidRPr="003A4F68" w:rsidRDefault="00256256" w:rsidP="00256256">
      <w:pPr>
        <w:jc w:val="both"/>
        <w:rPr>
          <w:rFonts w:ascii="Arial" w:hAnsi="Arial" w:cs="Arial"/>
          <w:sz w:val="22"/>
          <w:szCs w:val="22"/>
        </w:rPr>
      </w:pPr>
    </w:p>
    <w:tbl>
      <w:tblPr>
        <w:tblW w:w="8720" w:type="dxa"/>
        <w:tblLook w:val="04A0" w:firstRow="1" w:lastRow="0" w:firstColumn="1" w:lastColumn="0" w:noHBand="0" w:noVBand="1"/>
      </w:tblPr>
      <w:tblGrid>
        <w:gridCol w:w="1060"/>
        <w:gridCol w:w="2260"/>
        <w:gridCol w:w="1620"/>
        <w:gridCol w:w="1350"/>
        <w:gridCol w:w="2430"/>
      </w:tblGrid>
      <w:tr w:rsidR="00256256" w:rsidRPr="003A4F68" w14:paraId="3A818AE4" w14:textId="77777777" w:rsidTr="00985F9F">
        <w:trPr>
          <w:trHeight w:val="340"/>
        </w:trPr>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1782D6"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 </w:t>
            </w:r>
          </w:p>
        </w:tc>
        <w:tc>
          <w:tcPr>
            <w:tcW w:w="2260" w:type="dxa"/>
            <w:tcBorders>
              <w:top w:val="single" w:sz="8" w:space="0" w:color="auto"/>
              <w:left w:val="nil"/>
              <w:bottom w:val="single" w:sz="8" w:space="0" w:color="auto"/>
              <w:right w:val="single" w:sz="4" w:space="0" w:color="auto"/>
            </w:tcBorders>
            <w:shd w:val="clear" w:color="auto" w:fill="auto"/>
            <w:noWrap/>
            <w:vAlign w:val="bottom"/>
            <w:hideMark/>
          </w:tcPr>
          <w:p w14:paraId="6D032820"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Area</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2D275268"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 xml:space="preserve"> Brodmann Area</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14:paraId="58912025"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volume (cc)</w:t>
            </w:r>
          </w:p>
        </w:tc>
        <w:tc>
          <w:tcPr>
            <w:tcW w:w="2430" w:type="dxa"/>
            <w:tcBorders>
              <w:top w:val="single" w:sz="8" w:space="0" w:color="auto"/>
              <w:left w:val="nil"/>
              <w:bottom w:val="single" w:sz="8" w:space="0" w:color="auto"/>
              <w:right w:val="single" w:sz="8" w:space="0" w:color="auto"/>
            </w:tcBorders>
            <w:shd w:val="clear" w:color="auto" w:fill="auto"/>
            <w:noWrap/>
            <w:vAlign w:val="bottom"/>
            <w:hideMark/>
          </w:tcPr>
          <w:p w14:paraId="528B0667"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peak MNI (x, y, z)</w:t>
            </w:r>
          </w:p>
        </w:tc>
      </w:tr>
      <w:tr w:rsidR="00256256" w:rsidRPr="003A4F68" w14:paraId="7470CA16" w14:textId="77777777" w:rsidTr="00985F9F">
        <w:trPr>
          <w:trHeight w:val="320"/>
        </w:trPr>
        <w:tc>
          <w:tcPr>
            <w:tcW w:w="10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6BA0EC5"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SN</w:t>
            </w:r>
          </w:p>
        </w:tc>
        <w:tc>
          <w:tcPr>
            <w:tcW w:w="2260" w:type="dxa"/>
            <w:tcBorders>
              <w:top w:val="nil"/>
              <w:left w:val="nil"/>
              <w:bottom w:val="single" w:sz="4" w:space="0" w:color="auto"/>
              <w:right w:val="single" w:sz="4" w:space="0" w:color="auto"/>
            </w:tcBorders>
            <w:shd w:val="clear" w:color="auto" w:fill="auto"/>
            <w:noWrap/>
            <w:vAlign w:val="bottom"/>
            <w:hideMark/>
          </w:tcPr>
          <w:p w14:paraId="7AD5490B"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Posterior Insula</w:t>
            </w:r>
          </w:p>
        </w:tc>
        <w:tc>
          <w:tcPr>
            <w:tcW w:w="1620" w:type="dxa"/>
            <w:tcBorders>
              <w:top w:val="nil"/>
              <w:left w:val="nil"/>
              <w:bottom w:val="single" w:sz="4" w:space="0" w:color="auto"/>
              <w:right w:val="single" w:sz="4" w:space="0" w:color="auto"/>
            </w:tcBorders>
            <w:shd w:val="clear" w:color="auto" w:fill="auto"/>
            <w:noWrap/>
            <w:vAlign w:val="bottom"/>
            <w:hideMark/>
          </w:tcPr>
          <w:p w14:paraId="63603503"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13, 22, 40</w:t>
            </w:r>
          </w:p>
        </w:tc>
        <w:tc>
          <w:tcPr>
            <w:tcW w:w="1350" w:type="dxa"/>
            <w:tcBorders>
              <w:top w:val="nil"/>
              <w:left w:val="nil"/>
              <w:bottom w:val="single" w:sz="4" w:space="0" w:color="auto"/>
              <w:right w:val="single" w:sz="4" w:space="0" w:color="auto"/>
            </w:tcBorders>
            <w:shd w:val="clear" w:color="auto" w:fill="auto"/>
            <w:noWrap/>
            <w:vAlign w:val="bottom"/>
            <w:hideMark/>
          </w:tcPr>
          <w:p w14:paraId="7CDEA467"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2.8/3.6</w:t>
            </w:r>
          </w:p>
        </w:tc>
        <w:tc>
          <w:tcPr>
            <w:tcW w:w="2430" w:type="dxa"/>
            <w:tcBorders>
              <w:top w:val="nil"/>
              <w:left w:val="nil"/>
              <w:bottom w:val="single" w:sz="4" w:space="0" w:color="auto"/>
              <w:right w:val="single" w:sz="8" w:space="0" w:color="auto"/>
            </w:tcBorders>
            <w:shd w:val="clear" w:color="auto" w:fill="auto"/>
            <w:noWrap/>
            <w:vAlign w:val="bottom"/>
            <w:hideMark/>
          </w:tcPr>
          <w:p w14:paraId="04560E57"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(-44, -16, 4)/(46, -14, 2)</w:t>
            </w:r>
          </w:p>
        </w:tc>
      </w:tr>
      <w:tr w:rsidR="00256256" w:rsidRPr="003A4F68" w14:paraId="77C9517F" w14:textId="77777777" w:rsidTr="00985F9F">
        <w:trPr>
          <w:trHeight w:val="340"/>
        </w:trPr>
        <w:tc>
          <w:tcPr>
            <w:tcW w:w="1060" w:type="dxa"/>
            <w:vMerge/>
            <w:tcBorders>
              <w:top w:val="single" w:sz="8" w:space="0" w:color="auto"/>
              <w:left w:val="single" w:sz="8" w:space="0" w:color="auto"/>
              <w:bottom w:val="single" w:sz="8" w:space="0" w:color="000000"/>
              <w:right w:val="single" w:sz="8" w:space="0" w:color="auto"/>
            </w:tcBorders>
            <w:vAlign w:val="center"/>
            <w:hideMark/>
          </w:tcPr>
          <w:p w14:paraId="2605ADD2" w14:textId="77777777" w:rsidR="00256256" w:rsidRPr="003A4F68" w:rsidRDefault="00256256" w:rsidP="00985F9F">
            <w:pPr>
              <w:rPr>
                <w:rFonts w:ascii="Arial" w:hAnsi="Arial" w:cs="Arial"/>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bottom"/>
            <w:hideMark/>
          </w:tcPr>
          <w:p w14:paraId="42EA26A2" w14:textId="77777777" w:rsidR="00256256" w:rsidRPr="003A4F68" w:rsidRDefault="00256256" w:rsidP="00985F9F">
            <w:pPr>
              <w:rPr>
                <w:rFonts w:ascii="Arial" w:hAnsi="Arial" w:cs="Arial"/>
                <w:color w:val="000000"/>
                <w:sz w:val="22"/>
                <w:szCs w:val="22"/>
              </w:rPr>
            </w:pPr>
            <w:proofErr w:type="spellStart"/>
            <w:r w:rsidRPr="003A4F68">
              <w:rPr>
                <w:rFonts w:ascii="Arial" w:hAnsi="Arial" w:cs="Arial"/>
                <w:color w:val="000000"/>
                <w:sz w:val="22"/>
                <w:szCs w:val="22"/>
              </w:rPr>
              <w:t>rACC</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2BD8EA6C"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24, 32</w:t>
            </w:r>
          </w:p>
        </w:tc>
        <w:tc>
          <w:tcPr>
            <w:tcW w:w="1350" w:type="dxa"/>
            <w:tcBorders>
              <w:top w:val="nil"/>
              <w:left w:val="nil"/>
              <w:bottom w:val="single" w:sz="4" w:space="0" w:color="auto"/>
              <w:right w:val="single" w:sz="4" w:space="0" w:color="auto"/>
            </w:tcBorders>
            <w:shd w:val="clear" w:color="auto" w:fill="auto"/>
            <w:noWrap/>
            <w:vAlign w:val="bottom"/>
            <w:hideMark/>
          </w:tcPr>
          <w:p w14:paraId="3BA5F558"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0.3/0.4</w:t>
            </w:r>
          </w:p>
        </w:tc>
        <w:tc>
          <w:tcPr>
            <w:tcW w:w="2430" w:type="dxa"/>
            <w:tcBorders>
              <w:top w:val="nil"/>
              <w:left w:val="nil"/>
              <w:bottom w:val="single" w:sz="4" w:space="0" w:color="auto"/>
              <w:right w:val="single" w:sz="8" w:space="0" w:color="auto"/>
            </w:tcBorders>
            <w:shd w:val="clear" w:color="auto" w:fill="auto"/>
            <w:noWrap/>
            <w:vAlign w:val="bottom"/>
            <w:hideMark/>
          </w:tcPr>
          <w:p w14:paraId="68C20F14"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(-4, 32, -8)/(2, 32, -10)</w:t>
            </w:r>
          </w:p>
        </w:tc>
      </w:tr>
      <w:tr w:rsidR="00256256" w:rsidRPr="003A4F68" w14:paraId="0D856A04" w14:textId="77777777" w:rsidTr="00985F9F">
        <w:trPr>
          <w:trHeight w:val="320"/>
        </w:trPr>
        <w:tc>
          <w:tcPr>
            <w:tcW w:w="10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48702C"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LECN</w:t>
            </w:r>
          </w:p>
        </w:tc>
        <w:tc>
          <w:tcPr>
            <w:tcW w:w="2260" w:type="dxa"/>
            <w:tcBorders>
              <w:top w:val="single" w:sz="8" w:space="0" w:color="auto"/>
              <w:left w:val="nil"/>
              <w:bottom w:val="single" w:sz="4" w:space="0" w:color="auto"/>
              <w:right w:val="single" w:sz="4" w:space="0" w:color="auto"/>
            </w:tcBorders>
            <w:shd w:val="clear" w:color="auto" w:fill="auto"/>
            <w:noWrap/>
            <w:vAlign w:val="bottom"/>
            <w:hideMark/>
          </w:tcPr>
          <w:p w14:paraId="5304055A"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Inferior Parietal Lobule</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5C4E1E78"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39, 40</w:t>
            </w:r>
          </w:p>
        </w:tc>
        <w:tc>
          <w:tcPr>
            <w:tcW w:w="1350" w:type="dxa"/>
            <w:tcBorders>
              <w:top w:val="single" w:sz="8" w:space="0" w:color="auto"/>
              <w:left w:val="nil"/>
              <w:bottom w:val="single" w:sz="4" w:space="0" w:color="auto"/>
              <w:right w:val="single" w:sz="4" w:space="0" w:color="auto"/>
            </w:tcBorders>
            <w:shd w:val="clear" w:color="auto" w:fill="auto"/>
            <w:noWrap/>
            <w:vAlign w:val="bottom"/>
            <w:hideMark/>
          </w:tcPr>
          <w:p w14:paraId="3BF3BF8E"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3.6/0.6</w:t>
            </w:r>
          </w:p>
        </w:tc>
        <w:tc>
          <w:tcPr>
            <w:tcW w:w="2430" w:type="dxa"/>
            <w:tcBorders>
              <w:top w:val="single" w:sz="8" w:space="0" w:color="auto"/>
              <w:left w:val="nil"/>
              <w:bottom w:val="single" w:sz="4" w:space="0" w:color="auto"/>
              <w:right w:val="single" w:sz="8" w:space="0" w:color="auto"/>
            </w:tcBorders>
            <w:shd w:val="clear" w:color="auto" w:fill="auto"/>
            <w:noWrap/>
            <w:vAlign w:val="bottom"/>
            <w:hideMark/>
          </w:tcPr>
          <w:p w14:paraId="11087BE3"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(-54, -62, 40)/(58, -56, 40)</w:t>
            </w:r>
          </w:p>
        </w:tc>
      </w:tr>
      <w:tr w:rsidR="00256256" w:rsidRPr="003A4F68" w14:paraId="1F05AC1E" w14:textId="77777777" w:rsidTr="00985F9F">
        <w:trPr>
          <w:trHeight w:val="340"/>
        </w:trPr>
        <w:tc>
          <w:tcPr>
            <w:tcW w:w="1060" w:type="dxa"/>
            <w:vMerge/>
            <w:tcBorders>
              <w:top w:val="nil"/>
              <w:left w:val="single" w:sz="8" w:space="0" w:color="auto"/>
              <w:bottom w:val="single" w:sz="8" w:space="0" w:color="000000"/>
              <w:right w:val="single" w:sz="8" w:space="0" w:color="auto"/>
            </w:tcBorders>
            <w:vAlign w:val="center"/>
            <w:hideMark/>
          </w:tcPr>
          <w:p w14:paraId="5240D7EB" w14:textId="77777777" w:rsidR="00256256" w:rsidRPr="003A4F68" w:rsidRDefault="00256256" w:rsidP="00985F9F">
            <w:pPr>
              <w:rPr>
                <w:rFonts w:ascii="Arial" w:hAnsi="Arial" w:cs="Arial"/>
                <w:color w:val="000000"/>
                <w:sz w:val="22"/>
                <w:szCs w:val="22"/>
              </w:rPr>
            </w:pPr>
          </w:p>
        </w:tc>
        <w:tc>
          <w:tcPr>
            <w:tcW w:w="2260" w:type="dxa"/>
            <w:tcBorders>
              <w:top w:val="nil"/>
              <w:left w:val="nil"/>
              <w:bottom w:val="single" w:sz="8" w:space="0" w:color="auto"/>
              <w:right w:val="single" w:sz="4" w:space="0" w:color="auto"/>
            </w:tcBorders>
            <w:shd w:val="clear" w:color="auto" w:fill="auto"/>
            <w:noWrap/>
            <w:vAlign w:val="bottom"/>
            <w:hideMark/>
          </w:tcPr>
          <w:p w14:paraId="1CA8429E"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Middle Frontal Gyrus</w:t>
            </w:r>
          </w:p>
        </w:tc>
        <w:tc>
          <w:tcPr>
            <w:tcW w:w="1620" w:type="dxa"/>
            <w:tcBorders>
              <w:top w:val="nil"/>
              <w:left w:val="nil"/>
              <w:bottom w:val="single" w:sz="8" w:space="0" w:color="auto"/>
              <w:right w:val="single" w:sz="4" w:space="0" w:color="auto"/>
            </w:tcBorders>
            <w:shd w:val="clear" w:color="auto" w:fill="auto"/>
            <w:noWrap/>
            <w:vAlign w:val="bottom"/>
            <w:hideMark/>
          </w:tcPr>
          <w:p w14:paraId="7E105E9E"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8, 9</w:t>
            </w:r>
          </w:p>
        </w:tc>
        <w:tc>
          <w:tcPr>
            <w:tcW w:w="1350" w:type="dxa"/>
            <w:tcBorders>
              <w:top w:val="nil"/>
              <w:left w:val="nil"/>
              <w:bottom w:val="single" w:sz="8" w:space="0" w:color="auto"/>
              <w:right w:val="single" w:sz="4" w:space="0" w:color="auto"/>
            </w:tcBorders>
            <w:shd w:val="clear" w:color="auto" w:fill="auto"/>
            <w:noWrap/>
            <w:vAlign w:val="bottom"/>
            <w:hideMark/>
          </w:tcPr>
          <w:p w14:paraId="550ACE94"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1.3/0.0</w:t>
            </w:r>
          </w:p>
        </w:tc>
        <w:tc>
          <w:tcPr>
            <w:tcW w:w="2430" w:type="dxa"/>
            <w:tcBorders>
              <w:top w:val="nil"/>
              <w:left w:val="nil"/>
              <w:bottom w:val="single" w:sz="8" w:space="0" w:color="auto"/>
              <w:right w:val="single" w:sz="8" w:space="0" w:color="auto"/>
            </w:tcBorders>
            <w:shd w:val="clear" w:color="auto" w:fill="auto"/>
            <w:noWrap/>
            <w:vAlign w:val="bottom"/>
            <w:hideMark/>
          </w:tcPr>
          <w:p w14:paraId="1AA3F549"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(-46, 22, 44)/(0, 0, 0)</w:t>
            </w:r>
          </w:p>
        </w:tc>
      </w:tr>
      <w:tr w:rsidR="00256256" w:rsidRPr="003A4F68" w14:paraId="629DA3D2" w14:textId="77777777" w:rsidTr="00985F9F">
        <w:trPr>
          <w:trHeight w:val="320"/>
        </w:trPr>
        <w:tc>
          <w:tcPr>
            <w:tcW w:w="10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A8B00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RECN</w:t>
            </w:r>
          </w:p>
        </w:tc>
        <w:tc>
          <w:tcPr>
            <w:tcW w:w="2260" w:type="dxa"/>
            <w:tcBorders>
              <w:top w:val="nil"/>
              <w:left w:val="nil"/>
              <w:bottom w:val="single" w:sz="4" w:space="0" w:color="auto"/>
              <w:right w:val="single" w:sz="4" w:space="0" w:color="auto"/>
            </w:tcBorders>
            <w:shd w:val="clear" w:color="auto" w:fill="auto"/>
            <w:noWrap/>
            <w:vAlign w:val="bottom"/>
            <w:hideMark/>
          </w:tcPr>
          <w:p w14:paraId="5D75A7B3"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Inferior Parietal Lobule</w:t>
            </w:r>
          </w:p>
        </w:tc>
        <w:tc>
          <w:tcPr>
            <w:tcW w:w="1620" w:type="dxa"/>
            <w:tcBorders>
              <w:top w:val="nil"/>
              <w:left w:val="nil"/>
              <w:bottom w:val="single" w:sz="4" w:space="0" w:color="auto"/>
              <w:right w:val="single" w:sz="4" w:space="0" w:color="auto"/>
            </w:tcBorders>
            <w:shd w:val="clear" w:color="auto" w:fill="auto"/>
            <w:noWrap/>
            <w:vAlign w:val="bottom"/>
            <w:hideMark/>
          </w:tcPr>
          <w:p w14:paraId="05AF6FD9"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7, 39, 40</w:t>
            </w:r>
          </w:p>
        </w:tc>
        <w:tc>
          <w:tcPr>
            <w:tcW w:w="1350" w:type="dxa"/>
            <w:tcBorders>
              <w:top w:val="nil"/>
              <w:left w:val="nil"/>
              <w:bottom w:val="single" w:sz="4" w:space="0" w:color="auto"/>
              <w:right w:val="single" w:sz="4" w:space="0" w:color="auto"/>
            </w:tcBorders>
            <w:shd w:val="clear" w:color="auto" w:fill="auto"/>
            <w:noWrap/>
            <w:vAlign w:val="bottom"/>
            <w:hideMark/>
          </w:tcPr>
          <w:p w14:paraId="366287F0"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0.1/6.2</w:t>
            </w:r>
          </w:p>
        </w:tc>
        <w:tc>
          <w:tcPr>
            <w:tcW w:w="2430" w:type="dxa"/>
            <w:tcBorders>
              <w:top w:val="nil"/>
              <w:left w:val="nil"/>
              <w:bottom w:val="single" w:sz="4" w:space="0" w:color="auto"/>
              <w:right w:val="single" w:sz="8" w:space="0" w:color="auto"/>
            </w:tcBorders>
            <w:shd w:val="clear" w:color="auto" w:fill="auto"/>
            <w:noWrap/>
            <w:vAlign w:val="bottom"/>
            <w:hideMark/>
          </w:tcPr>
          <w:p w14:paraId="7D05CD30"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(-50, -62, 44)/(50, -54, 52)</w:t>
            </w:r>
          </w:p>
        </w:tc>
      </w:tr>
      <w:tr w:rsidR="00256256" w:rsidRPr="003A4F68" w14:paraId="6CF80E18" w14:textId="77777777" w:rsidTr="00985F9F">
        <w:trPr>
          <w:trHeight w:val="320"/>
        </w:trPr>
        <w:tc>
          <w:tcPr>
            <w:tcW w:w="1060" w:type="dxa"/>
            <w:vMerge/>
            <w:tcBorders>
              <w:top w:val="nil"/>
              <w:left w:val="single" w:sz="8" w:space="0" w:color="auto"/>
              <w:bottom w:val="single" w:sz="8" w:space="0" w:color="000000"/>
              <w:right w:val="single" w:sz="8" w:space="0" w:color="auto"/>
            </w:tcBorders>
            <w:vAlign w:val="center"/>
            <w:hideMark/>
          </w:tcPr>
          <w:p w14:paraId="54A29305" w14:textId="77777777" w:rsidR="00256256" w:rsidRPr="003A4F68" w:rsidRDefault="00256256" w:rsidP="00985F9F">
            <w:pPr>
              <w:rPr>
                <w:rFonts w:ascii="Arial" w:hAnsi="Arial" w:cs="Arial"/>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bottom"/>
            <w:hideMark/>
          </w:tcPr>
          <w:p w14:paraId="7BEEF796"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Superior Parietal Lobule</w:t>
            </w:r>
          </w:p>
        </w:tc>
        <w:tc>
          <w:tcPr>
            <w:tcW w:w="1620" w:type="dxa"/>
            <w:tcBorders>
              <w:top w:val="nil"/>
              <w:left w:val="nil"/>
              <w:bottom w:val="single" w:sz="4" w:space="0" w:color="auto"/>
              <w:right w:val="single" w:sz="4" w:space="0" w:color="auto"/>
            </w:tcBorders>
            <w:shd w:val="clear" w:color="auto" w:fill="auto"/>
            <w:noWrap/>
            <w:vAlign w:val="bottom"/>
            <w:hideMark/>
          </w:tcPr>
          <w:p w14:paraId="199D2E5B"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7</w:t>
            </w:r>
          </w:p>
        </w:tc>
        <w:tc>
          <w:tcPr>
            <w:tcW w:w="1350" w:type="dxa"/>
            <w:tcBorders>
              <w:top w:val="nil"/>
              <w:left w:val="nil"/>
              <w:bottom w:val="single" w:sz="4" w:space="0" w:color="auto"/>
              <w:right w:val="single" w:sz="4" w:space="0" w:color="auto"/>
            </w:tcBorders>
            <w:shd w:val="clear" w:color="auto" w:fill="auto"/>
            <w:noWrap/>
            <w:vAlign w:val="bottom"/>
            <w:hideMark/>
          </w:tcPr>
          <w:p w14:paraId="3E080C16"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0.0/0.6</w:t>
            </w:r>
          </w:p>
        </w:tc>
        <w:tc>
          <w:tcPr>
            <w:tcW w:w="2430" w:type="dxa"/>
            <w:tcBorders>
              <w:top w:val="nil"/>
              <w:left w:val="nil"/>
              <w:bottom w:val="single" w:sz="4" w:space="0" w:color="auto"/>
              <w:right w:val="single" w:sz="8" w:space="0" w:color="auto"/>
            </w:tcBorders>
            <w:shd w:val="clear" w:color="auto" w:fill="auto"/>
            <w:noWrap/>
            <w:vAlign w:val="bottom"/>
            <w:hideMark/>
          </w:tcPr>
          <w:p w14:paraId="55C47637"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 0, 0)/(42, -64, 50)</w:t>
            </w:r>
          </w:p>
        </w:tc>
      </w:tr>
      <w:tr w:rsidR="00256256" w:rsidRPr="003A4F68" w14:paraId="5A0AA5DB" w14:textId="77777777" w:rsidTr="00985F9F">
        <w:trPr>
          <w:trHeight w:val="340"/>
        </w:trPr>
        <w:tc>
          <w:tcPr>
            <w:tcW w:w="1060" w:type="dxa"/>
            <w:vMerge/>
            <w:tcBorders>
              <w:top w:val="nil"/>
              <w:left w:val="single" w:sz="8" w:space="0" w:color="auto"/>
              <w:bottom w:val="single" w:sz="8" w:space="0" w:color="000000"/>
              <w:right w:val="single" w:sz="8" w:space="0" w:color="auto"/>
            </w:tcBorders>
            <w:vAlign w:val="center"/>
            <w:hideMark/>
          </w:tcPr>
          <w:p w14:paraId="0341A110" w14:textId="77777777" w:rsidR="00256256" w:rsidRPr="003A4F68" w:rsidRDefault="00256256" w:rsidP="00985F9F">
            <w:pPr>
              <w:rPr>
                <w:rFonts w:ascii="Arial" w:hAnsi="Arial" w:cs="Arial"/>
                <w:color w:val="000000"/>
                <w:sz w:val="22"/>
                <w:szCs w:val="22"/>
              </w:rPr>
            </w:pPr>
          </w:p>
        </w:tc>
        <w:tc>
          <w:tcPr>
            <w:tcW w:w="2260" w:type="dxa"/>
            <w:tcBorders>
              <w:top w:val="nil"/>
              <w:left w:val="nil"/>
              <w:bottom w:val="nil"/>
              <w:right w:val="single" w:sz="4" w:space="0" w:color="auto"/>
            </w:tcBorders>
            <w:shd w:val="clear" w:color="auto" w:fill="auto"/>
            <w:noWrap/>
            <w:vAlign w:val="bottom"/>
            <w:hideMark/>
          </w:tcPr>
          <w:p w14:paraId="07CC9D7C"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Superior Frontal Gyrus</w:t>
            </w:r>
          </w:p>
        </w:tc>
        <w:tc>
          <w:tcPr>
            <w:tcW w:w="1620" w:type="dxa"/>
            <w:tcBorders>
              <w:top w:val="nil"/>
              <w:left w:val="nil"/>
              <w:bottom w:val="nil"/>
              <w:right w:val="single" w:sz="4" w:space="0" w:color="auto"/>
            </w:tcBorders>
            <w:shd w:val="clear" w:color="auto" w:fill="auto"/>
            <w:noWrap/>
            <w:vAlign w:val="bottom"/>
            <w:hideMark/>
          </w:tcPr>
          <w:p w14:paraId="4FC25A24"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9, 10</w:t>
            </w:r>
          </w:p>
        </w:tc>
        <w:tc>
          <w:tcPr>
            <w:tcW w:w="1350" w:type="dxa"/>
            <w:tcBorders>
              <w:top w:val="nil"/>
              <w:left w:val="nil"/>
              <w:bottom w:val="nil"/>
              <w:right w:val="single" w:sz="4" w:space="0" w:color="auto"/>
            </w:tcBorders>
            <w:shd w:val="clear" w:color="auto" w:fill="auto"/>
            <w:noWrap/>
            <w:vAlign w:val="bottom"/>
            <w:hideMark/>
          </w:tcPr>
          <w:p w14:paraId="6E08FB78"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0.0/0.3</w:t>
            </w:r>
          </w:p>
        </w:tc>
        <w:tc>
          <w:tcPr>
            <w:tcW w:w="2430" w:type="dxa"/>
            <w:tcBorders>
              <w:top w:val="nil"/>
              <w:left w:val="nil"/>
              <w:bottom w:val="nil"/>
              <w:right w:val="single" w:sz="8" w:space="0" w:color="auto"/>
            </w:tcBorders>
            <w:shd w:val="clear" w:color="auto" w:fill="auto"/>
            <w:noWrap/>
            <w:vAlign w:val="bottom"/>
            <w:hideMark/>
          </w:tcPr>
          <w:p w14:paraId="69A42ACB"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 0, 0)/(34, 62, -4)</w:t>
            </w:r>
          </w:p>
        </w:tc>
      </w:tr>
      <w:tr w:rsidR="00256256" w:rsidRPr="003A4F68" w14:paraId="3AB1644C" w14:textId="77777777" w:rsidTr="00985F9F">
        <w:trPr>
          <w:trHeight w:val="320"/>
        </w:trPr>
        <w:tc>
          <w:tcPr>
            <w:tcW w:w="10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89A2E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a-DMN</w:t>
            </w:r>
          </w:p>
        </w:tc>
        <w:tc>
          <w:tcPr>
            <w:tcW w:w="2260" w:type="dxa"/>
            <w:tcBorders>
              <w:top w:val="single" w:sz="8" w:space="0" w:color="auto"/>
              <w:left w:val="nil"/>
              <w:bottom w:val="single" w:sz="4" w:space="0" w:color="auto"/>
              <w:right w:val="single" w:sz="4" w:space="0" w:color="auto"/>
            </w:tcBorders>
            <w:shd w:val="clear" w:color="auto" w:fill="auto"/>
            <w:noWrap/>
            <w:vAlign w:val="bottom"/>
            <w:hideMark/>
          </w:tcPr>
          <w:p w14:paraId="6C3BDB79"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Medial Frontal Gyrus</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4F5FA372"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6, 9, 10</w:t>
            </w:r>
          </w:p>
        </w:tc>
        <w:tc>
          <w:tcPr>
            <w:tcW w:w="1350" w:type="dxa"/>
            <w:tcBorders>
              <w:top w:val="single" w:sz="8" w:space="0" w:color="auto"/>
              <w:left w:val="nil"/>
              <w:bottom w:val="single" w:sz="4" w:space="0" w:color="auto"/>
              <w:right w:val="single" w:sz="4" w:space="0" w:color="auto"/>
            </w:tcBorders>
            <w:shd w:val="clear" w:color="auto" w:fill="auto"/>
            <w:noWrap/>
            <w:vAlign w:val="bottom"/>
            <w:hideMark/>
          </w:tcPr>
          <w:p w14:paraId="230E3B3C"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2.2/1.6</w:t>
            </w:r>
          </w:p>
        </w:tc>
        <w:tc>
          <w:tcPr>
            <w:tcW w:w="2430" w:type="dxa"/>
            <w:tcBorders>
              <w:top w:val="single" w:sz="8" w:space="0" w:color="auto"/>
              <w:left w:val="nil"/>
              <w:bottom w:val="single" w:sz="4" w:space="0" w:color="auto"/>
              <w:right w:val="single" w:sz="8" w:space="0" w:color="auto"/>
            </w:tcBorders>
            <w:shd w:val="clear" w:color="auto" w:fill="auto"/>
            <w:noWrap/>
            <w:vAlign w:val="bottom"/>
            <w:hideMark/>
          </w:tcPr>
          <w:p w14:paraId="74033912"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(-2, 64, 24)/(6, 62, 24)</w:t>
            </w:r>
          </w:p>
        </w:tc>
      </w:tr>
      <w:tr w:rsidR="00256256" w:rsidRPr="003A4F68" w14:paraId="03D2459B" w14:textId="77777777" w:rsidTr="00985F9F">
        <w:trPr>
          <w:trHeight w:val="320"/>
        </w:trPr>
        <w:tc>
          <w:tcPr>
            <w:tcW w:w="1060" w:type="dxa"/>
            <w:vMerge/>
            <w:tcBorders>
              <w:top w:val="nil"/>
              <w:left w:val="single" w:sz="8" w:space="0" w:color="auto"/>
              <w:bottom w:val="single" w:sz="8" w:space="0" w:color="000000"/>
              <w:right w:val="single" w:sz="8" w:space="0" w:color="auto"/>
            </w:tcBorders>
            <w:vAlign w:val="center"/>
            <w:hideMark/>
          </w:tcPr>
          <w:p w14:paraId="42617BB8" w14:textId="77777777" w:rsidR="00256256" w:rsidRPr="003A4F68" w:rsidRDefault="00256256" w:rsidP="00985F9F">
            <w:pPr>
              <w:rPr>
                <w:rFonts w:ascii="Arial" w:hAnsi="Arial" w:cs="Arial"/>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bottom"/>
            <w:hideMark/>
          </w:tcPr>
          <w:p w14:paraId="30D41FF4"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Superior Frontal Gyrus</w:t>
            </w:r>
          </w:p>
        </w:tc>
        <w:tc>
          <w:tcPr>
            <w:tcW w:w="1620" w:type="dxa"/>
            <w:tcBorders>
              <w:top w:val="nil"/>
              <w:left w:val="nil"/>
              <w:bottom w:val="single" w:sz="4" w:space="0" w:color="auto"/>
              <w:right w:val="single" w:sz="4" w:space="0" w:color="auto"/>
            </w:tcBorders>
            <w:shd w:val="clear" w:color="auto" w:fill="auto"/>
            <w:noWrap/>
            <w:vAlign w:val="bottom"/>
            <w:hideMark/>
          </w:tcPr>
          <w:p w14:paraId="54DAB2E0"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9, 10</w:t>
            </w:r>
          </w:p>
        </w:tc>
        <w:tc>
          <w:tcPr>
            <w:tcW w:w="1350" w:type="dxa"/>
            <w:tcBorders>
              <w:top w:val="nil"/>
              <w:left w:val="nil"/>
              <w:bottom w:val="single" w:sz="4" w:space="0" w:color="auto"/>
              <w:right w:val="single" w:sz="4" w:space="0" w:color="auto"/>
            </w:tcBorders>
            <w:shd w:val="clear" w:color="auto" w:fill="auto"/>
            <w:noWrap/>
            <w:vAlign w:val="bottom"/>
            <w:hideMark/>
          </w:tcPr>
          <w:p w14:paraId="650D100B"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3.8/4.0</w:t>
            </w:r>
          </w:p>
        </w:tc>
        <w:tc>
          <w:tcPr>
            <w:tcW w:w="2430" w:type="dxa"/>
            <w:tcBorders>
              <w:top w:val="nil"/>
              <w:left w:val="nil"/>
              <w:bottom w:val="single" w:sz="4" w:space="0" w:color="auto"/>
              <w:right w:val="single" w:sz="8" w:space="0" w:color="auto"/>
            </w:tcBorders>
            <w:shd w:val="clear" w:color="auto" w:fill="auto"/>
            <w:noWrap/>
            <w:vAlign w:val="bottom"/>
            <w:hideMark/>
          </w:tcPr>
          <w:p w14:paraId="412D5993"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(-4, 62, 30)/(10, 64, 30)</w:t>
            </w:r>
          </w:p>
        </w:tc>
      </w:tr>
      <w:tr w:rsidR="00256256" w:rsidRPr="003A4F68" w14:paraId="7D4093F6" w14:textId="77777777" w:rsidTr="00985F9F">
        <w:trPr>
          <w:trHeight w:val="340"/>
        </w:trPr>
        <w:tc>
          <w:tcPr>
            <w:tcW w:w="1060" w:type="dxa"/>
            <w:vMerge/>
            <w:tcBorders>
              <w:top w:val="nil"/>
              <w:left w:val="single" w:sz="8" w:space="0" w:color="auto"/>
              <w:bottom w:val="single" w:sz="8" w:space="0" w:color="000000"/>
              <w:right w:val="single" w:sz="8" w:space="0" w:color="auto"/>
            </w:tcBorders>
            <w:vAlign w:val="center"/>
            <w:hideMark/>
          </w:tcPr>
          <w:p w14:paraId="34C4FFAF" w14:textId="77777777" w:rsidR="00256256" w:rsidRPr="003A4F68" w:rsidRDefault="00256256" w:rsidP="00985F9F">
            <w:pPr>
              <w:rPr>
                <w:rFonts w:ascii="Arial" w:hAnsi="Arial" w:cs="Arial"/>
                <w:color w:val="000000"/>
                <w:sz w:val="22"/>
                <w:szCs w:val="22"/>
              </w:rPr>
            </w:pPr>
          </w:p>
        </w:tc>
        <w:tc>
          <w:tcPr>
            <w:tcW w:w="2260" w:type="dxa"/>
            <w:tcBorders>
              <w:top w:val="nil"/>
              <w:left w:val="nil"/>
              <w:bottom w:val="single" w:sz="8" w:space="0" w:color="auto"/>
              <w:right w:val="single" w:sz="4" w:space="0" w:color="auto"/>
            </w:tcBorders>
            <w:shd w:val="clear" w:color="auto" w:fill="auto"/>
            <w:noWrap/>
            <w:vAlign w:val="bottom"/>
            <w:hideMark/>
          </w:tcPr>
          <w:p w14:paraId="0491B525"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Middle Frontal Gyrus</w:t>
            </w:r>
          </w:p>
        </w:tc>
        <w:tc>
          <w:tcPr>
            <w:tcW w:w="1620" w:type="dxa"/>
            <w:tcBorders>
              <w:top w:val="nil"/>
              <w:left w:val="nil"/>
              <w:bottom w:val="single" w:sz="8" w:space="0" w:color="auto"/>
              <w:right w:val="single" w:sz="4" w:space="0" w:color="auto"/>
            </w:tcBorders>
            <w:shd w:val="clear" w:color="auto" w:fill="auto"/>
            <w:noWrap/>
            <w:vAlign w:val="bottom"/>
            <w:hideMark/>
          </w:tcPr>
          <w:p w14:paraId="64DEF460"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w:t>
            </w:r>
          </w:p>
        </w:tc>
        <w:tc>
          <w:tcPr>
            <w:tcW w:w="1350" w:type="dxa"/>
            <w:tcBorders>
              <w:top w:val="nil"/>
              <w:left w:val="nil"/>
              <w:bottom w:val="single" w:sz="8" w:space="0" w:color="auto"/>
              <w:right w:val="single" w:sz="4" w:space="0" w:color="auto"/>
            </w:tcBorders>
            <w:shd w:val="clear" w:color="auto" w:fill="auto"/>
            <w:noWrap/>
            <w:vAlign w:val="bottom"/>
            <w:hideMark/>
          </w:tcPr>
          <w:p w14:paraId="5851FFF5"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0.0/0.3</w:t>
            </w:r>
          </w:p>
        </w:tc>
        <w:tc>
          <w:tcPr>
            <w:tcW w:w="2430" w:type="dxa"/>
            <w:tcBorders>
              <w:top w:val="nil"/>
              <w:left w:val="nil"/>
              <w:bottom w:val="single" w:sz="8" w:space="0" w:color="auto"/>
              <w:right w:val="single" w:sz="8" w:space="0" w:color="auto"/>
            </w:tcBorders>
            <w:shd w:val="clear" w:color="auto" w:fill="auto"/>
            <w:noWrap/>
            <w:vAlign w:val="bottom"/>
            <w:hideMark/>
          </w:tcPr>
          <w:p w14:paraId="5CD54839"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 0, 0)/(22, 62, 24)</w:t>
            </w:r>
          </w:p>
        </w:tc>
      </w:tr>
      <w:tr w:rsidR="00256256" w:rsidRPr="003A4F68" w14:paraId="0DB5A895" w14:textId="77777777" w:rsidTr="00985F9F">
        <w:trPr>
          <w:trHeight w:val="320"/>
        </w:trPr>
        <w:tc>
          <w:tcPr>
            <w:tcW w:w="10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793BB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p-DMN</w:t>
            </w:r>
          </w:p>
        </w:tc>
        <w:tc>
          <w:tcPr>
            <w:tcW w:w="2260" w:type="dxa"/>
            <w:tcBorders>
              <w:top w:val="nil"/>
              <w:left w:val="nil"/>
              <w:bottom w:val="single" w:sz="4" w:space="0" w:color="auto"/>
              <w:right w:val="single" w:sz="4" w:space="0" w:color="auto"/>
            </w:tcBorders>
            <w:shd w:val="clear" w:color="auto" w:fill="auto"/>
            <w:noWrap/>
            <w:vAlign w:val="bottom"/>
            <w:hideMark/>
          </w:tcPr>
          <w:p w14:paraId="12F5360D"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Posterior Cingulate</w:t>
            </w:r>
          </w:p>
        </w:tc>
        <w:tc>
          <w:tcPr>
            <w:tcW w:w="1620" w:type="dxa"/>
            <w:tcBorders>
              <w:top w:val="nil"/>
              <w:left w:val="nil"/>
              <w:bottom w:val="single" w:sz="4" w:space="0" w:color="auto"/>
              <w:right w:val="single" w:sz="4" w:space="0" w:color="auto"/>
            </w:tcBorders>
            <w:shd w:val="clear" w:color="auto" w:fill="auto"/>
            <w:noWrap/>
            <w:vAlign w:val="bottom"/>
            <w:hideMark/>
          </w:tcPr>
          <w:p w14:paraId="64273E47"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23, 29, 30, 31</w:t>
            </w:r>
          </w:p>
        </w:tc>
        <w:tc>
          <w:tcPr>
            <w:tcW w:w="1350" w:type="dxa"/>
            <w:tcBorders>
              <w:top w:val="nil"/>
              <w:left w:val="nil"/>
              <w:bottom w:val="single" w:sz="4" w:space="0" w:color="auto"/>
              <w:right w:val="single" w:sz="4" w:space="0" w:color="auto"/>
            </w:tcBorders>
            <w:shd w:val="clear" w:color="auto" w:fill="auto"/>
            <w:noWrap/>
            <w:vAlign w:val="bottom"/>
            <w:hideMark/>
          </w:tcPr>
          <w:p w14:paraId="508D146A"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1.9/1.5</w:t>
            </w:r>
          </w:p>
        </w:tc>
        <w:tc>
          <w:tcPr>
            <w:tcW w:w="2430" w:type="dxa"/>
            <w:tcBorders>
              <w:top w:val="nil"/>
              <w:left w:val="nil"/>
              <w:bottom w:val="single" w:sz="4" w:space="0" w:color="auto"/>
              <w:right w:val="single" w:sz="8" w:space="0" w:color="auto"/>
            </w:tcBorders>
            <w:shd w:val="clear" w:color="auto" w:fill="auto"/>
            <w:noWrap/>
            <w:vAlign w:val="bottom"/>
            <w:hideMark/>
          </w:tcPr>
          <w:p w14:paraId="4F55128E"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 -52, 20)/(4, -44, 20)</w:t>
            </w:r>
          </w:p>
        </w:tc>
      </w:tr>
      <w:tr w:rsidR="00256256" w:rsidRPr="003A4F68" w14:paraId="4468AFE4" w14:textId="77777777" w:rsidTr="00985F9F">
        <w:trPr>
          <w:trHeight w:val="320"/>
        </w:trPr>
        <w:tc>
          <w:tcPr>
            <w:tcW w:w="1060" w:type="dxa"/>
            <w:vMerge/>
            <w:tcBorders>
              <w:top w:val="nil"/>
              <w:left w:val="single" w:sz="8" w:space="0" w:color="auto"/>
              <w:bottom w:val="single" w:sz="8" w:space="0" w:color="000000"/>
              <w:right w:val="single" w:sz="8" w:space="0" w:color="auto"/>
            </w:tcBorders>
            <w:vAlign w:val="center"/>
            <w:hideMark/>
          </w:tcPr>
          <w:p w14:paraId="0D110B30" w14:textId="77777777" w:rsidR="00256256" w:rsidRPr="003A4F68" w:rsidRDefault="00256256" w:rsidP="00985F9F">
            <w:pPr>
              <w:rPr>
                <w:rFonts w:ascii="Arial" w:hAnsi="Arial" w:cs="Arial"/>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bottom"/>
            <w:hideMark/>
          </w:tcPr>
          <w:p w14:paraId="61E6E69C"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Cingulate Gyrus</w:t>
            </w:r>
          </w:p>
        </w:tc>
        <w:tc>
          <w:tcPr>
            <w:tcW w:w="1620" w:type="dxa"/>
            <w:tcBorders>
              <w:top w:val="nil"/>
              <w:left w:val="nil"/>
              <w:bottom w:val="single" w:sz="4" w:space="0" w:color="auto"/>
              <w:right w:val="single" w:sz="4" w:space="0" w:color="auto"/>
            </w:tcBorders>
            <w:shd w:val="clear" w:color="auto" w:fill="auto"/>
            <w:noWrap/>
            <w:vAlign w:val="bottom"/>
            <w:hideMark/>
          </w:tcPr>
          <w:p w14:paraId="7229D505"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23, 31</w:t>
            </w:r>
          </w:p>
        </w:tc>
        <w:tc>
          <w:tcPr>
            <w:tcW w:w="1350" w:type="dxa"/>
            <w:tcBorders>
              <w:top w:val="nil"/>
              <w:left w:val="nil"/>
              <w:bottom w:val="single" w:sz="4" w:space="0" w:color="auto"/>
              <w:right w:val="single" w:sz="4" w:space="0" w:color="auto"/>
            </w:tcBorders>
            <w:shd w:val="clear" w:color="auto" w:fill="auto"/>
            <w:noWrap/>
            <w:vAlign w:val="bottom"/>
            <w:hideMark/>
          </w:tcPr>
          <w:p w14:paraId="49DE25AA"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2.3/1.3</w:t>
            </w:r>
          </w:p>
        </w:tc>
        <w:tc>
          <w:tcPr>
            <w:tcW w:w="2430" w:type="dxa"/>
            <w:tcBorders>
              <w:top w:val="nil"/>
              <w:left w:val="nil"/>
              <w:bottom w:val="single" w:sz="4" w:space="0" w:color="auto"/>
              <w:right w:val="single" w:sz="8" w:space="0" w:color="auto"/>
            </w:tcBorders>
            <w:shd w:val="clear" w:color="auto" w:fill="auto"/>
            <w:noWrap/>
            <w:vAlign w:val="bottom"/>
            <w:hideMark/>
          </w:tcPr>
          <w:p w14:paraId="6A57C68B"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 -40, 26)/(4, -40, 26)</w:t>
            </w:r>
          </w:p>
        </w:tc>
      </w:tr>
      <w:tr w:rsidR="00256256" w:rsidRPr="003A4F68" w14:paraId="1C7EB55E" w14:textId="77777777" w:rsidTr="00985F9F">
        <w:trPr>
          <w:trHeight w:val="340"/>
        </w:trPr>
        <w:tc>
          <w:tcPr>
            <w:tcW w:w="1060" w:type="dxa"/>
            <w:vMerge/>
            <w:tcBorders>
              <w:top w:val="nil"/>
              <w:left w:val="single" w:sz="8" w:space="0" w:color="auto"/>
              <w:bottom w:val="single" w:sz="8" w:space="0" w:color="000000"/>
              <w:right w:val="single" w:sz="8" w:space="0" w:color="auto"/>
            </w:tcBorders>
            <w:vAlign w:val="center"/>
            <w:hideMark/>
          </w:tcPr>
          <w:p w14:paraId="7F309F28" w14:textId="77777777" w:rsidR="00256256" w:rsidRPr="003A4F68" w:rsidRDefault="00256256" w:rsidP="00985F9F">
            <w:pPr>
              <w:rPr>
                <w:rFonts w:ascii="Arial" w:hAnsi="Arial" w:cs="Arial"/>
                <w:color w:val="000000"/>
                <w:sz w:val="22"/>
                <w:szCs w:val="22"/>
              </w:rPr>
            </w:pPr>
          </w:p>
        </w:tc>
        <w:tc>
          <w:tcPr>
            <w:tcW w:w="2260" w:type="dxa"/>
            <w:tcBorders>
              <w:top w:val="nil"/>
              <w:left w:val="nil"/>
              <w:bottom w:val="single" w:sz="8" w:space="0" w:color="auto"/>
              <w:right w:val="single" w:sz="4" w:space="0" w:color="auto"/>
            </w:tcBorders>
            <w:shd w:val="clear" w:color="auto" w:fill="auto"/>
            <w:noWrap/>
            <w:vAlign w:val="bottom"/>
            <w:hideMark/>
          </w:tcPr>
          <w:p w14:paraId="0756BFDD"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Precuneus</w:t>
            </w:r>
          </w:p>
        </w:tc>
        <w:tc>
          <w:tcPr>
            <w:tcW w:w="1620" w:type="dxa"/>
            <w:tcBorders>
              <w:top w:val="nil"/>
              <w:left w:val="nil"/>
              <w:bottom w:val="single" w:sz="8" w:space="0" w:color="auto"/>
              <w:right w:val="single" w:sz="4" w:space="0" w:color="auto"/>
            </w:tcBorders>
            <w:shd w:val="clear" w:color="auto" w:fill="auto"/>
            <w:noWrap/>
            <w:vAlign w:val="bottom"/>
            <w:hideMark/>
          </w:tcPr>
          <w:p w14:paraId="260B3E5B"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7, 31</w:t>
            </w:r>
          </w:p>
        </w:tc>
        <w:tc>
          <w:tcPr>
            <w:tcW w:w="1350" w:type="dxa"/>
            <w:tcBorders>
              <w:top w:val="nil"/>
              <w:left w:val="nil"/>
              <w:bottom w:val="single" w:sz="8" w:space="0" w:color="auto"/>
              <w:right w:val="single" w:sz="4" w:space="0" w:color="auto"/>
            </w:tcBorders>
            <w:shd w:val="clear" w:color="auto" w:fill="auto"/>
            <w:noWrap/>
            <w:vAlign w:val="bottom"/>
            <w:hideMark/>
          </w:tcPr>
          <w:p w14:paraId="1863DDF6"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3.6/3.1</w:t>
            </w:r>
          </w:p>
        </w:tc>
        <w:tc>
          <w:tcPr>
            <w:tcW w:w="2430" w:type="dxa"/>
            <w:tcBorders>
              <w:top w:val="nil"/>
              <w:left w:val="nil"/>
              <w:bottom w:val="single" w:sz="8" w:space="0" w:color="auto"/>
              <w:right w:val="single" w:sz="8" w:space="0" w:color="auto"/>
            </w:tcBorders>
            <w:shd w:val="clear" w:color="auto" w:fill="auto"/>
            <w:noWrap/>
            <w:vAlign w:val="bottom"/>
            <w:hideMark/>
          </w:tcPr>
          <w:p w14:paraId="4A46E2FC" w14:textId="77777777" w:rsidR="00256256" w:rsidRPr="003A4F68" w:rsidRDefault="00256256" w:rsidP="00985F9F">
            <w:pPr>
              <w:rPr>
                <w:rFonts w:ascii="Arial" w:hAnsi="Arial" w:cs="Arial"/>
                <w:color w:val="000000"/>
                <w:sz w:val="22"/>
                <w:szCs w:val="22"/>
              </w:rPr>
            </w:pPr>
            <w:r w:rsidRPr="003A4F68">
              <w:rPr>
                <w:rFonts w:ascii="Arial" w:hAnsi="Arial" w:cs="Arial"/>
                <w:color w:val="000000"/>
                <w:sz w:val="22"/>
                <w:szCs w:val="22"/>
              </w:rPr>
              <w:t>(0, -68, 34)/(4, -70, 38)</w:t>
            </w:r>
          </w:p>
        </w:tc>
      </w:tr>
    </w:tbl>
    <w:p w14:paraId="44008621" w14:textId="77777777" w:rsidR="00256256" w:rsidRPr="003A4F68" w:rsidRDefault="00256256" w:rsidP="00256256">
      <w:pPr>
        <w:jc w:val="both"/>
        <w:rPr>
          <w:rFonts w:ascii="Arial" w:hAnsi="Arial" w:cs="Arial"/>
          <w:sz w:val="22"/>
          <w:szCs w:val="22"/>
        </w:rPr>
      </w:pPr>
    </w:p>
    <w:p w14:paraId="6326758E" w14:textId="77777777" w:rsidR="00256256" w:rsidRPr="003A4F68" w:rsidRDefault="00256256" w:rsidP="00256256">
      <w:pPr>
        <w:jc w:val="both"/>
        <w:rPr>
          <w:rFonts w:ascii="Arial" w:hAnsi="Arial" w:cs="Arial"/>
          <w:sz w:val="22"/>
          <w:szCs w:val="22"/>
        </w:rPr>
      </w:pPr>
    </w:p>
    <w:p w14:paraId="5578B30F" w14:textId="77777777" w:rsidR="00256256" w:rsidRPr="003A4F68" w:rsidRDefault="00256256" w:rsidP="00256256">
      <w:pPr>
        <w:jc w:val="both"/>
        <w:rPr>
          <w:rFonts w:ascii="Arial" w:hAnsi="Arial" w:cs="Arial"/>
          <w:sz w:val="22"/>
          <w:szCs w:val="22"/>
        </w:rPr>
      </w:pPr>
      <w:r w:rsidRPr="003A4F68">
        <w:rPr>
          <w:rFonts w:ascii="Arial" w:hAnsi="Arial" w:cs="Arial"/>
          <w:sz w:val="22"/>
          <w:szCs w:val="22"/>
        </w:rPr>
        <w:t>Location names, Montreal Neurological Institute coordinates, extant voxels, and Brodmann areas are presented for each of the independent components with functional network connections. Display threshold at z&gt;1.</w:t>
      </w:r>
    </w:p>
    <w:p w14:paraId="4CB5ED5C" w14:textId="77777777" w:rsidR="00256256" w:rsidRPr="003A4F68" w:rsidRDefault="00256256" w:rsidP="00256256">
      <w:pPr>
        <w:jc w:val="both"/>
        <w:rPr>
          <w:rFonts w:ascii="Arial" w:hAnsi="Arial" w:cs="Arial"/>
          <w:sz w:val="22"/>
          <w:szCs w:val="22"/>
        </w:rPr>
      </w:pPr>
    </w:p>
    <w:p w14:paraId="727C67BA" w14:textId="432933F5" w:rsidR="00256256" w:rsidRPr="003A4F68" w:rsidRDefault="00015F74" w:rsidP="00256256">
      <w:pPr>
        <w:pStyle w:val="SMHeading"/>
        <w:pageBreakBefore/>
        <w:rPr>
          <w:rFonts w:ascii="Arial" w:hAnsi="Arial" w:cs="Arial"/>
          <w:b w:val="0"/>
          <w:sz w:val="22"/>
          <w:szCs w:val="22"/>
        </w:rPr>
      </w:pPr>
      <w:r w:rsidRPr="003A4F68">
        <w:rPr>
          <w:rFonts w:ascii="Arial" w:hAnsi="Arial" w:cs="Arial"/>
          <w:sz w:val="22"/>
          <w:szCs w:val="22"/>
        </w:rPr>
        <w:lastRenderedPageBreak/>
        <w:t>Table S</w:t>
      </w:r>
      <w:r w:rsidR="000F07CE" w:rsidRPr="003A4F68">
        <w:rPr>
          <w:rFonts w:ascii="Arial" w:hAnsi="Arial" w:cs="Arial"/>
          <w:sz w:val="22"/>
          <w:szCs w:val="22"/>
        </w:rPr>
        <w:t>2</w:t>
      </w:r>
      <w:r w:rsidRPr="003A4F68">
        <w:rPr>
          <w:rFonts w:ascii="Arial" w:hAnsi="Arial" w:cs="Arial"/>
          <w:sz w:val="22"/>
          <w:szCs w:val="22"/>
        </w:rPr>
        <w:t>.</w:t>
      </w:r>
      <w:r w:rsidR="00B42F9C" w:rsidRPr="003A4F68">
        <w:rPr>
          <w:rFonts w:ascii="Arial" w:hAnsi="Arial" w:cs="Arial"/>
          <w:sz w:val="22"/>
          <w:szCs w:val="22"/>
        </w:rPr>
        <w:t xml:space="preserve"> </w:t>
      </w:r>
      <w:r w:rsidR="00256256" w:rsidRPr="003A4F68">
        <w:rPr>
          <w:rFonts w:ascii="Arial" w:hAnsi="Arial" w:cs="Arial"/>
          <w:sz w:val="22"/>
          <w:szCs w:val="22"/>
        </w:rPr>
        <w:t>Analysis and results for behavioral markers (risk rating)</w:t>
      </w:r>
    </w:p>
    <w:p w14:paraId="29A43665" w14:textId="77777777" w:rsidR="00256256" w:rsidRPr="003A4F68" w:rsidRDefault="00256256" w:rsidP="00256256">
      <w:pPr>
        <w:jc w:val="both"/>
        <w:rPr>
          <w:rFonts w:ascii="Arial" w:hAnsi="Arial" w:cs="Arial"/>
          <w:sz w:val="22"/>
          <w:szCs w:val="22"/>
        </w:rPr>
      </w:pPr>
    </w:p>
    <w:tbl>
      <w:tblPr>
        <w:tblW w:w="9295" w:type="dxa"/>
        <w:jc w:val="center"/>
        <w:tblLook w:val="04A0" w:firstRow="1" w:lastRow="0" w:firstColumn="1" w:lastColumn="0" w:noHBand="0" w:noVBand="1"/>
      </w:tblPr>
      <w:tblGrid>
        <w:gridCol w:w="1292"/>
        <w:gridCol w:w="1530"/>
        <w:gridCol w:w="1350"/>
        <w:gridCol w:w="1831"/>
        <w:gridCol w:w="1629"/>
        <w:gridCol w:w="1783"/>
      </w:tblGrid>
      <w:tr w:rsidR="00256256" w:rsidRPr="003A4F68" w14:paraId="4AED4E97" w14:textId="77777777" w:rsidTr="002369EC">
        <w:trPr>
          <w:trHeight w:val="205"/>
          <w:jc w:val="center"/>
        </w:trPr>
        <w:tc>
          <w:tcPr>
            <w:tcW w:w="1195" w:type="dxa"/>
            <w:tcBorders>
              <w:top w:val="single" w:sz="8" w:space="0" w:color="auto"/>
              <w:left w:val="single" w:sz="8" w:space="0" w:color="auto"/>
              <w:bottom w:val="nil"/>
              <w:right w:val="single" w:sz="8" w:space="0" w:color="auto"/>
            </w:tcBorders>
            <w:shd w:val="clear" w:color="auto" w:fill="auto"/>
            <w:noWrap/>
            <w:vAlign w:val="center"/>
            <w:hideMark/>
          </w:tcPr>
          <w:p w14:paraId="1BC782D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Analysis</w:t>
            </w:r>
          </w:p>
        </w:tc>
        <w:tc>
          <w:tcPr>
            <w:tcW w:w="1530" w:type="dxa"/>
            <w:tcBorders>
              <w:top w:val="single" w:sz="8" w:space="0" w:color="auto"/>
              <w:left w:val="nil"/>
              <w:bottom w:val="nil"/>
              <w:right w:val="single" w:sz="8" w:space="0" w:color="auto"/>
            </w:tcBorders>
            <w:shd w:val="clear" w:color="auto" w:fill="auto"/>
            <w:noWrap/>
            <w:vAlign w:val="center"/>
            <w:hideMark/>
          </w:tcPr>
          <w:p w14:paraId="4FF3CDF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Effects</w:t>
            </w:r>
          </w:p>
        </w:tc>
        <w:tc>
          <w:tcPr>
            <w:tcW w:w="1350" w:type="dxa"/>
            <w:tcBorders>
              <w:top w:val="single" w:sz="8" w:space="0" w:color="auto"/>
              <w:left w:val="nil"/>
              <w:bottom w:val="nil"/>
              <w:right w:val="nil"/>
            </w:tcBorders>
            <w:shd w:val="clear" w:color="auto" w:fill="auto"/>
            <w:noWrap/>
            <w:vAlign w:val="center"/>
            <w:hideMark/>
          </w:tcPr>
          <w:p w14:paraId="5730943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Pre-ACQ</w:t>
            </w:r>
          </w:p>
        </w:tc>
        <w:tc>
          <w:tcPr>
            <w:tcW w:w="1831" w:type="dxa"/>
            <w:tcBorders>
              <w:top w:val="single" w:sz="8" w:space="0" w:color="auto"/>
              <w:left w:val="single" w:sz="8" w:space="0" w:color="auto"/>
              <w:bottom w:val="nil"/>
              <w:right w:val="single" w:sz="8" w:space="0" w:color="auto"/>
            </w:tcBorders>
            <w:shd w:val="clear" w:color="auto" w:fill="auto"/>
            <w:noWrap/>
            <w:vAlign w:val="center"/>
            <w:hideMark/>
          </w:tcPr>
          <w:p w14:paraId="7DB2802E"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ACQ</w:t>
            </w:r>
          </w:p>
        </w:tc>
        <w:tc>
          <w:tcPr>
            <w:tcW w:w="1606" w:type="dxa"/>
            <w:tcBorders>
              <w:top w:val="single" w:sz="8" w:space="0" w:color="auto"/>
              <w:left w:val="nil"/>
              <w:bottom w:val="nil"/>
              <w:right w:val="nil"/>
            </w:tcBorders>
            <w:shd w:val="clear" w:color="auto" w:fill="auto"/>
            <w:noWrap/>
            <w:vAlign w:val="center"/>
            <w:hideMark/>
          </w:tcPr>
          <w:p w14:paraId="43EC5720"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SG1</w:t>
            </w:r>
          </w:p>
        </w:tc>
        <w:tc>
          <w:tcPr>
            <w:tcW w:w="1783" w:type="dxa"/>
            <w:tcBorders>
              <w:top w:val="single" w:sz="8" w:space="0" w:color="auto"/>
              <w:left w:val="single" w:sz="8" w:space="0" w:color="auto"/>
              <w:bottom w:val="nil"/>
              <w:right w:val="single" w:sz="8" w:space="0" w:color="auto"/>
            </w:tcBorders>
            <w:shd w:val="clear" w:color="auto" w:fill="auto"/>
            <w:noWrap/>
            <w:vAlign w:val="center"/>
            <w:hideMark/>
          </w:tcPr>
          <w:p w14:paraId="5CD74E8D"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SG2</w:t>
            </w:r>
          </w:p>
        </w:tc>
      </w:tr>
      <w:tr w:rsidR="00256256" w:rsidRPr="003A4F68" w14:paraId="2CE150B5" w14:textId="77777777" w:rsidTr="002369EC">
        <w:trPr>
          <w:trHeight w:val="250"/>
          <w:jc w:val="center"/>
        </w:trPr>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ECC8C1"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 xml:space="preserve">ANOVA </w:t>
            </w:r>
          </w:p>
          <w:p w14:paraId="72DE5C0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2 groups</w:t>
            </w:r>
          </w:p>
          <w:p w14:paraId="577DFA38"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(trauma)</w:t>
            </w:r>
          </w:p>
        </w:tc>
        <w:tc>
          <w:tcPr>
            <w:tcW w:w="1530" w:type="dxa"/>
            <w:tcBorders>
              <w:top w:val="single" w:sz="8" w:space="0" w:color="auto"/>
              <w:left w:val="nil"/>
              <w:bottom w:val="single" w:sz="4" w:space="0" w:color="auto"/>
              <w:right w:val="single" w:sz="8" w:space="0" w:color="auto"/>
            </w:tcBorders>
            <w:shd w:val="clear" w:color="auto" w:fill="auto"/>
            <w:noWrap/>
            <w:vAlign w:val="center"/>
            <w:hideMark/>
          </w:tcPr>
          <w:p w14:paraId="16F529A9"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Group by Stimulus-type</w:t>
            </w:r>
          </w:p>
        </w:tc>
        <w:tc>
          <w:tcPr>
            <w:tcW w:w="1350" w:type="dxa"/>
            <w:tcBorders>
              <w:top w:val="single" w:sz="8" w:space="0" w:color="auto"/>
              <w:left w:val="nil"/>
              <w:bottom w:val="single" w:sz="4" w:space="0" w:color="auto"/>
              <w:right w:val="nil"/>
            </w:tcBorders>
            <w:shd w:val="clear" w:color="auto" w:fill="auto"/>
            <w:noWrap/>
            <w:vAlign w:val="center"/>
            <w:hideMark/>
          </w:tcPr>
          <w:p w14:paraId="564C00C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83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CC6979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606" w:type="dxa"/>
            <w:tcBorders>
              <w:top w:val="single" w:sz="8" w:space="0" w:color="auto"/>
              <w:left w:val="nil"/>
              <w:bottom w:val="single" w:sz="4" w:space="0" w:color="auto"/>
              <w:right w:val="nil"/>
            </w:tcBorders>
            <w:shd w:val="clear" w:color="auto" w:fill="auto"/>
            <w:noWrap/>
            <w:vAlign w:val="center"/>
            <w:hideMark/>
          </w:tcPr>
          <w:p w14:paraId="29B2C97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7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AE7778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r>
      <w:tr w:rsidR="00256256" w:rsidRPr="003A4F68" w14:paraId="6CBEE719" w14:textId="77777777" w:rsidTr="002369EC">
        <w:trPr>
          <w:trHeight w:val="320"/>
          <w:jc w:val="center"/>
        </w:trPr>
        <w:tc>
          <w:tcPr>
            <w:tcW w:w="1195" w:type="dxa"/>
            <w:vMerge/>
            <w:tcBorders>
              <w:top w:val="single" w:sz="8" w:space="0" w:color="auto"/>
              <w:left w:val="single" w:sz="8" w:space="0" w:color="auto"/>
              <w:bottom w:val="single" w:sz="8" w:space="0" w:color="000000"/>
              <w:right w:val="single" w:sz="8" w:space="0" w:color="auto"/>
            </w:tcBorders>
            <w:vAlign w:val="center"/>
            <w:hideMark/>
          </w:tcPr>
          <w:p w14:paraId="5AE20159"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2B5AAC1E"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Stimulus-type</w:t>
            </w:r>
          </w:p>
        </w:tc>
        <w:tc>
          <w:tcPr>
            <w:tcW w:w="1350" w:type="dxa"/>
            <w:tcBorders>
              <w:top w:val="nil"/>
              <w:left w:val="nil"/>
              <w:bottom w:val="single" w:sz="4" w:space="0" w:color="auto"/>
              <w:right w:val="nil"/>
            </w:tcBorders>
            <w:shd w:val="clear" w:color="auto" w:fill="auto"/>
            <w:noWrap/>
            <w:vAlign w:val="center"/>
            <w:hideMark/>
          </w:tcPr>
          <w:p w14:paraId="5089CD3E"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5193B54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(Wilks’ Lambda=0.74, F=14.58, p&lt;0.001)</w:t>
            </w:r>
          </w:p>
        </w:tc>
        <w:tc>
          <w:tcPr>
            <w:tcW w:w="1606" w:type="dxa"/>
            <w:tcBorders>
              <w:top w:val="nil"/>
              <w:left w:val="nil"/>
              <w:bottom w:val="single" w:sz="4" w:space="0" w:color="auto"/>
              <w:right w:val="nil"/>
            </w:tcBorders>
            <w:shd w:val="clear" w:color="auto" w:fill="auto"/>
            <w:noWrap/>
            <w:vAlign w:val="center"/>
            <w:hideMark/>
          </w:tcPr>
          <w:p w14:paraId="2A9DC13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(Wilks’ Lambda=0.68, F=7.24, p&lt;0.001)</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0109B705"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(Wilks’ Lambda=0.50, F=14.28, p&lt;0.001)</w:t>
            </w:r>
          </w:p>
        </w:tc>
      </w:tr>
      <w:tr w:rsidR="00256256" w:rsidRPr="003A4F68" w14:paraId="47E71CE7" w14:textId="77777777" w:rsidTr="002369EC">
        <w:trPr>
          <w:trHeight w:val="79"/>
          <w:jc w:val="center"/>
        </w:trPr>
        <w:tc>
          <w:tcPr>
            <w:tcW w:w="1195" w:type="dxa"/>
            <w:vMerge/>
            <w:tcBorders>
              <w:top w:val="single" w:sz="8" w:space="0" w:color="auto"/>
              <w:left w:val="single" w:sz="8" w:space="0" w:color="auto"/>
              <w:bottom w:val="single" w:sz="8" w:space="0" w:color="000000"/>
              <w:right w:val="single" w:sz="8" w:space="0" w:color="auto"/>
            </w:tcBorders>
            <w:vAlign w:val="center"/>
            <w:hideMark/>
          </w:tcPr>
          <w:p w14:paraId="72B49155"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8" w:space="0" w:color="auto"/>
              <w:right w:val="single" w:sz="8" w:space="0" w:color="auto"/>
            </w:tcBorders>
            <w:shd w:val="clear" w:color="auto" w:fill="auto"/>
            <w:noWrap/>
            <w:vAlign w:val="center"/>
            <w:hideMark/>
          </w:tcPr>
          <w:p w14:paraId="14385ACD"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Group</w:t>
            </w:r>
          </w:p>
        </w:tc>
        <w:tc>
          <w:tcPr>
            <w:tcW w:w="1350" w:type="dxa"/>
            <w:tcBorders>
              <w:top w:val="nil"/>
              <w:left w:val="nil"/>
              <w:bottom w:val="single" w:sz="8" w:space="0" w:color="auto"/>
              <w:right w:val="nil"/>
            </w:tcBorders>
            <w:shd w:val="clear" w:color="auto" w:fill="auto"/>
            <w:noWrap/>
            <w:vAlign w:val="center"/>
            <w:hideMark/>
          </w:tcPr>
          <w:p w14:paraId="510013C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831" w:type="dxa"/>
            <w:tcBorders>
              <w:top w:val="nil"/>
              <w:left w:val="single" w:sz="8" w:space="0" w:color="auto"/>
              <w:bottom w:val="single" w:sz="8" w:space="0" w:color="auto"/>
              <w:right w:val="single" w:sz="8" w:space="0" w:color="auto"/>
            </w:tcBorders>
            <w:shd w:val="clear" w:color="auto" w:fill="auto"/>
            <w:noWrap/>
            <w:vAlign w:val="center"/>
            <w:hideMark/>
          </w:tcPr>
          <w:p w14:paraId="0B02D68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606" w:type="dxa"/>
            <w:tcBorders>
              <w:top w:val="nil"/>
              <w:left w:val="nil"/>
              <w:bottom w:val="single" w:sz="8" w:space="0" w:color="auto"/>
              <w:right w:val="nil"/>
            </w:tcBorders>
            <w:shd w:val="clear" w:color="auto" w:fill="auto"/>
            <w:noWrap/>
            <w:vAlign w:val="center"/>
            <w:hideMark/>
          </w:tcPr>
          <w:p w14:paraId="06ED368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783" w:type="dxa"/>
            <w:tcBorders>
              <w:top w:val="nil"/>
              <w:left w:val="single" w:sz="8" w:space="0" w:color="auto"/>
              <w:bottom w:val="single" w:sz="8" w:space="0" w:color="auto"/>
              <w:right w:val="single" w:sz="8" w:space="0" w:color="auto"/>
            </w:tcBorders>
            <w:shd w:val="clear" w:color="auto" w:fill="auto"/>
            <w:noWrap/>
            <w:vAlign w:val="center"/>
            <w:hideMark/>
          </w:tcPr>
          <w:p w14:paraId="55520DC5"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r>
      <w:tr w:rsidR="00256256" w:rsidRPr="003A4F68" w14:paraId="6A6EEBFB" w14:textId="77777777" w:rsidTr="002369EC">
        <w:trPr>
          <w:trHeight w:val="457"/>
          <w:jc w:val="center"/>
        </w:trPr>
        <w:tc>
          <w:tcPr>
            <w:tcW w:w="1195" w:type="dxa"/>
            <w:vMerge w:val="restart"/>
            <w:tcBorders>
              <w:top w:val="nil"/>
              <w:left w:val="single" w:sz="8" w:space="0" w:color="auto"/>
              <w:bottom w:val="single" w:sz="8" w:space="0" w:color="000000"/>
              <w:right w:val="single" w:sz="8" w:space="0" w:color="auto"/>
            </w:tcBorders>
            <w:shd w:val="clear" w:color="auto" w:fill="auto"/>
            <w:vAlign w:val="center"/>
            <w:hideMark/>
          </w:tcPr>
          <w:p w14:paraId="084C97B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 xml:space="preserve">ANOVA </w:t>
            </w:r>
          </w:p>
          <w:p w14:paraId="7D644FF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3 groups</w:t>
            </w:r>
          </w:p>
          <w:p w14:paraId="0C5CC1CD"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(resilience)</w:t>
            </w:r>
          </w:p>
        </w:tc>
        <w:tc>
          <w:tcPr>
            <w:tcW w:w="1530" w:type="dxa"/>
            <w:tcBorders>
              <w:top w:val="nil"/>
              <w:left w:val="nil"/>
              <w:bottom w:val="single" w:sz="4" w:space="0" w:color="auto"/>
              <w:right w:val="single" w:sz="8" w:space="0" w:color="auto"/>
            </w:tcBorders>
            <w:shd w:val="clear" w:color="auto" w:fill="auto"/>
            <w:noWrap/>
            <w:vAlign w:val="center"/>
            <w:hideMark/>
          </w:tcPr>
          <w:p w14:paraId="5D838DBE"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Group by Stimuli</w:t>
            </w:r>
          </w:p>
        </w:tc>
        <w:tc>
          <w:tcPr>
            <w:tcW w:w="1350" w:type="dxa"/>
            <w:tcBorders>
              <w:top w:val="nil"/>
              <w:left w:val="nil"/>
              <w:bottom w:val="single" w:sz="4" w:space="0" w:color="auto"/>
              <w:right w:val="nil"/>
            </w:tcBorders>
            <w:shd w:val="clear" w:color="auto" w:fill="auto"/>
            <w:noWrap/>
            <w:vAlign w:val="center"/>
            <w:hideMark/>
          </w:tcPr>
          <w:p w14:paraId="1AE19BAD"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5C1DF3A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606" w:type="dxa"/>
            <w:tcBorders>
              <w:top w:val="nil"/>
              <w:left w:val="nil"/>
              <w:bottom w:val="single" w:sz="4" w:space="0" w:color="auto"/>
              <w:right w:val="nil"/>
            </w:tcBorders>
            <w:shd w:val="clear" w:color="auto" w:fill="auto"/>
            <w:noWrap/>
            <w:vAlign w:val="center"/>
            <w:hideMark/>
          </w:tcPr>
          <w:p w14:paraId="0419CD5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6CE6B9B3"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(Wilks’ Lambda=0.77, F=1.91, p=0.049)</w:t>
            </w:r>
          </w:p>
        </w:tc>
      </w:tr>
      <w:tr w:rsidR="00256256" w:rsidRPr="003A4F68" w14:paraId="5529E7B2" w14:textId="77777777" w:rsidTr="002369EC">
        <w:trPr>
          <w:trHeight w:val="358"/>
          <w:jc w:val="center"/>
        </w:trPr>
        <w:tc>
          <w:tcPr>
            <w:tcW w:w="1195" w:type="dxa"/>
            <w:vMerge/>
            <w:tcBorders>
              <w:top w:val="nil"/>
              <w:left w:val="single" w:sz="8" w:space="0" w:color="auto"/>
              <w:bottom w:val="single" w:sz="8" w:space="0" w:color="000000"/>
              <w:right w:val="single" w:sz="8" w:space="0" w:color="auto"/>
            </w:tcBorders>
            <w:vAlign w:val="center"/>
            <w:hideMark/>
          </w:tcPr>
          <w:p w14:paraId="3C5FE203"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456E6129"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Stimulus-type</w:t>
            </w:r>
          </w:p>
        </w:tc>
        <w:tc>
          <w:tcPr>
            <w:tcW w:w="1350" w:type="dxa"/>
            <w:tcBorders>
              <w:top w:val="nil"/>
              <w:left w:val="nil"/>
              <w:bottom w:val="single" w:sz="4" w:space="0" w:color="auto"/>
              <w:right w:val="nil"/>
            </w:tcBorders>
            <w:shd w:val="clear" w:color="auto" w:fill="auto"/>
            <w:noWrap/>
            <w:vAlign w:val="center"/>
            <w:hideMark/>
          </w:tcPr>
          <w:p w14:paraId="3692341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21E53A2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(Wilks’ Lambda=0.69, F=18.38, p&lt;0.001)</w:t>
            </w:r>
          </w:p>
        </w:tc>
        <w:tc>
          <w:tcPr>
            <w:tcW w:w="1606" w:type="dxa"/>
            <w:tcBorders>
              <w:top w:val="nil"/>
              <w:left w:val="nil"/>
              <w:bottom w:val="single" w:sz="4" w:space="0" w:color="auto"/>
              <w:right w:val="nil"/>
            </w:tcBorders>
            <w:shd w:val="clear" w:color="auto" w:fill="auto"/>
            <w:noWrap/>
            <w:vAlign w:val="center"/>
            <w:hideMark/>
          </w:tcPr>
          <w:p w14:paraId="71F50EA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(Wilks’ Lambda=0.64, F=8.57, p&lt;0.001)</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613F519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(Wilks’ Lambda=0.45, F=16.78, p&lt;0.001)</w:t>
            </w:r>
          </w:p>
        </w:tc>
      </w:tr>
      <w:tr w:rsidR="00256256" w:rsidRPr="003A4F68" w14:paraId="1FE03403" w14:textId="77777777" w:rsidTr="002369EC">
        <w:trPr>
          <w:trHeight w:val="97"/>
          <w:jc w:val="center"/>
        </w:trPr>
        <w:tc>
          <w:tcPr>
            <w:tcW w:w="1195" w:type="dxa"/>
            <w:vMerge/>
            <w:tcBorders>
              <w:top w:val="nil"/>
              <w:left w:val="single" w:sz="8" w:space="0" w:color="auto"/>
              <w:bottom w:val="single" w:sz="8" w:space="0" w:color="000000"/>
              <w:right w:val="single" w:sz="8" w:space="0" w:color="auto"/>
            </w:tcBorders>
            <w:vAlign w:val="center"/>
            <w:hideMark/>
          </w:tcPr>
          <w:p w14:paraId="43AA6956"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8" w:space="0" w:color="auto"/>
              <w:right w:val="single" w:sz="8" w:space="0" w:color="auto"/>
            </w:tcBorders>
            <w:shd w:val="clear" w:color="auto" w:fill="auto"/>
            <w:noWrap/>
            <w:vAlign w:val="center"/>
            <w:hideMark/>
          </w:tcPr>
          <w:p w14:paraId="7B97E1A1"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Group</w:t>
            </w:r>
          </w:p>
        </w:tc>
        <w:tc>
          <w:tcPr>
            <w:tcW w:w="1350" w:type="dxa"/>
            <w:tcBorders>
              <w:top w:val="nil"/>
              <w:left w:val="nil"/>
              <w:bottom w:val="single" w:sz="8" w:space="0" w:color="auto"/>
              <w:right w:val="nil"/>
            </w:tcBorders>
            <w:shd w:val="clear" w:color="auto" w:fill="auto"/>
            <w:noWrap/>
            <w:vAlign w:val="center"/>
            <w:hideMark/>
          </w:tcPr>
          <w:p w14:paraId="0CB7D215"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831" w:type="dxa"/>
            <w:tcBorders>
              <w:top w:val="nil"/>
              <w:left w:val="single" w:sz="8" w:space="0" w:color="auto"/>
              <w:bottom w:val="single" w:sz="8" w:space="0" w:color="auto"/>
              <w:right w:val="single" w:sz="8" w:space="0" w:color="auto"/>
            </w:tcBorders>
            <w:shd w:val="clear" w:color="auto" w:fill="auto"/>
            <w:noWrap/>
            <w:vAlign w:val="center"/>
            <w:hideMark/>
          </w:tcPr>
          <w:p w14:paraId="0303150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606" w:type="dxa"/>
            <w:tcBorders>
              <w:top w:val="nil"/>
              <w:left w:val="nil"/>
              <w:bottom w:val="single" w:sz="8" w:space="0" w:color="auto"/>
              <w:right w:val="nil"/>
            </w:tcBorders>
            <w:shd w:val="clear" w:color="auto" w:fill="auto"/>
            <w:noWrap/>
            <w:vAlign w:val="center"/>
            <w:hideMark/>
          </w:tcPr>
          <w:p w14:paraId="284A2CCC"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c>
          <w:tcPr>
            <w:tcW w:w="1783" w:type="dxa"/>
            <w:tcBorders>
              <w:top w:val="nil"/>
              <w:left w:val="single" w:sz="8" w:space="0" w:color="auto"/>
              <w:bottom w:val="single" w:sz="8" w:space="0" w:color="auto"/>
              <w:right w:val="single" w:sz="8" w:space="0" w:color="auto"/>
            </w:tcBorders>
            <w:shd w:val="clear" w:color="auto" w:fill="auto"/>
            <w:noWrap/>
            <w:vAlign w:val="center"/>
            <w:hideMark/>
          </w:tcPr>
          <w:p w14:paraId="40A548A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NS</w:t>
            </w:r>
          </w:p>
        </w:tc>
      </w:tr>
      <w:tr w:rsidR="00256256" w:rsidRPr="003A4F68" w14:paraId="78FF2B84" w14:textId="77777777" w:rsidTr="002369EC">
        <w:trPr>
          <w:trHeight w:val="187"/>
          <w:jc w:val="center"/>
        </w:trPr>
        <w:tc>
          <w:tcPr>
            <w:tcW w:w="1195" w:type="dxa"/>
            <w:vMerge w:val="restart"/>
            <w:tcBorders>
              <w:top w:val="nil"/>
              <w:left w:val="single" w:sz="8" w:space="0" w:color="auto"/>
              <w:bottom w:val="single" w:sz="8" w:space="0" w:color="000000"/>
              <w:right w:val="single" w:sz="8" w:space="0" w:color="auto"/>
            </w:tcBorders>
            <w:shd w:val="clear" w:color="auto" w:fill="auto"/>
            <w:vAlign w:val="center"/>
            <w:hideMark/>
          </w:tcPr>
          <w:p w14:paraId="773823A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t-test HC</w:t>
            </w:r>
          </w:p>
        </w:tc>
        <w:tc>
          <w:tcPr>
            <w:tcW w:w="1530" w:type="dxa"/>
            <w:tcBorders>
              <w:top w:val="nil"/>
              <w:left w:val="nil"/>
              <w:bottom w:val="single" w:sz="4" w:space="0" w:color="auto"/>
              <w:right w:val="single" w:sz="8" w:space="0" w:color="auto"/>
            </w:tcBorders>
            <w:shd w:val="clear" w:color="auto" w:fill="auto"/>
            <w:noWrap/>
            <w:vAlign w:val="center"/>
            <w:hideMark/>
          </w:tcPr>
          <w:p w14:paraId="3FBD230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oCS-</w:t>
            </w:r>
          </w:p>
        </w:tc>
        <w:tc>
          <w:tcPr>
            <w:tcW w:w="1350" w:type="dxa"/>
            <w:tcBorders>
              <w:top w:val="nil"/>
              <w:left w:val="nil"/>
              <w:bottom w:val="single" w:sz="4" w:space="0" w:color="auto"/>
              <w:right w:val="nil"/>
            </w:tcBorders>
            <w:shd w:val="clear" w:color="auto" w:fill="auto"/>
            <w:noWrap/>
            <w:vAlign w:val="center"/>
            <w:hideMark/>
          </w:tcPr>
          <w:p w14:paraId="55F5772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p=0.144</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44E98C3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p=0.012</w:t>
            </w:r>
          </w:p>
        </w:tc>
        <w:tc>
          <w:tcPr>
            <w:tcW w:w="1606" w:type="dxa"/>
            <w:tcBorders>
              <w:top w:val="nil"/>
              <w:left w:val="nil"/>
              <w:bottom w:val="single" w:sz="4" w:space="0" w:color="auto"/>
              <w:right w:val="nil"/>
            </w:tcBorders>
            <w:shd w:val="clear" w:color="auto" w:fill="auto"/>
            <w:noWrap/>
            <w:vAlign w:val="center"/>
            <w:hideMark/>
          </w:tcPr>
          <w:p w14:paraId="4EB58495"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p=0.478</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24AC171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p=0.235</w:t>
            </w:r>
          </w:p>
        </w:tc>
      </w:tr>
      <w:tr w:rsidR="00256256" w:rsidRPr="003A4F68" w14:paraId="4C301014" w14:textId="77777777" w:rsidTr="002369EC">
        <w:trPr>
          <w:trHeight w:val="205"/>
          <w:jc w:val="center"/>
        </w:trPr>
        <w:tc>
          <w:tcPr>
            <w:tcW w:w="1195" w:type="dxa"/>
            <w:vMerge/>
            <w:tcBorders>
              <w:top w:val="nil"/>
              <w:left w:val="single" w:sz="8" w:space="0" w:color="auto"/>
              <w:bottom w:val="single" w:sz="8" w:space="0" w:color="000000"/>
              <w:right w:val="single" w:sz="8" w:space="0" w:color="auto"/>
            </w:tcBorders>
            <w:vAlign w:val="center"/>
            <w:hideMark/>
          </w:tcPr>
          <w:p w14:paraId="70355672"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4942380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GS1</w:t>
            </w:r>
          </w:p>
        </w:tc>
        <w:tc>
          <w:tcPr>
            <w:tcW w:w="1350" w:type="dxa"/>
            <w:tcBorders>
              <w:top w:val="nil"/>
              <w:left w:val="nil"/>
              <w:bottom w:val="single" w:sz="4" w:space="0" w:color="auto"/>
              <w:right w:val="nil"/>
            </w:tcBorders>
            <w:shd w:val="clear" w:color="auto" w:fill="auto"/>
            <w:noWrap/>
            <w:vAlign w:val="center"/>
            <w:hideMark/>
          </w:tcPr>
          <w:p w14:paraId="0C6CD5BE"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p=0.486</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46508209"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19996CF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p=0.401</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2DF5DD1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p=0.106</w:t>
            </w:r>
          </w:p>
        </w:tc>
      </w:tr>
      <w:tr w:rsidR="00256256" w:rsidRPr="003A4F68" w14:paraId="46EE79C4" w14:textId="77777777" w:rsidTr="002369EC">
        <w:trPr>
          <w:trHeight w:val="133"/>
          <w:jc w:val="center"/>
        </w:trPr>
        <w:tc>
          <w:tcPr>
            <w:tcW w:w="1195" w:type="dxa"/>
            <w:vMerge/>
            <w:tcBorders>
              <w:top w:val="nil"/>
              <w:left w:val="single" w:sz="8" w:space="0" w:color="auto"/>
              <w:bottom w:val="single" w:sz="8" w:space="0" w:color="000000"/>
              <w:right w:val="single" w:sz="8" w:space="0" w:color="auto"/>
            </w:tcBorders>
            <w:vAlign w:val="center"/>
            <w:hideMark/>
          </w:tcPr>
          <w:p w14:paraId="6AE59CBD"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05BAF7D3"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GS2</w:t>
            </w:r>
          </w:p>
        </w:tc>
        <w:tc>
          <w:tcPr>
            <w:tcW w:w="1350" w:type="dxa"/>
            <w:tcBorders>
              <w:top w:val="nil"/>
              <w:left w:val="nil"/>
              <w:bottom w:val="single" w:sz="4" w:space="0" w:color="auto"/>
              <w:right w:val="nil"/>
            </w:tcBorders>
            <w:shd w:val="clear" w:color="auto" w:fill="auto"/>
            <w:noWrap/>
            <w:vAlign w:val="center"/>
            <w:hideMark/>
          </w:tcPr>
          <w:p w14:paraId="70C20230"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p=0.267</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5DDACF8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2E58D4C0"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p=0.052</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20E687A5"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p=0.002</w:t>
            </w:r>
          </w:p>
        </w:tc>
      </w:tr>
      <w:tr w:rsidR="00256256" w:rsidRPr="003A4F68" w14:paraId="62433BCC" w14:textId="77777777" w:rsidTr="002369EC">
        <w:trPr>
          <w:trHeight w:val="70"/>
          <w:jc w:val="center"/>
        </w:trPr>
        <w:tc>
          <w:tcPr>
            <w:tcW w:w="1195" w:type="dxa"/>
            <w:vMerge/>
            <w:tcBorders>
              <w:top w:val="nil"/>
              <w:left w:val="single" w:sz="8" w:space="0" w:color="auto"/>
              <w:bottom w:val="single" w:sz="8" w:space="0" w:color="000000"/>
              <w:right w:val="single" w:sz="8" w:space="0" w:color="auto"/>
            </w:tcBorders>
            <w:vAlign w:val="center"/>
            <w:hideMark/>
          </w:tcPr>
          <w:p w14:paraId="45C23037"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45C089E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GS3</w:t>
            </w:r>
          </w:p>
        </w:tc>
        <w:tc>
          <w:tcPr>
            <w:tcW w:w="1350" w:type="dxa"/>
            <w:tcBorders>
              <w:top w:val="nil"/>
              <w:left w:val="nil"/>
              <w:bottom w:val="single" w:sz="4" w:space="0" w:color="auto"/>
              <w:right w:val="nil"/>
            </w:tcBorders>
            <w:shd w:val="clear" w:color="auto" w:fill="auto"/>
            <w:noWrap/>
            <w:vAlign w:val="center"/>
            <w:hideMark/>
          </w:tcPr>
          <w:p w14:paraId="0677D158"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p=0.117</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3DA6CFB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437AB861"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p=0.011</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56003D79"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p=0.007</w:t>
            </w:r>
          </w:p>
        </w:tc>
      </w:tr>
      <w:tr w:rsidR="00256256" w:rsidRPr="003A4F68" w14:paraId="379C6568" w14:textId="77777777" w:rsidTr="002369EC">
        <w:trPr>
          <w:trHeight w:val="88"/>
          <w:jc w:val="center"/>
        </w:trPr>
        <w:tc>
          <w:tcPr>
            <w:tcW w:w="1195" w:type="dxa"/>
            <w:vMerge/>
            <w:tcBorders>
              <w:top w:val="nil"/>
              <w:left w:val="single" w:sz="8" w:space="0" w:color="auto"/>
              <w:bottom w:val="single" w:sz="8" w:space="0" w:color="000000"/>
              <w:right w:val="single" w:sz="8" w:space="0" w:color="auto"/>
            </w:tcBorders>
            <w:vAlign w:val="center"/>
            <w:hideMark/>
          </w:tcPr>
          <w:p w14:paraId="4859F014"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8" w:space="0" w:color="auto"/>
              <w:right w:val="single" w:sz="8" w:space="0" w:color="auto"/>
            </w:tcBorders>
            <w:shd w:val="clear" w:color="auto" w:fill="auto"/>
            <w:noWrap/>
            <w:vAlign w:val="center"/>
            <w:hideMark/>
          </w:tcPr>
          <w:p w14:paraId="3D5C097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CS+</w:t>
            </w:r>
          </w:p>
        </w:tc>
        <w:tc>
          <w:tcPr>
            <w:tcW w:w="1350" w:type="dxa"/>
            <w:tcBorders>
              <w:top w:val="nil"/>
              <w:left w:val="nil"/>
              <w:bottom w:val="single" w:sz="8" w:space="0" w:color="auto"/>
              <w:right w:val="nil"/>
            </w:tcBorders>
            <w:shd w:val="clear" w:color="auto" w:fill="auto"/>
            <w:noWrap/>
            <w:vAlign w:val="center"/>
            <w:hideMark/>
          </w:tcPr>
          <w:p w14:paraId="0EE481D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p=0.094</w:t>
            </w:r>
          </w:p>
        </w:tc>
        <w:tc>
          <w:tcPr>
            <w:tcW w:w="1831" w:type="dxa"/>
            <w:tcBorders>
              <w:top w:val="nil"/>
              <w:left w:val="single" w:sz="8" w:space="0" w:color="auto"/>
              <w:bottom w:val="single" w:sz="8" w:space="0" w:color="auto"/>
              <w:right w:val="single" w:sz="8" w:space="0" w:color="auto"/>
            </w:tcBorders>
            <w:shd w:val="clear" w:color="auto" w:fill="auto"/>
            <w:noWrap/>
            <w:vAlign w:val="center"/>
            <w:hideMark/>
          </w:tcPr>
          <w:p w14:paraId="6F55B38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p=0.009</w:t>
            </w:r>
          </w:p>
        </w:tc>
        <w:tc>
          <w:tcPr>
            <w:tcW w:w="1606" w:type="dxa"/>
            <w:tcBorders>
              <w:top w:val="nil"/>
              <w:left w:val="nil"/>
              <w:bottom w:val="single" w:sz="8" w:space="0" w:color="auto"/>
              <w:right w:val="nil"/>
            </w:tcBorders>
            <w:shd w:val="clear" w:color="auto" w:fill="auto"/>
            <w:noWrap/>
            <w:vAlign w:val="center"/>
            <w:hideMark/>
          </w:tcPr>
          <w:p w14:paraId="45D5122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p=0.002</w:t>
            </w:r>
          </w:p>
        </w:tc>
        <w:tc>
          <w:tcPr>
            <w:tcW w:w="1783" w:type="dxa"/>
            <w:tcBorders>
              <w:top w:val="nil"/>
              <w:left w:val="single" w:sz="8" w:space="0" w:color="auto"/>
              <w:bottom w:val="single" w:sz="8" w:space="0" w:color="auto"/>
              <w:right w:val="single" w:sz="8" w:space="0" w:color="auto"/>
            </w:tcBorders>
            <w:shd w:val="clear" w:color="auto" w:fill="auto"/>
            <w:noWrap/>
            <w:vAlign w:val="center"/>
            <w:hideMark/>
          </w:tcPr>
          <w:p w14:paraId="1A25CFA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20B03D7D" w14:textId="77777777" w:rsidTr="002369EC">
        <w:trPr>
          <w:trHeight w:val="106"/>
          <w:jc w:val="center"/>
        </w:trPr>
        <w:tc>
          <w:tcPr>
            <w:tcW w:w="1195" w:type="dxa"/>
            <w:vMerge w:val="restart"/>
            <w:tcBorders>
              <w:top w:val="nil"/>
              <w:left w:val="single" w:sz="8" w:space="0" w:color="auto"/>
              <w:bottom w:val="single" w:sz="8" w:space="0" w:color="000000"/>
              <w:right w:val="single" w:sz="8" w:space="0" w:color="auto"/>
            </w:tcBorders>
            <w:shd w:val="clear" w:color="auto" w:fill="auto"/>
            <w:vAlign w:val="center"/>
            <w:hideMark/>
          </w:tcPr>
          <w:p w14:paraId="05EB068D"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t-test TE</w:t>
            </w:r>
          </w:p>
        </w:tc>
        <w:tc>
          <w:tcPr>
            <w:tcW w:w="1530" w:type="dxa"/>
            <w:tcBorders>
              <w:top w:val="nil"/>
              <w:left w:val="nil"/>
              <w:bottom w:val="single" w:sz="4" w:space="0" w:color="auto"/>
              <w:right w:val="single" w:sz="8" w:space="0" w:color="auto"/>
            </w:tcBorders>
            <w:shd w:val="clear" w:color="auto" w:fill="auto"/>
            <w:noWrap/>
            <w:vAlign w:val="center"/>
            <w:hideMark/>
          </w:tcPr>
          <w:p w14:paraId="2466F271"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oCS-</w:t>
            </w:r>
          </w:p>
        </w:tc>
        <w:tc>
          <w:tcPr>
            <w:tcW w:w="1350" w:type="dxa"/>
            <w:tcBorders>
              <w:top w:val="nil"/>
              <w:left w:val="nil"/>
              <w:bottom w:val="single" w:sz="4" w:space="0" w:color="auto"/>
              <w:right w:val="nil"/>
            </w:tcBorders>
            <w:shd w:val="clear" w:color="auto" w:fill="auto"/>
            <w:noWrap/>
            <w:vAlign w:val="center"/>
            <w:hideMark/>
          </w:tcPr>
          <w:p w14:paraId="1C6F9AC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p=0.413</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0091102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p=0.011</w:t>
            </w:r>
          </w:p>
        </w:tc>
        <w:tc>
          <w:tcPr>
            <w:tcW w:w="1606" w:type="dxa"/>
            <w:tcBorders>
              <w:top w:val="nil"/>
              <w:left w:val="nil"/>
              <w:bottom w:val="single" w:sz="4" w:space="0" w:color="auto"/>
              <w:right w:val="nil"/>
            </w:tcBorders>
            <w:shd w:val="clear" w:color="auto" w:fill="auto"/>
            <w:noWrap/>
            <w:vAlign w:val="center"/>
            <w:hideMark/>
          </w:tcPr>
          <w:p w14:paraId="58252518"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p=0.001</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240CF8C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363A3B95" w14:textId="77777777" w:rsidTr="002369EC">
        <w:trPr>
          <w:trHeight w:val="151"/>
          <w:jc w:val="center"/>
        </w:trPr>
        <w:tc>
          <w:tcPr>
            <w:tcW w:w="1195" w:type="dxa"/>
            <w:vMerge/>
            <w:tcBorders>
              <w:top w:val="nil"/>
              <w:left w:val="single" w:sz="8" w:space="0" w:color="auto"/>
              <w:bottom w:val="single" w:sz="8" w:space="0" w:color="000000"/>
              <w:right w:val="single" w:sz="8" w:space="0" w:color="auto"/>
            </w:tcBorders>
            <w:vAlign w:val="center"/>
            <w:hideMark/>
          </w:tcPr>
          <w:p w14:paraId="2433A66D"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6C84580C"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GS1</w:t>
            </w:r>
          </w:p>
        </w:tc>
        <w:tc>
          <w:tcPr>
            <w:tcW w:w="1350" w:type="dxa"/>
            <w:tcBorders>
              <w:top w:val="nil"/>
              <w:left w:val="nil"/>
              <w:bottom w:val="single" w:sz="4" w:space="0" w:color="auto"/>
              <w:right w:val="nil"/>
            </w:tcBorders>
            <w:shd w:val="clear" w:color="auto" w:fill="auto"/>
            <w:noWrap/>
            <w:vAlign w:val="center"/>
            <w:hideMark/>
          </w:tcPr>
          <w:p w14:paraId="2C32A3E5"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p=0.938</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2DC6527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2C55B97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6FB963E5"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12587595" w14:textId="77777777" w:rsidTr="002369EC">
        <w:trPr>
          <w:trHeight w:val="79"/>
          <w:jc w:val="center"/>
        </w:trPr>
        <w:tc>
          <w:tcPr>
            <w:tcW w:w="1195" w:type="dxa"/>
            <w:vMerge/>
            <w:tcBorders>
              <w:top w:val="nil"/>
              <w:left w:val="single" w:sz="8" w:space="0" w:color="auto"/>
              <w:bottom w:val="single" w:sz="8" w:space="0" w:color="000000"/>
              <w:right w:val="single" w:sz="8" w:space="0" w:color="auto"/>
            </w:tcBorders>
            <w:vAlign w:val="center"/>
            <w:hideMark/>
          </w:tcPr>
          <w:p w14:paraId="730C927A"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445C39DF"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GS2</w:t>
            </w:r>
          </w:p>
        </w:tc>
        <w:tc>
          <w:tcPr>
            <w:tcW w:w="1350" w:type="dxa"/>
            <w:tcBorders>
              <w:top w:val="nil"/>
              <w:left w:val="nil"/>
              <w:bottom w:val="single" w:sz="4" w:space="0" w:color="auto"/>
              <w:right w:val="nil"/>
            </w:tcBorders>
            <w:shd w:val="clear" w:color="auto" w:fill="auto"/>
            <w:noWrap/>
            <w:vAlign w:val="center"/>
            <w:hideMark/>
          </w:tcPr>
          <w:p w14:paraId="2124FB0D"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p=0.286</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22BFEFCD"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385F494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3A8B701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1FA00B3C" w14:textId="77777777" w:rsidTr="002369EC">
        <w:trPr>
          <w:trHeight w:val="88"/>
          <w:jc w:val="center"/>
        </w:trPr>
        <w:tc>
          <w:tcPr>
            <w:tcW w:w="1195" w:type="dxa"/>
            <w:vMerge/>
            <w:tcBorders>
              <w:top w:val="nil"/>
              <w:left w:val="single" w:sz="8" w:space="0" w:color="auto"/>
              <w:bottom w:val="single" w:sz="8" w:space="0" w:color="000000"/>
              <w:right w:val="single" w:sz="8" w:space="0" w:color="auto"/>
            </w:tcBorders>
            <w:vAlign w:val="center"/>
            <w:hideMark/>
          </w:tcPr>
          <w:p w14:paraId="66A38A53"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2AFE910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GS3</w:t>
            </w:r>
          </w:p>
        </w:tc>
        <w:tc>
          <w:tcPr>
            <w:tcW w:w="1350" w:type="dxa"/>
            <w:tcBorders>
              <w:top w:val="nil"/>
              <w:left w:val="nil"/>
              <w:bottom w:val="single" w:sz="4" w:space="0" w:color="auto"/>
              <w:right w:val="nil"/>
            </w:tcBorders>
            <w:shd w:val="clear" w:color="auto" w:fill="auto"/>
            <w:noWrap/>
            <w:vAlign w:val="center"/>
            <w:hideMark/>
          </w:tcPr>
          <w:p w14:paraId="030DC110"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p=0.178</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41B4334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39208BB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309D5A5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186D38B2" w14:textId="77777777" w:rsidTr="002369EC">
        <w:trPr>
          <w:trHeight w:val="47"/>
          <w:jc w:val="center"/>
        </w:trPr>
        <w:tc>
          <w:tcPr>
            <w:tcW w:w="1195" w:type="dxa"/>
            <w:vMerge/>
            <w:tcBorders>
              <w:top w:val="nil"/>
              <w:left w:val="single" w:sz="8" w:space="0" w:color="auto"/>
              <w:bottom w:val="single" w:sz="8" w:space="0" w:color="000000"/>
              <w:right w:val="single" w:sz="8" w:space="0" w:color="auto"/>
            </w:tcBorders>
            <w:vAlign w:val="center"/>
            <w:hideMark/>
          </w:tcPr>
          <w:p w14:paraId="59DBBCC9"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8" w:space="0" w:color="auto"/>
              <w:right w:val="single" w:sz="8" w:space="0" w:color="auto"/>
            </w:tcBorders>
            <w:shd w:val="clear" w:color="auto" w:fill="auto"/>
            <w:noWrap/>
            <w:vAlign w:val="center"/>
            <w:hideMark/>
          </w:tcPr>
          <w:p w14:paraId="5DE64981"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CS+</w:t>
            </w:r>
          </w:p>
        </w:tc>
        <w:tc>
          <w:tcPr>
            <w:tcW w:w="1350" w:type="dxa"/>
            <w:tcBorders>
              <w:top w:val="nil"/>
              <w:left w:val="nil"/>
              <w:bottom w:val="single" w:sz="8" w:space="0" w:color="auto"/>
              <w:right w:val="nil"/>
            </w:tcBorders>
            <w:shd w:val="clear" w:color="auto" w:fill="auto"/>
            <w:noWrap/>
            <w:vAlign w:val="center"/>
            <w:hideMark/>
          </w:tcPr>
          <w:p w14:paraId="669EB593"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p=0.385</w:t>
            </w:r>
          </w:p>
        </w:tc>
        <w:tc>
          <w:tcPr>
            <w:tcW w:w="1831" w:type="dxa"/>
            <w:tcBorders>
              <w:top w:val="nil"/>
              <w:left w:val="single" w:sz="8" w:space="0" w:color="auto"/>
              <w:bottom w:val="single" w:sz="8" w:space="0" w:color="auto"/>
              <w:right w:val="single" w:sz="8" w:space="0" w:color="auto"/>
            </w:tcBorders>
            <w:shd w:val="clear" w:color="auto" w:fill="auto"/>
            <w:noWrap/>
            <w:vAlign w:val="center"/>
            <w:hideMark/>
          </w:tcPr>
          <w:p w14:paraId="71A8AED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606" w:type="dxa"/>
            <w:tcBorders>
              <w:top w:val="nil"/>
              <w:left w:val="nil"/>
              <w:bottom w:val="single" w:sz="8" w:space="0" w:color="auto"/>
              <w:right w:val="nil"/>
            </w:tcBorders>
            <w:shd w:val="clear" w:color="auto" w:fill="auto"/>
            <w:noWrap/>
            <w:vAlign w:val="center"/>
            <w:hideMark/>
          </w:tcPr>
          <w:p w14:paraId="6F47E07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8" w:space="0" w:color="auto"/>
              <w:right w:val="single" w:sz="8" w:space="0" w:color="auto"/>
            </w:tcBorders>
            <w:shd w:val="clear" w:color="auto" w:fill="auto"/>
            <w:noWrap/>
            <w:vAlign w:val="center"/>
            <w:hideMark/>
          </w:tcPr>
          <w:p w14:paraId="337B335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691A91D1" w14:textId="77777777" w:rsidTr="002369EC">
        <w:trPr>
          <w:trHeight w:val="47"/>
          <w:jc w:val="center"/>
        </w:trPr>
        <w:tc>
          <w:tcPr>
            <w:tcW w:w="1195" w:type="dxa"/>
            <w:vMerge w:val="restart"/>
            <w:tcBorders>
              <w:top w:val="nil"/>
              <w:left w:val="single" w:sz="8" w:space="0" w:color="auto"/>
              <w:bottom w:val="single" w:sz="8" w:space="0" w:color="000000"/>
              <w:right w:val="single" w:sz="8" w:space="0" w:color="auto"/>
            </w:tcBorders>
            <w:shd w:val="clear" w:color="auto" w:fill="auto"/>
            <w:vAlign w:val="center"/>
            <w:hideMark/>
          </w:tcPr>
          <w:p w14:paraId="3124BEF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t-test TEHC</w:t>
            </w:r>
          </w:p>
        </w:tc>
        <w:tc>
          <w:tcPr>
            <w:tcW w:w="1530" w:type="dxa"/>
            <w:tcBorders>
              <w:top w:val="nil"/>
              <w:left w:val="nil"/>
              <w:bottom w:val="single" w:sz="4" w:space="0" w:color="auto"/>
              <w:right w:val="single" w:sz="8" w:space="0" w:color="auto"/>
            </w:tcBorders>
            <w:shd w:val="clear" w:color="auto" w:fill="auto"/>
            <w:noWrap/>
            <w:vAlign w:val="center"/>
            <w:hideMark/>
          </w:tcPr>
          <w:p w14:paraId="69BEA2F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oCS-</w:t>
            </w:r>
          </w:p>
        </w:tc>
        <w:tc>
          <w:tcPr>
            <w:tcW w:w="1350" w:type="dxa"/>
            <w:tcBorders>
              <w:top w:val="nil"/>
              <w:left w:val="nil"/>
              <w:bottom w:val="single" w:sz="4" w:space="0" w:color="auto"/>
              <w:right w:val="nil"/>
            </w:tcBorders>
            <w:shd w:val="clear" w:color="auto" w:fill="auto"/>
            <w:noWrap/>
            <w:vAlign w:val="center"/>
            <w:hideMark/>
          </w:tcPr>
          <w:p w14:paraId="517F5930"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p=0.262</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1D8D76C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p=0.027</w:t>
            </w:r>
          </w:p>
        </w:tc>
        <w:tc>
          <w:tcPr>
            <w:tcW w:w="1606" w:type="dxa"/>
            <w:tcBorders>
              <w:top w:val="nil"/>
              <w:left w:val="nil"/>
              <w:bottom w:val="single" w:sz="4" w:space="0" w:color="auto"/>
              <w:right w:val="nil"/>
            </w:tcBorders>
            <w:shd w:val="clear" w:color="auto" w:fill="auto"/>
            <w:noWrap/>
            <w:vAlign w:val="center"/>
            <w:hideMark/>
          </w:tcPr>
          <w:p w14:paraId="5711AEA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p=0.057</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5C66A6D1"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p=0.034</w:t>
            </w:r>
          </w:p>
        </w:tc>
      </w:tr>
      <w:tr w:rsidR="00256256" w:rsidRPr="003A4F68" w14:paraId="09577AF4" w14:textId="77777777" w:rsidTr="002369EC">
        <w:trPr>
          <w:trHeight w:val="70"/>
          <w:jc w:val="center"/>
        </w:trPr>
        <w:tc>
          <w:tcPr>
            <w:tcW w:w="1195" w:type="dxa"/>
            <w:vMerge/>
            <w:tcBorders>
              <w:top w:val="nil"/>
              <w:left w:val="single" w:sz="8" w:space="0" w:color="auto"/>
              <w:bottom w:val="single" w:sz="8" w:space="0" w:color="000000"/>
              <w:right w:val="single" w:sz="8" w:space="0" w:color="auto"/>
            </w:tcBorders>
            <w:vAlign w:val="center"/>
            <w:hideMark/>
          </w:tcPr>
          <w:p w14:paraId="3B58DC5D"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5B0AA2A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GS1</w:t>
            </w:r>
          </w:p>
        </w:tc>
        <w:tc>
          <w:tcPr>
            <w:tcW w:w="1350" w:type="dxa"/>
            <w:tcBorders>
              <w:top w:val="nil"/>
              <w:left w:val="nil"/>
              <w:bottom w:val="single" w:sz="4" w:space="0" w:color="auto"/>
              <w:right w:val="nil"/>
            </w:tcBorders>
            <w:shd w:val="clear" w:color="auto" w:fill="auto"/>
            <w:noWrap/>
            <w:vAlign w:val="center"/>
            <w:hideMark/>
          </w:tcPr>
          <w:p w14:paraId="420F4D8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p=0.035</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601DA129"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6BBC846C"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p=0.002</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3A311DF8"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p=0.039</w:t>
            </w:r>
          </w:p>
        </w:tc>
      </w:tr>
      <w:tr w:rsidR="00256256" w:rsidRPr="003A4F68" w14:paraId="090B37D7" w14:textId="77777777" w:rsidTr="002369EC">
        <w:trPr>
          <w:trHeight w:val="88"/>
          <w:jc w:val="center"/>
        </w:trPr>
        <w:tc>
          <w:tcPr>
            <w:tcW w:w="1195" w:type="dxa"/>
            <w:vMerge/>
            <w:tcBorders>
              <w:top w:val="nil"/>
              <w:left w:val="single" w:sz="8" w:space="0" w:color="auto"/>
              <w:bottom w:val="single" w:sz="8" w:space="0" w:color="000000"/>
              <w:right w:val="single" w:sz="8" w:space="0" w:color="auto"/>
            </w:tcBorders>
            <w:vAlign w:val="center"/>
            <w:hideMark/>
          </w:tcPr>
          <w:p w14:paraId="7C149D88"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3DEC61C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GS2</w:t>
            </w:r>
          </w:p>
        </w:tc>
        <w:tc>
          <w:tcPr>
            <w:tcW w:w="1350" w:type="dxa"/>
            <w:tcBorders>
              <w:top w:val="nil"/>
              <w:left w:val="nil"/>
              <w:bottom w:val="single" w:sz="4" w:space="0" w:color="auto"/>
              <w:right w:val="nil"/>
            </w:tcBorders>
            <w:shd w:val="clear" w:color="auto" w:fill="auto"/>
            <w:noWrap/>
            <w:vAlign w:val="center"/>
            <w:hideMark/>
          </w:tcPr>
          <w:p w14:paraId="306F83AE"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p=0.348</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411B7E2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56C2A29C"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03E526B9"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492453AF" w14:textId="77777777" w:rsidTr="002369EC">
        <w:trPr>
          <w:trHeight w:val="115"/>
          <w:jc w:val="center"/>
        </w:trPr>
        <w:tc>
          <w:tcPr>
            <w:tcW w:w="1195" w:type="dxa"/>
            <w:vMerge/>
            <w:tcBorders>
              <w:top w:val="nil"/>
              <w:left w:val="single" w:sz="8" w:space="0" w:color="auto"/>
              <w:bottom w:val="single" w:sz="8" w:space="0" w:color="000000"/>
              <w:right w:val="single" w:sz="8" w:space="0" w:color="auto"/>
            </w:tcBorders>
            <w:vAlign w:val="center"/>
            <w:hideMark/>
          </w:tcPr>
          <w:p w14:paraId="0E69E22A"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0F161B6F"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GS3</w:t>
            </w:r>
          </w:p>
        </w:tc>
        <w:tc>
          <w:tcPr>
            <w:tcW w:w="1350" w:type="dxa"/>
            <w:tcBorders>
              <w:top w:val="nil"/>
              <w:left w:val="nil"/>
              <w:bottom w:val="single" w:sz="4" w:space="0" w:color="auto"/>
              <w:right w:val="nil"/>
            </w:tcBorders>
            <w:shd w:val="clear" w:color="auto" w:fill="auto"/>
            <w:noWrap/>
            <w:vAlign w:val="center"/>
            <w:hideMark/>
          </w:tcPr>
          <w:p w14:paraId="5E273150"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p=0.078</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209BA88D"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0E9DDE93"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59706D7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6CF1A82A" w14:textId="77777777" w:rsidTr="002369EC">
        <w:trPr>
          <w:trHeight w:val="124"/>
          <w:jc w:val="center"/>
        </w:trPr>
        <w:tc>
          <w:tcPr>
            <w:tcW w:w="1195" w:type="dxa"/>
            <w:vMerge/>
            <w:tcBorders>
              <w:top w:val="nil"/>
              <w:left w:val="single" w:sz="8" w:space="0" w:color="auto"/>
              <w:bottom w:val="single" w:sz="8" w:space="0" w:color="000000"/>
              <w:right w:val="single" w:sz="8" w:space="0" w:color="auto"/>
            </w:tcBorders>
            <w:vAlign w:val="center"/>
            <w:hideMark/>
          </w:tcPr>
          <w:p w14:paraId="11AB382B"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8" w:space="0" w:color="auto"/>
              <w:right w:val="single" w:sz="8" w:space="0" w:color="auto"/>
            </w:tcBorders>
            <w:shd w:val="clear" w:color="auto" w:fill="auto"/>
            <w:noWrap/>
            <w:vAlign w:val="center"/>
            <w:hideMark/>
          </w:tcPr>
          <w:p w14:paraId="70968A0F"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CS+</w:t>
            </w:r>
          </w:p>
        </w:tc>
        <w:tc>
          <w:tcPr>
            <w:tcW w:w="1350" w:type="dxa"/>
            <w:tcBorders>
              <w:top w:val="nil"/>
              <w:left w:val="nil"/>
              <w:bottom w:val="single" w:sz="8" w:space="0" w:color="auto"/>
              <w:right w:val="nil"/>
            </w:tcBorders>
            <w:shd w:val="clear" w:color="auto" w:fill="auto"/>
            <w:noWrap/>
            <w:vAlign w:val="center"/>
            <w:hideMark/>
          </w:tcPr>
          <w:p w14:paraId="5A3B4361"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p=0.882</w:t>
            </w:r>
          </w:p>
        </w:tc>
        <w:tc>
          <w:tcPr>
            <w:tcW w:w="1831" w:type="dxa"/>
            <w:tcBorders>
              <w:top w:val="nil"/>
              <w:left w:val="single" w:sz="8" w:space="0" w:color="auto"/>
              <w:bottom w:val="single" w:sz="8" w:space="0" w:color="auto"/>
              <w:right w:val="single" w:sz="8" w:space="0" w:color="auto"/>
            </w:tcBorders>
            <w:shd w:val="clear" w:color="auto" w:fill="auto"/>
            <w:noWrap/>
            <w:vAlign w:val="center"/>
            <w:hideMark/>
          </w:tcPr>
          <w:p w14:paraId="2E94C9A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606" w:type="dxa"/>
            <w:tcBorders>
              <w:top w:val="nil"/>
              <w:left w:val="nil"/>
              <w:bottom w:val="single" w:sz="8" w:space="0" w:color="auto"/>
              <w:right w:val="nil"/>
            </w:tcBorders>
            <w:shd w:val="clear" w:color="auto" w:fill="auto"/>
            <w:noWrap/>
            <w:vAlign w:val="center"/>
            <w:hideMark/>
          </w:tcPr>
          <w:p w14:paraId="1D09480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8" w:space="0" w:color="auto"/>
              <w:right w:val="single" w:sz="8" w:space="0" w:color="auto"/>
            </w:tcBorders>
            <w:shd w:val="clear" w:color="auto" w:fill="auto"/>
            <w:noWrap/>
            <w:vAlign w:val="center"/>
            <w:hideMark/>
          </w:tcPr>
          <w:p w14:paraId="081D73D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0E432D3A" w14:textId="77777777" w:rsidTr="002369EC">
        <w:trPr>
          <w:trHeight w:val="52"/>
          <w:jc w:val="center"/>
        </w:trPr>
        <w:tc>
          <w:tcPr>
            <w:tcW w:w="1195" w:type="dxa"/>
            <w:vMerge w:val="restart"/>
            <w:tcBorders>
              <w:top w:val="nil"/>
              <w:left w:val="single" w:sz="8" w:space="0" w:color="auto"/>
              <w:bottom w:val="single" w:sz="8" w:space="0" w:color="000000"/>
              <w:right w:val="single" w:sz="8" w:space="0" w:color="auto"/>
            </w:tcBorders>
            <w:shd w:val="clear" w:color="auto" w:fill="auto"/>
            <w:vAlign w:val="center"/>
            <w:hideMark/>
          </w:tcPr>
          <w:p w14:paraId="0DCD41C8"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t-test TEPG</w:t>
            </w:r>
          </w:p>
        </w:tc>
        <w:tc>
          <w:tcPr>
            <w:tcW w:w="1530" w:type="dxa"/>
            <w:tcBorders>
              <w:top w:val="nil"/>
              <w:left w:val="nil"/>
              <w:bottom w:val="single" w:sz="4" w:space="0" w:color="auto"/>
              <w:right w:val="single" w:sz="8" w:space="0" w:color="auto"/>
            </w:tcBorders>
            <w:shd w:val="clear" w:color="auto" w:fill="auto"/>
            <w:noWrap/>
            <w:vAlign w:val="center"/>
            <w:hideMark/>
          </w:tcPr>
          <w:p w14:paraId="16614623"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oCS-</w:t>
            </w:r>
          </w:p>
        </w:tc>
        <w:tc>
          <w:tcPr>
            <w:tcW w:w="1350" w:type="dxa"/>
            <w:tcBorders>
              <w:top w:val="nil"/>
              <w:left w:val="nil"/>
              <w:bottom w:val="single" w:sz="4" w:space="0" w:color="auto"/>
              <w:right w:val="nil"/>
            </w:tcBorders>
            <w:shd w:val="clear" w:color="auto" w:fill="auto"/>
            <w:noWrap/>
            <w:vAlign w:val="center"/>
            <w:hideMark/>
          </w:tcPr>
          <w:p w14:paraId="2CCC7433"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p=0.72</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3A9286F1"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p=0.175</w:t>
            </w:r>
          </w:p>
        </w:tc>
        <w:tc>
          <w:tcPr>
            <w:tcW w:w="1606" w:type="dxa"/>
            <w:tcBorders>
              <w:top w:val="nil"/>
              <w:left w:val="nil"/>
              <w:bottom w:val="single" w:sz="4" w:space="0" w:color="auto"/>
              <w:right w:val="nil"/>
            </w:tcBorders>
            <w:shd w:val="clear" w:color="auto" w:fill="auto"/>
            <w:noWrap/>
            <w:vAlign w:val="center"/>
            <w:hideMark/>
          </w:tcPr>
          <w:p w14:paraId="224FB128"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p=0.004</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664C0AB2"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p=0.001</w:t>
            </w:r>
          </w:p>
        </w:tc>
      </w:tr>
      <w:tr w:rsidR="00256256" w:rsidRPr="003A4F68" w14:paraId="249A2D6C" w14:textId="77777777" w:rsidTr="002369EC">
        <w:trPr>
          <w:trHeight w:val="79"/>
          <w:jc w:val="center"/>
        </w:trPr>
        <w:tc>
          <w:tcPr>
            <w:tcW w:w="1195" w:type="dxa"/>
            <w:vMerge/>
            <w:tcBorders>
              <w:top w:val="nil"/>
              <w:left w:val="single" w:sz="8" w:space="0" w:color="auto"/>
              <w:bottom w:val="single" w:sz="8" w:space="0" w:color="000000"/>
              <w:right w:val="single" w:sz="8" w:space="0" w:color="auto"/>
            </w:tcBorders>
            <w:vAlign w:val="center"/>
            <w:hideMark/>
          </w:tcPr>
          <w:p w14:paraId="422AC663"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7E09A644"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GS1</w:t>
            </w:r>
          </w:p>
        </w:tc>
        <w:tc>
          <w:tcPr>
            <w:tcW w:w="1350" w:type="dxa"/>
            <w:tcBorders>
              <w:top w:val="nil"/>
              <w:left w:val="nil"/>
              <w:bottom w:val="single" w:sz="4" w:space="0" w:color="auto"/>
              <w:right w:val="nil"/>
            </w:tcBorders>
            <w:shd w:val="clear" w:color="auto" w:fill="auto"/>
            <w:noWrap/>
            <w:vAlign w:val="center"/>
            <w:hideMark/>
          </w:tcPr>
          <w:p w14:paraId="533C8AE5"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p=0.232</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54A9475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7D22876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p=0.006</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30B1807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66C3BB92" w14:textId="77777777" w:rsidTr="002369EC">
        <w:trPr>
          <w:trHeight w:val="47"/>
          <w:jc w:val="center"/>
        </w:trPr>
        <w:tc>
          <w:tcPr>
            <w:tcW w:w="1195" w:type="dxa"/>
            <w:vMerge/>
            <w:tcBorders>
              <w:top w:val="nil"/>
              <w:left w:val="single" w:sz="8" w:space="0" w:color="auto"/>
              <w:bottom w:val="single" w:sz="8" w:space="0" w:color="000000"/>
              <w:right w:val="single" w:sz="8" w:space="0" w:color="auto"/>
            </w:tcBorders>
            <w:vAlign w:val="center"/>
            <w:hideMark/>
          </w:tcPr>
          <w:p w14:paraId="49CD5A0E"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6604B269"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GS2</w:t>
            </w:r>
          </w:p>
        </w:tc>
        <w:tc>
          <w:tcPr>
            <w:tcW w:w="1350" w:type="dxa"/>
            <w:tcBorders>
              <w:top w:val="nil"/>
              <w:left w:val="nil"/>
              <w:bottom w:val="single" w:sz="4" w:space="0" w:color="auto"/>
              <w:right w:val="nil"/>
            </w:tcBorders>
            <w:shd w:val="clear" w:color="auto" w:fill="auto"/>
            <w:noWrap/>
            <w:vAlign w:val="center"/>
            <w:hideMark/>
          </w:tcPr>
          <w:p w14:paraId="5D3D527D"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p=0.434</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1492784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521D00B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3DB1BD9B"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30143C24" w14:textId="77777777" w:rsidTr="002369EC">
        <w:trPr>
          <w:trHeight w:val="124"/>
          <w:jc w:val="center"/>
        </w:trPr>
        <w:tc>
          <w:tcPr>
            <w:tcW w:w="1195" w:type="dxa"/>
            <w:vMerge/>
            <w:tcBorders>
              <w:top w:val="nil"/>
              <w:left w:val="single" w:sz="8" w:space="0" w:color="auto"/>
              <w:bottom w:val="single" w:sz="8" w:space="0" w:color="000000"/>
              <w:right w:val="single" w:sz="8" w:space="0" w:color="auto"/>
            </w:tcBorders>
            <w:vAlign w:val="center"/>
            <w:hideMark/>
          </w:tcPr>
          <w:p w14:paraId="7DFFCF30"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4" w:space="0" w:color="auto"/>
              <w:right w:val="single" w:sz="8" w:space="0" w:color="auto"/>
            </w:tcBorders>
            <w:shd w:val="clear" w:color="auto" w:fill="auto"/>
            <w:noWrap/>
            <w:vAlign w:val="center"/>
            <w:hideMark/>
          </w:tcPr>
          <w:p w14:paraId="59BC6E01"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GS3</w:t>
            </w:r>
          </w:p>
        </w:tc>
        <w:tc>
          <w:tcPr>
            <w:tcW w:w="1350" w:type="dxa"/>
            <w:tcBorders>
              <w:top w:val="nil"/>
              <w:left w:val="nil"/>
              <w:bottom w:val="single" w:sz="4" w:space="0" w:color="auto"/>
              <w:right w:val="nil"/>
            </w:tcBorders>
            <w:shd w:val="clear" w:color="auto" w:fill="auto"/>
            <w:noWrap/>
            <w:vAlign w:val="center"/>
            <w:hideMark/>
          </w:tcPr>
          <w:p w14:paraId="2CD5091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p=0.783</w:t>
            </w:r>
          </w:p>
        </w:tc>
        <w:tc>
          <w:tcPr>
            <w:tcW w:w="1831" w:type="dxa"/>
            <w:tcBorders>
              <w:top w:val="nil"/>
              <w:left w:val="single" w:sz="8" w:space="0" w:color="auto"/>
              <w:bottom w:val="single" w:sz="4" w:space="0" w:color="auto"/>
              <w:right w:val="single" w:sz="8" w:space="0" w:color="auto"/>
            </w:tcBorders>
            <w:shd w:val="clear" w:color="auto" w:fill="auto"/>
            <w:noWrap/>
            <w:vAlign w:val="center"/>
            <w:hideMark/>
          </w:tcPr>
          <w:p w14:paraId="03CA59FA"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w:t>
            </w:r>
          </w:p>
        </w:tc>
        <w:tc>
          <w:tcPr>
            <w:tcW w:w="1606" w:type="dxa"/>
            <w:tcBorders>
              <w:top w:val="nil"/>
              <w:left w:val="nil"/>
              <w:bottom w:val="single" w:sz="4" w:space="0" w:color="auto"/>
              <w:right w:val="nil"/>
            </w:tcBorders>
            <w:shd w:val="clear" w:color="auto" w:fill="auto"/>
            <w:noWrap/>
            <w:vAlign w:val="center"/>
            <w:hideMark/>
          </w:tcPr>
          <w:p w14:paraId="04EA7C2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4" w:space="0" w:color="auto"/>
              <w:right w:val="single" w:sz="8" w:space="0" w:color="auto"/>
            </w:tcBorders>
            <w:shd w:val="clear" w:color="auto" w:fill="auto"/>
            <w:noWrap/>
            <w:vAlign w:val="center"/>
            <w:hideMark/>
          </w:tcPr>
          <w:p w14:paraId="32A99DB7"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r w:rsidR="00256256" w:rsidRPr="003A4F68" w14:paraId="4B6810D1" w14:textId="77777777" w:rsidTr="002369EC">
        <w:trPr>
          <w:trHeight w:val="52"/>
          <w:jc w:val="center"/>
        </w:trPr>
        <w:tc>
          <w:tcPr>
            <w:tcW w:w="1195" w:type="dxa"/>
            <w:vMerge/>
            <w:tcBorders>
              <w:top w:val="nil"/>
              <w:left w:val="single" w:sz="8" w:space="0" w:color="auto"/>
              <w:bottom w:val="single" w:sz="8" w:space="0" w:color="000000"/>
              <w:right w:val="single" w:sz="8" w:space="0" w:color="auto"/>
            </w:tcBorders>
            <w:vAlign w:val="center"/>
            <w:hideMark/>
          </w:tcPr>
          <w:p w14:paraId="1353EF92" w14:textId="77777777" w:rsidR="00256256" w:rsidRPr="003A4F68" w:rsidRDefault="00256256" w:rsidP="00985F9F">
            <w:pPr>
              <w:jc w:val="center"/>
              <w:rPr>
                <w:rFonts w:ascii="Arial" w:hAnsi="Arial" w:cs="Arial"/>
                <w:color w:val="000000"/>
                <w:sz w:val="22"/>
                <w:szCs w:val="22"/>
              </w:rPr>
            </w:pPr>
          </w:p>
        </w:tc>
        <w:tc>
          <w:tcPr>
            <w:tcW w:w="1530" w:type="dxa"/>
            <w:tcBorders>
              <w:top w:val="nil"/>
              <w:left w:val="nil"/>
              <w:bottom w:val="single" w:sz="8" w:space="0" w:color="auto"/>
              <w:right w:val="single" w:sz="8" w:space="0" w:color="auto"/>
            </w:tcBorders>
            <w:shd w:val="clear" w:color="auto" w:fill="auto"/>
            <w:noWrap/>
            <w:vAlign w:val="center"/>
            <w:hideMark/>
          </w:tcPr>
          <w:p w14:paraId="161A7A40"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vCS- vs CS+</w:t>
            </w:r>
          </w:p>
        </w:tc>
        <w:tc>
          <w:tcPr>
            <w:tcW w:w="1350" w:type="dxa"/>
            <w:tcBorders>
              <w:top w:val="nil"/>
              <w:left w:val="nil"/>
              <w:bottom w:val="single" w:sz="8" w:space="0" w:color="auto"/>
              <w:right w:val="nil"/>
            </w:tcBorders>
            <w:shd w:val="clear" w:color="auto" w:fill="auto"/>
            <w:noWrap/>
            <w:vAlign w:val="center"/>
            <w:hideMark/>
          </w:tcPr>
          <w:p w14:paraId="10D0A44C"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p=0.394</w:t>
            </w:r>
          </w:p>
        </w:tc>
        <w:tc>
          <w:tcPr>
            <w:tcW w:w="1831" w:type="dxa"/>
            <w:tcBorders>
              <w:top w:val="nil"/>
              <w:left w:val="single" w:sz="8" w:space="0" w:color="auto"/>
              <w:bottom w:val="single" w:sz="8" w:space="0" w:color="auto"/>
              <w:right w:val="single" w:sz="8" w:space="0" w:color="auto"/>
            </w:tcBorders>
            <w:shd w:val="clear" w:color="auto" w:fill="auto"/>
            <w:noWrap/>
            <w:vAlign w:val="center"/>
            <w:hideMark/>
          </w:tcPr>
          <w:p w14:paraId="2F3BB02E"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606" w:type="dxa"/>
            <w:tcBorders>
              <w:top w:val="nil"/>
              <w:left w:val="nil"/>
              <w:bottom w:val="single" w:sz="8" w:space="0" w:color="auto"/>
              <w:right w:val="nil"/>
            </w:tcBorders>
            <w:shd w:val="clear" w:color="auto" w:fill="auto"/>
            <w:noWrap/>
            <w:vAlign w:val="center"/>
            <w:hideMark/>
          </w:tcPr>
          <w:p w14:paraId="1FE2B3DF"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c>
          <w:tcPr>
            <w:tcW w:w="1783" w:type="dxa"/>
            <w:tcBorders>
              <w:top w:val="nil"/>
              <w:left w:val="single" w:sz="8" w:space="0" w:color="auto"/>
              <w:bottom w:val="single" w:sz="8" w:space="0" w:color="auto"/>
              <w:right w:val="single" w:sz="8" w:space="0" w:color="auto"/>
            </w:tcBorders>
            <w:shd w:val="clear" w:color="auto" w:fill="auto"/>
            <w:noWrap/>
            <w:vAlign w:val="center"/>
            <w:hideMark/>
          </w:tcPr>
          <w:p w14:paraId="571B3FB6" w14:textId="77777777" w:rsidR="00256256" w:rsidRPr="003A4F68" w:rsidRDefault="00256256" w:rsidP="00985F9F">
            <w:pPr>
              <w:jc w:val="center"/>
              <w:rPr>
                <w:rFonts w:ascii="Arial" w:hAnsi="Arial" w:cs="Arial"/>
                <w:color w:val="000000"/>
                <w:sz w:val="22"/>
                <w:szCs w:val="22"/>
              </w:rPr>
            </w:pPr>
            <w:r w:rsidRPr="003A4F68">
              <w:rPr>
                <w:rFonts w:ascii="Arial" w:hAnsi="Arial" w:cs="Arial"/>
                <w:color w:val="000000"/>
                <w:sz w:val="22"/>
                <w:szCs w:val="22"/>
              </w:rPr>
              <w:t>p=0.000</w:t>
            </w:r>
          </w:p>
        </w:tc>
      </w:tr>
    </w:tbl>
    <w:p w14:paraId="68DB8333" w14:textId="77777777" w:rsidR="00256256" w:rsidRPr="003A4F68" w:rsidRDefault="00256256" w:rsidP="00256256">
      <w:pPr>
        <w:jc w:val="both"/>
        <w:rPr>
          <w:rFonts w:ascii="Arial" w:hAnsi="Arial" w:cs="Arial"/>
          <w:sz w:val="22"/>
          <w:szCs w:val="22"/>
        </w:rPr>
      </w:pPr>
    </w:p>
    <w:p w14:paraId="484519F0" w14:textId="77777777" w:rsidR="00256256" w:rsidRPr="003A4F68" w:rsidRDefault="00256256" w:rsidP="00256256">
      <w:pPr>
        <w:jc w:val="both"/>
        <w:rPr>
          <w:rFonts w:ascii="Arial" w:hAnsi="Arial" w:cs="Arial"/>
          <w:sz w:val="22"/>
          <w:szCs w:val="22"/>
        </w:rPr>
      </w:pPr>
    </w:p>
    <w:p w14:paraId="1E00E0EF" w14:textId="77777777" w:rsidR="00256256" w:rsidRPr="003A4F68" w:rsidRDefault="00256256" w:rsidP="00256256">
      <w:pPr>
        <w:jc w:val="both"/>
        <w:rPr>
          <w:rFonts w:ascii="Arial" w:hAnsi="Arial" w:cs="Arial"/>
          <w:sz w:val="22"/>
          <w:szCs w:val="22"/>
        </w:rPr>
      </w:pPr>
    </w:p>
    <w:p w14:paraId="10C22F57" w14:textId="211785EB" w:rsidR="007843C9" w:rsidRPr="003A4F68" w:rsidRDefault="007843C9" w:rsidP="00256256">
      <w:pPr>
        <w:pStyle w:val="NormalWeb"/>
        <w:shd w:val="clear" w:color="auto" w:fill="FFFFFF"/>
        <w:textAlignment w:val="baseline"/>
        <w:rPr>
          <w:rFonts w:ascii="Arial" w:hAnsi="Arial" w:cs="Arial"/>
          <w:sz w:val="22"/>
          <w:szCs w:val="22"/>
        </w:rPr>
      </w:pPr>
    </w:p>
    <w:sectPr w:rsidR="007843C9" w:rsidRPr="003A4F68" w:rsidSect="00F125EE">
      <w:headerReference w:type="default" r:id="rId17"/>
      <w:footerReference w:type="default" r:id="rId1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16BCE" w14:textId="77777777" w:rsidR="009606C6" w:rsidRDefault="009606C6">
      <w:r>
        <w:separator/>
      </w:r>
    </w:p>
  </w:endnote>
  <w:endnote w:type="continuationSeparator" w:id="0">
    <w:p w14:paraId="0933FDF0" w14:textId="77777777" w:rsidR="009606C6" w:rsidRDefault="0096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7EFF20DE" w:rsidR="00F125EE" w:rsidRDefault="00114193">
    <w:pPr>
      <w:pStyle w:val="Footer"/>
      <w:jc w:val="right"/>
    </w:pPr>
    <w:r>
      <w:fldChar w:fldCharType="begin"/>
    </w:r>
    <w:r>
      <w:instrText xml:space="preserve"> PAGE   \* MERGEFORMAT </w:instrText>
    </w:r>
    <w:r>
      <w:fldChar w:fldCharType="separate"/>
    </w:r>
    <w:r w:rsidR="00DC623A">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AE29F" w14:textId="77777777" w:rsidR="009606C6" w:rsidRDefault="009606C6">
      <w:r>
        <w:separator/>
      </w:r>
    </w:p>
  </w:footnote>
  <w:footnote w:type="continuationSeparator" w:id="0">
    <w:p w14:paraId="48241BC1" w14:textId="77777777" w:rsidR="009606C6" w:rsidRDefault="00960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782588">
    <w:abstractNumId w:val="9"/>
  </w:num>
  <w:num w:numId="2" w16cid:durableId="2041008708">
    <w:abstractNumId w:val="7"/>
  </w:num>
  <w:num w:numId="3" w16cid:durableId="1441530930">
    <w:abstractNumId w:val="6"/>
  </w:num>
  <w:num w:numId="4" w16cid:durableId="1535996127">
    <w:abstractNumId w:val="5"/>
  </w:num>
  <w:num w:numId="5" w16cid:durableId="820658252">
    <w:abstractNumId w:val="4"/>
  </w:num>
  <w:num w:numId="6" w16cid:durableId="660886013">
    <w:abstractNumId w:val="8"/>
  </w:num>
  <w:num w:numId="7" w16cid:durableId="578558136">
    <w:abstractNumId w:val="3"/>
  </w:num>
  <w:num w:numId="8" w16cid:durableId="1020816267">
    <w:abstractNumId w:val="2"/>
  </w:num>
  <w:num w:numId="9" w16cid:durableId="404835700">
    <w:abstractNumId w:val="1"/>
  </w:num>
  <w:num w:numId="10" w16cid:durableId="816647583">
    <w:abstractNumId w:val="0"/>
  </w:num>
  <w:num w:numId="11" w16cid:durableId="1546138430">
    <w:abstractNumId w:val="10"/>
  </w:num>
  <w:num w:numId="12" w16cid:durableId="71051647">
    <w:abstractNumId w:val="12"/>
  </w:num>
  <w:num w:numId="13" w16cid:durableId="358314505">
    <w:abstractNumId w:val="13"/>
  </w:num>
  <w:num w:numId="14" w16cid:durableId="15070176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5F74"/>
    <w:rsid w:val="00017C53"/>
    <w:rsid w:val="00030840"/>
    <w:rsid w:val="00065EBD"/>
    <w:rsid w:val="00073CED"/>
    <w:rsid w:val="00083B44"/>
    <w:rsid w:val="00084D20"/>
    <w:rsid w:val="000850DC"/>
    <w:rsid w:val="000937A0"/>
    <w:rsid w:val="000A41E4"/>
    <w:rsid w:val="000C2771"/>
    <w:rsid w:val="000E6534"/>
    <w:rsid w:val="000F07CE"/>
    <w:rsid w:val="000F0DCE"/>
    <w:rsid w:val="00112C5B"/>
    <w:rsid w:val="00114193"/>
    <w:rsid w:val="00115A38"/>
    <w:rsid w:val="0011687B"/>
    <w:rsid w:val="00124F82"/>
    <w:rsid w:val="001504A3"/>
    <w:rsid w:val="00150709"/>
    <w:rsid w:val="0016337A"/>
    <w:rsid w:val="00164269"/>
    <w:rsid w:val="001A1BDE"/>
    <w:rsid w:val="001C0520"/>
    <w:rsid w:val="001C0975"/>
    <w:rsid w:val="001F0876"/>
    <w:rsid w:val="001F167C"/>
    <w:rsid w:val="001F5E91"/>
    <w:rsid w:val="002077B9"/>
    <w:rsid w:val="002314E9"/>
    <w:rsid w:val="002369EC"/>
    <w:rsid w:val="00256256"/>
    <w:rsid w:val="00262D72"/>
    <w:rsid w:val="00294FBB"/>
    <w:rsid w:val="002C030F"/>
    <w:rsid w:val="002C667A"/>
    <w:rsid w:val="00325D90"/>
    <w:rsid w:val="00331D75"/>
    <w:rsid w:val="00332BFB"/>
    <w:rsid w:val="00355362"/>
    <w:rsid w:val="00363E44"/>
    <w:rsid w:val="00370297"/>
    <w:rsid w:val="00387114"/>
    <w:rsid w:val="00395E86"/>
    <w:rsid w:val="00397983"/>
    <w:rsid w:val="003A2FD8"/>
    <w:rsid w:val="003A4F68"/>
    <w:rsid w:val="003B40E6"/>
    <w:rsid w:val="003F6E14"/>
    <w:rsid w:val="00405336"/>
    <w:rsid w:val="004571D5"/>
    <w:rsid w:val="00461D81"/>
    <w:rsid w:val="0046356B"/>
    <w:rsid w:val="00477182"/>
    <w:rsid w:val="004779CB"/>
    <w:rsid w:val="004A159F"/>
    <w:rsid w:val="004B2F21"/>
    <w:rsid w:val="004E42D8"/>
    <w:rsid w:val="004E7BA2"/>
    <w:rsid w:val="004F7EDF"/>
    <w:rsid w:val="005001AC"/>
    <w:rsid w:val="00527D71"/>
    <w:rsid w:val="00553771"/>
    <w:rsid w:val="005607DD"/>
    <w:rsid w:val="00565720"/>
    <w:rsid w:val="005A558C"/>
    <w:rsid w:val="005D088E"/>
    <w:rsid w:val="005E28F8"/>
    <w:rsid w:val="005E6513"/>
    <w:rsid w:val="006069C6"/>
    <w:rsid w:val="00611A19"/>
    <w:rsid w:val="006140DF"/>
    <w:rsid w:val="00651114"/>
    <w:rsid w:val="0065772A"/>
    <w:rsid w:val="00670299"/>
    <w:rsid w:val="00691985"/>
    <w:rsid w:val="006A1B64"/>
    <w:rsid w:val="006D169A"/>
    <w:rsid w:val="006E3E68"/>
    <w:rsid w:val="007108F5"/>
    <w:rsid w:val="00713E5B"/>
    <w:rsid w:val="00733A9C"/>
    <w:rsid w:val="00733DA9"/>
    <w:rsid w:val="007402FC"/>
    <w:rsid w:val="007411A1"/>
    <w:rsid w:val="00763345"/>
    <w:rsid w:val="007843C9"/>
    <w:rsid w:val="00797F24"/>
    <w:rsid w:val="007B5946"/>
    <w:rsid w:val="007F5297"/>
    <w:rsid w:val="00807D35"/>
    <w:rsid w:val="0082042E"/>
    <w:rsid w:val="00820484"/>
    <w:rsid w:val="00824DF3"/>
    <w:rsid w:val="00840BB2"/>
    <w:rsid w:val="00885C9B"/>
    <w:rsid w:val="008C069B"/>
    <w:rsid w:val="008D5D2A"/>
    <w:rsid w:val="00914B63"/>
    <w:rsid w:val="009258B8"/>
    <w:rsid w:val="009354F3"/>
    <w:rsid w:val="009417D1"/>
    <w:rsid w:val="00943C3C"/>
    <w:rsid w:val="009447DC"/>
    <w:rsid w:val="009519CF"/>
    <w:rsid w:val="009606C6"/>
    <w:rsid w:val="00961BA5"/>
    <w:rsid w:val="009743A9"/>
    <w:rsid w:val="009A5287"/>
    <w:rsid w:val="009A670E"/>
    <w:rsid w:val="009B2AC5"/>
    <w:rsid w:val="009B7984"/>
    <w:rsid w:val="009F4BED"/>
    <w:rsid w:val="009F7D93"/>
    <w:rsid w:val="00A3403B"/>
    <w:rsid w:val="00A51A12"/>
    <w:rsid w:val="00A627D4"/>
    <w:rsid w:val="00A72B81"/>
    <w:rsid w:val="00A74DA2"/>
    <w:rsid w:val="00A804D2"/>
    <w:rsid w:val="00A84FB0"/>
    <w:rsid w:val="00AC15B4"/>
    <w:rsid w:val="00AD499C"/>
    <w:rsid w:val="00AE5A70"/>
    <w:rsid w:val="00B003EE"/>
    <w:rsid w:val="00B15008"/>
    <w:rsid w:val="00B16F99"/>
    <w:rsid w:val="00B36869"/>
    <w:rsid w:val="00B42F9C"/>
    <w:rsid w:val="00B43B31"/>
    <w:rsid w:val="00B47CFA"/>
    <w:rsid w:val="00B57F00"/>
    <w:rsid w:val="00B77B2A"/>
    <w:rsid w:val="00B82C22"/>
    <w:rsid w:val="00B8723B"/>
    <w:rsid w:val="00B93DBA"/>
    <w:rsid w:val="00B9440A"/>
    <w:rsid w:val="00BB2D2A"/>
    <w:rsid w:val="00BD58CF"/>
    <w:rsid w:val="00C046DC"/>
    <w:rsid w:val="00C04CC1"/>
    <w:rsid w:val="00C14C0A"/>
    <w:rsid w:val="00C47714"/>
    <w:rsid w:val="00C50C6D"/>
    <w:rsid w:val="00C600D9"/>
    <w:rsid w:val="00C92A7D"/>
    <w:rsid w:val="00CA0169"/>
    <w:rsid w:val="00CB1979"/>
    <w:rsid w:val="00CC1384"/>
    <w:rsid w:val="00CD3720"/>
    <w:rsid w:val="00CF16C9"/>
    <w:rsid w:val="00CF1848"/>
    <w:rsid w:val="00CF5C2F"/>
    <w:rsid w:val="00CF7B47"/>
    <w:rsid w:val="00D04BCF"/>
    <w:rsid w:val="00D143D9"/>
    <w:rsid w:val="00D269AB"/>
    <w:rsid w:val="00D346C2"/>
    <w:rsid w:val="00DA22DA"/>
    <w:rsid w:val="00DA59EA"/>
    <w:rsid w:val="00DC623A"/>
    <w:rsid w:val="00DD421A"/>
    <w:rsid w:val="00E257C8"/>
    <w:rsid w:val="00E37047"/>
    <w:rsid w:val="00E60D0F"/>
    <w:rsid w:val="00E9773B"/>
    <w:rsid w:val="00EA596B"/>
    <w:rsid w:val="00EB2255"/>
    <w:rsid w:val="00EC13A3"/>
    <w:rsid w:val="00EC7C85"/>
    <w:rsid w:val="00ED096C"/>
    <w:rsid w:val="00EE27E6"/>
    <w:rsid w:val="00EE3CFB"/>
    <w:rsid w:val="00F04CD9"/>
    <w:rsid w:val="00F125EE"/>
    <w:rsid w:val="00F12E98"/>
    <w:rsid w:val="00F22029"/>
    <w:rsid w:val="00F25DEF"/>
    <w:rsid w:val="00F514EC"/>
    <w:rsid w:val="00F60CD4"/>
    <w:rsid w:val="00F630EA"/>
    <w:rsid w:val="00F7007E"/>
    <w:rsid w:val="00F70200"/>
    <w:rsid w:val="00F73193"/>
    <w:rsid w:val="00F74F95"/>
    <w:rsid w:val="00F80705"/>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paragraph" w:customStyle="1" w:styleId="p">
    <w:name w:val="p"/>
    <w:basedOn w:val="Normal"/>
    <w:rsid w:val="009417D1"/>
    <w:pPr>
      <w:spacing w:before="100" w:beforeAutospacing="1" w:after="100" w:afterAutospacing="1"/>
    </w:pPr>
    <w:rPr>
      <w:szCs w:val="24"/>
      <w:lang w:eastAsia="zh-CN"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time-series-analysi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topics/medicine-and-dentistry/dna-templat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7E92A-EA51-7B4C-A6EF-FEAFE56BC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5133</Words>
  <Characters>29259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34324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Zhu, Xi (NYSPI)</cp:lastModifiedBy>
  <cp:revision>6</cp:revision>
  <cp:lastPrinted>2018-02-26T17:19:00Z</cp:lastPrinted>
  <dcterms:created xsi:type="dcterms:W3CDTF">2022-05-09T19:39:00Z</dcterms:created>
  <dcterms:modified xsi:type="dcterms:W3CDTF">2022-05-31T18:14:00Z</dcterms:modified>
</cp:coreProperties>
</file>