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36E78" w14:textId="77777777" w:rsidR="00675667" w:rsidRPr="00B71E62" w:rsidRDefault="00675667" w:rsidP="00675667">
      <w:pPr>
        <w:rPr>
          <w:rFonts w:cs="Times New Roman"/>
          <w:b/>
          <w:szCs w:val="24"/>
        </w:rPr>
      </w:pPr>
      <w:bookmarkStart w:id="0" w:name="_Hlk19869090"/>
      <w:bookmarkStart w:id="1" w:name="_GoBack"/>
      <w:bookmarkEnd w:id="1"/>
      <w:r w:rsidRPr="00B71E62">
        <w:rPr>
          <w:rFonts w:cs="Times New Roman"/>
          <w:b/>
          <w:szCs w:val="24"/>
        </w:rPr>
        <w:t>Supplemental Table 6. Characteristics of influenza-positive patients by site (Mexico, Romania, Moscow, St. Petersburg, Serbia, South Africa, and Spain)</w:t>
      </w:r>
    </w:p>
    <w:tbl>
      <w:tblPr>
        <w:tblW w:w="4570" w:type="pct"/>
        <w:tblLayout w:type="fixed"/>
        <w:tblLook w:val="04A0" w:firstRow="1" w:lastRow="0" w:firstColumn="1" w:lastColumn="0" w:noHBand="0" w:noVBand="1"/>
      </w:tblPr>
      <w:tblGrid>
        <w:gridCol w:w="2128"/>
        <w:gridCol w:w="2268"/>
        <w:gridCol w:w="1133"/>
        <w:gridCol w:w="1133"/>
        <w:gridCol w:w="1276"/>
        <w:gridCol w:w="1276"/>
        <w:gridCol w:w="1135"/>
        <w:gridCol w:w="1133"/>
        <w:gridCol w:w="1276"/>
      </w:tblGrid>
      <w:tr w:rsidR="00675667" w:rsidRPr="00B71E62" w14:paraId="277F12F0" w14:textId="77777777" w:rsidTr="00F235CE">
        <w:trPr>
          <w:trHeight w:val="57"/>
        </w:trPr>
        <w:tc>
          <w:tcPr>
            <w:tcW w:w="83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F19CE6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1D234F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05C01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63EB8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110710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8D225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n (%)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B2AD6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B35210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5FFD2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675667" w:rsidRPr="00B71E62" w14:paraId="1659B1B6" w14:textId="77777777" w:rsidTr="00F235CE">
        <w:trPr>
          <w:trHeight w:val="57"/>
        </w:trPr>
        <w:tc>
          <w:tcPr>
            <w:tcW w:w="8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65841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Characteristic</w:t>
            </w:r>
          </w:p>
        </w:tc>
        <w:tc>
          <w:tcPr>
            <w:tcW w:w="8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491FF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11E26A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Mexico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27E33C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Romania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54FC2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Moscow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11B2F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St. Petersburg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0AD64A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Serbia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BAFB2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201F3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Spain</w:t>
            </w:r>
          </w:p>
        </w:tc>
      </w:tr>
      <w:tr w:rsidR="00675667" w:rsidRPr="00B71E62" w14:paraId="4BB0AFFF" w14:textId="77777777" w:rsidTr="00F235CE">
        <w:trPr>
          <w:trHeight w:val="57"/>
        </w:trPr>
        <w:tc>
          <w:tcPr>
            <w:tcW w:w="834" w:type="pc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0A033FDA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39B55288" w14:textId="77777777" w:rsidR="00675667" w:rsidRPr="00B71E62" w:rsidRDefault="00675667" w:rsidP="00F235CE">
            <w:pPr>
              <w:keepNext/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7C2BF80E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N=701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3DD82A52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N=492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28DC61BC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N=1247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299E29E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N=3101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33B9B2F8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N=590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7613B53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N=1123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6D1B4EF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N=2841</w:t>
            </w:r>
          </w:p>
        </w:tc>
      </w:tr>
      <w:tr w:rsidR="00675667" w:rsidRPr="00B71E62" w14:paraId="53AF0D90" w14:textId="77777777" w:rsidTr="00F235CE">
        <w:trPr>
          <w:trHeight w:val="57"/>
        </w:trPr>
        <w:tc>
          <w:tcPr>
            <w:tcW w:w="834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545C9CE2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FFB5C5F" w14:textId="77777777" w:rsidR="00675667" w:rsidRPr="00B71E62" w:rsidRDefault="00675667" w:rsidP="00F235CE">
            <w:pPr>
              <w:keepNext/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&lt;1 y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9139348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146 (20.8)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F062B37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39 (7.9)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AB4B2B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76 (6.1)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1384F1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580 (18.7)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83E61C6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24 (4.1)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5C39A28C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517 (46.0)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A1DC8DA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271 (9.5)</w:t>
            </w:r>
          </w:p>
        </w:tc>
      </w:tr>
      <w:tr w:rsidR="00675667" w:rsidRPr="00B71E62" w14:paraId="1E65F4F3" w14:textId="77777777" w:rsidTr="00F235CE">
        <w:trPr>
          <w:trHeight w:val="57"/>
        </w:trPr>
        <w:tc>
          <w:tcPr>
            <w:tcW w:w="834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7DA83A41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9CFD3DD" w14:textId="77777777" w:rsidR="00675667" w:rsidRPr="00B71E62" w:rsidRDefault="00675667" w:rsidP="00F235CE">
            <w:pPr>
              <w:keepNext/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1 to &lt;5 y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4FF8FB0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239 (34.1)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B383AF1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182 (37.0)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739E787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328 (26.3)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5373CD7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983 (31.7)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C9DC9D0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19 (3.2)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C53EEE7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231 (20.6)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B00F28D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223 (7.8)</w:t>
            </w:r>
          </w:p>
        </w:tc>
      </w:tr>
      <w:tr w:rsidR="00675667" w:rsidRPr="00B71E62" w14:paraId="13D2B055" w14:textId="77777777" w:rsidTr="00F235CE">
        <w:trPr>
          <w:trHeight w:val="57"/>
        </w:trPr>
        <w:tc>
          <w:tcPr>
            <w:tcW w:w="834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4872CD24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734C720" w14:textId="77777777" w:rsidR="00675667" w:rsidRPr="00B71E62" w:rsidRDefault="00675667" w:rsidP="00F235CE">
            <w:pPr>
              <w:keepNext/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5 to &lt;15 y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EC809CA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64 (9.1)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B2C6B45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103 (20.9)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21BE43A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164 (13.2)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530F345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371 (12.0)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9582BC7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17 (2.9)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69424EC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18 (1.6)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C592AFB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66 (2.3)</w:t>
            </w:r>
          </w:p>
        </w:tc>
      </w:tr>
      <w:tr w:rsidR="00675667" w:rsidRPr="00B71E62" w14:paraId="5793258C" w14:textId="77777777" w:rsidTr="00F235CE">
        <w:trPr>
          <w:trHeight w:val="57"/>
        </w:trPr>
        <w:tc>
          <w:tcPr>
            <w:tcW w:w="834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14C37BDB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A734545" w14:textId="77777777" w:rsidR="00675667" w:rsidRPr="00B71E62" w:rsidRDefault="00675667" w:rsidP="00F235CE">
            <w:pPr>
              <w:keepNext/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15 to &lt;50 y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335313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110 (15.7)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AAD2FCB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89 (18.1)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10F566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537 (43.1)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472E7E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790 (25.5)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737D9E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136 (23.1)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4AEF09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172 (15.3)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650DF4C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234 (8.2)</w:t>
            </w:r>
          </w:p>
        </w:tc>
      </w:tr>
      <w:tr w:rsidR="00675667" w:rsidRPr="00B71E62" w14:paraId="51F714EF" w14:textId="77777777" w:rsidTr="00F235CE">
        <w:trPr>
          <w:trHeight w:val="57"/>
        </w:trPr>
        <w:tc>
          <w:tcPr>
            <w:tcW w:w="834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43145BE1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F158F6A" w14:textId="77777777" w:rsidR="00675667" w:rsidRPr="00B71E62" w:rsidRDefault="00675667" w:rsidP="00F235CE">
            <w:pPr>
              <w:keepNext/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50 to &lt;65 y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92BDD0D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51 (7.3)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2CC2C31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50 (10.2)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DC82002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69 (5.5)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518095C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199 (6.4)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CFF2E8A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164 (27.8)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4A93AE6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119 (10.6)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B45706F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361 (12.7)</w:t>
            </w:r>
          </w:p>
        </w:tc>
      </w:tr>
      <w:tr w:rsidR="00675667" w:rsidRPr="00B71E62" w14:paraId="594E6D42" w14:textId="77777777" w:rsidTr="00F235CE">
        <w:trPr>
          <w:trHeight w:val="57"/>
        </w:trPr>
        <w:tc>
          <w:tcPr>
            <w:tcW w:w="834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0EEB0106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89301BE" w14:textId="77777777" w:rsidR="00675667" w:rsidRPr="00B71E62" w:rsidRDefault="00675667" w:rsidP="00F235CE">
            <w:pPr>
              <w:keepNext/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65 to &lt;75 y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AB6C990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35 (5.0)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15F769A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14 (2.8)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655AAE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24 (1.9)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5F89C877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105 (3.4)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3DC6827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149 (25.3)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99481B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38 (3.4)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5141831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469 (16.5)</w:t>
            </w:r>
          </w:p>
        </w:tc>
      </w:tr>
      <w:tr w:rsidR="00675667" w:rsidRPr="00B71E62" w14:paraId="00EE00E2" w14:textId="77777777" w:rsidTr="00F235CE">
        <w:trPr>
          <w:trHeight w:val="57"/>
        </w:trPr>
        <w:tc>
          <w:tcPr>
            <w:tcW w:w="834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30C25265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9DFC93B" w14:textId="77777777" w:rsidR="00675667" w:rsidRPr="00B71E62" w:rsidRDefault="00675667" w:rsidP="00F235CE">
            <w:pPr>
              <w:keepNext/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75 to &lt;85 y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9379C6D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43 (6.1)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578B9B8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13 (2.6)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379A38E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29 (2.3)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C84650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62 (2.0)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E24099F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71 (12.0)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791D0F5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25 (2.2)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00A29AF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641 (22.6)</w:t>
            </w:r>
          </w:p>
        </w:tc>
      </w:tr>
      <w:tr w:rsidR="00675667" w:rsidRPr="00B71E62" w14:paraId="46B01C0A" w14:textId="77777777" w:rsidTr="00F235CE">
        <w:trPr>
          <w:trHeight w:val="57"/>
        </w:trPr>
        <w:tc>
          <w:tcPr>
            <w:tcW w:w="834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45A49D91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573D97BF" w14:textId="77777777" w:rsidR="00675667" w:rsidRPr="00B71E62" w:rsidRDefault="00675667" w:rsidP="00F235CE">
            <w:pPr>
              <w:keepNext/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≥85 y</w:t>
            </w:r>
          </w:p>
        </w:tc>
        <w:tc>
          <w:tcPr>
            <w:tcW w:w="444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70F3580B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13 (1.9)</w:t>
            </w:r>
          </w:p>
        </w:tc>
        <w:tc>
          <w:tcPr>
            <w:tcW w:w="444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4285A026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 (0.4)</w:t>
            </w:r>
          </w:p>
        </w:tc>
        <w:tc>
          <w:tcPr>
            <w:tcW w:w="500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1B5D98EA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20 (1.6)</w:t>
            </w:r>
          </w:p>
        </w:tc>
        <w:tc>
          <w:tcPr>
            <w:tcW w:w="500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70C00AF1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11 (0.4)</w:t>
            </w:r>
          </w:p>
        </w:tc>
        <w:tc>
          <w:tcPr>
            <w:tcW w:w="445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1270B9C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10 (1.7)</w:t>
            </w:r>
          </w:p>
        </w:tc>
        <w:tc>
          <w:tcPr>
            <w:tcW w:w="444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09932B36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3 (0.3)</w:t>
            </w:r>
          </w:p>
        </w:tc>
        <w:tc>
          <w:tcPr>
            <w:tcW w:w="500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6DED6106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576 (20.3)</w:t>
            </w:r>
          </w:p>
        </w:tc>
      </w:tr>
      <w:tr w:rsidR="00675667" w:rsidRPr="00B71E62" w14:paraId="4731FCCC" w14:textId="77777777" w:rsidTr="00F235CE">
        <w:trPr>
          <w:trHeight w:val="57"/>
        </w:trPr>
        <w:tc>
          <w:tcPr>
            <w:tcW w:w="834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D308505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88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C0567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018328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N=701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B577DD2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N=492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682C92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N=1247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26B3AA0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N=3101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6B4F015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N=590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66B14F2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N=1123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50F4E0C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N=2841</w:t>
            </w:r>
          </w:p>
        </w:tc>
      </w:tr>
      <w:tr w:rsidR="00675667" w:rsidRPr="00B71E62" w14:paraId="7CAC9B8A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3BC012A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5870B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A8238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326 (46.5)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2744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251 (51.0)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3FB7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828 (66.4)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31A9D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1459 (47.0)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0C1B7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271 (45.9)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46AA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510 (45.4)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CC5CA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1338 (47.1)</w:t>
            </w:r>
          </w:p>
        </w:tc>
      </w:tr>
      <w:tr w:rsidR="00675667" w:rsidRPr="00B71E62" w14:paraId="2F1D0393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7F014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1D4F4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37C7F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375 (53.5)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BBE5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241 (49.0)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133BE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419 (33.6)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AE5B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1642 (53.0)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AF086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319 (54.1)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A1F1D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613 (54.6)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8A4F5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1503 (52.9)</w:t>
            </w:r>
          </w:p>
        </w:tc>
      </w:tr>
      <w:tr w:rsidR="00675667" w:rsidRPr="00B71E62" w14:paraId="5C29A4B6" w14:textId="77777777" w:rsidTr="00F235CE">
        <w:trPr>
          <w:trHeight w:val="57"/>
        </w:trPr>
        <w:tc>
          <w:tcPr>
            <w:tcW w:w="834" w:type="pct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71EFD91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Chronic Conditions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AF26204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FA71216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N=701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576DBFA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N=492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85DD4C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N=1247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2B8230B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N=3101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5D252D8B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N=590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651117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N=1123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F174E75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N=2841</w:t>
            </w:r>
          </w:p>
        </w:tc>
      </w:tr>
      <w:tr w:rsidR="00675667" w:rsidRPr="00B71E62" w14:paraId="4BFC8166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4A0BB86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546E29D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B708031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401 (57.2)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5F2CBDD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386 (78.5)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E83C50F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1024 (82.1)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02BC03F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2643 (85.2)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97AE4AA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130 (22.0)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AA314F0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960 (85.5)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D6738D8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845 (29.7)</w:t>
            </w:r>
          </w:p>
        </w:tc>
      </w:tr>
      <w:tr w:rsidR="00675667" w:rsidRPr="00B71E62" w14:paraId="4AD7BBD3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0FCF21C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2E0DDA8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7A46CCB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174 (24.8)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9EE7DD7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63 (12.8)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D5E6FA2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140 (11.2)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AED5B1C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337 (10.9)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ECD496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244 (41.4)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48563DC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151 (13.4)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C54C35E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788 (27.7)</w:t>
            </w:r>
          </w:p>
        </w:tc>
      </w:tr>
      <w:tr w:rsidR="00675667" w:rsidRPr="00B71E62" w14:paraId="115B41B2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14D5CDA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FEFF0D0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&gt; 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2F6185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126 (18.0)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6103445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43 (8.7)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6B2082A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83 (6.7)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6F02FF1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121 (3.9)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76BED9E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216 (36.6)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287A1AA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12 (1.1)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851B361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1208 (42.7)</w:t>
            </w:r>
          </w:p>
        </w:tc>
      </w:tr>
      <w:tr w:rsidR="00675667" w:rsidRPr="00B71E62" w14:paraId="15B5BC94" w14:textId="77777777" w:rsidTr="00F235CE">
        <w:trPr>
          <w:trHeight w:val="57"/>
        </w:trPr>
        <w:tc>
          <w:tcPr>
            <w:tcW w:w="8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F3F8A4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Hospitalized within the last 12 months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6A782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A510DA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N=701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440E1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N=492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9CEBB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N=1247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CB15B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N=3101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CA63B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N=590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20BCA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N=1123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FAFC80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N=2841</w:t>
            </w:r>
          </w:p>
        </w:tc>
      </w:tr>
      <w:tr w:rsidR="00675667" w:rsidRPr="00B71E62" w14:paraId="23AF2F8F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81039D4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75F79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65655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323 (46.1)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AEF9E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169 (34.3)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975A16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1E62">
              <w:rPr>
                <w:rFonts w:cs="Times New Roman"/>
                <w:sz w:val="20"/>
                <w:szCs w:val="20"/>
              </w:rPr>
              <w:t>224 (18.0)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7E817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791 (25.5)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F9BFD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275 (46.6)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00677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400 (35.6)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14B6A2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862 (30.3)</w:t>
            </w:r>
          </w:p>
        </w:tc>
      </w:tr>
      <w:tr w:rsidR="00675667" w:rsidRPr="00B71E62" w14:paraId="1FC34981" w14:textId="77777777" w:rsidTr="00F235CE">
        <w:trPr>
          <w:trHeight w:val="57"/>
        </w:trPr>
        <w:tc>
          <w:tcPr>
            <w:tcW w:w="834" w:type="pct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12C03819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Underlying chronic conditions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334E4EE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F3F741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N=701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5055C3D0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N=492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545EF8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N=1247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7022C1C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N=3101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59631EDD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N=590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AA3E551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N=1123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CA136E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N=2841</w:t>
            </w:r>
          </w:p>
        </w:tc>
      </w:tr>
      <w:tr w:rsidR="00675667" w:rsidRPr="00B71E62" w14:paraId="312196AA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1E7A5B1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ECC4A3F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Cardiovascular disease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E492FA7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128 (18.3)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8B5C83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53 (10.8)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0CE1EA6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133 (10.7)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5E7AA32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280 (9.0)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1D177F1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224 (38.0)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BF3268C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9 (0.8)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A1ACC6F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1169 (41.1)</w:t>
            </w:r>
          </w:p>
        </w:tc>
      </w:tr>
      <w:tr w:rsidR="00675667" w:rsidRPr="00B71E62" w14:paraId="7BEC0B04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09DD783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261C209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COPD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B5DC071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70 (10.0)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6AC7B8D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10 (2.0)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20CBB85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25 (2.0)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D82BB5B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89 (2.9)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B5A43F6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166 (28.1)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0EE0D2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5 (0.4)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77B9ABD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769 (27.1)</w:t>
            </w:r>
          </w:p>
        </w:tc>
      </w:tr>
      <w:tr w:rsidR="00675667" w:rsidRPr="00B71E62" w14:paraId="4E059335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96F87CC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6B973F4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Asthma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3A21F20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85 (12.1)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D90CD0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9 (1.8)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716DE3D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35 (2.8)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358895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67 (2.2)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69913B5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26 (4.4)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9960FCC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27 (2.4)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CE8E77E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235 (8.3)</w:t>
            </w:r>
          </w:p>
        </w:tc>
      </w:tr>
      <w:tr w:rsidR="00675667" w:rsidRPr="00B71E62" w14:paraId="3960A725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6ED2834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32C2577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Diabetes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FA60027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60 (8.6)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E609B4E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19 (3.9)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B32CF96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31 (2.5)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752759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52 (1.7)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1755835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82 (13.9)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DC58787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29 (2.6)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DED083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730 (25.7)</w:t>
            </w:r>
          </w:p>
        </w:tc>
      </w:tr>
      <w:tr w:rsidR="00675667" w:rsidRPr="00B71E62" w14:paraId="0142E37C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BF8F60E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9045918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Immunological disorders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6DAB7AD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18 (2.6)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FC5260A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18 (3.7)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9511E55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 (0.2)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8056E67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12 (0.4)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369693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38 (6.4)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DF6504C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98 (8.7)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D737455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43 (1.5)</w:t>
            </w:r>
          </w:p>
        </w:tc>
      </w:tr>
      <w:tr w:rsidR="00675667" w:rsidRPr="00B71E62" w14:paraId="34F86DFC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E1DB03C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3FEE3BC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Rheumatological disorders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47384ED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23 (3.3)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EBF6BF1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8 (1.6)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09CA922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8 (0.6)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5115A1C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14 (0.5)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5BADF6E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4 (0.7)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5D1A5128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2 (0.2)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55A84F56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0 (0.0)</w:t>
            </w:r>
          </w:p>
        </w:tc>
      </w:tr>
      <w:tr w:rsidR="00675667" w:rsidRPr="00B71E62" w14:paraId="7DCC1954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9A02AEC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09B796C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Renal disease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78E0E5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32 (4.6)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FC8B48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9 (1.8)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1C1D32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32 (2.6)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3CDE5D8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19 (0.6)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CF75A52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74 (12.5)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850E73D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2 (0.2)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2C3D4EC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358 (12.6)</w:t>
            </w:r>
          </w:p>
        </w:tc>
      </w:tr>
      <w:tr w:rsidR="00675667" w:rsidRPr="00B71E62" w14:paraId="2C558807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9F4A32E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924D255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Neuromuscular disorders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4A5F0AD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35 (5.0)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D0F08F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14 (2.8)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4D7F020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17 (1.4)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B23FA41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40 (1.3)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E446867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40 (6.8)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1661A9F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518327C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146 (5.1)</w:t>
            </w:r>
          </w:p>
        </w:tc>
      </w:tr>
      <w:tr w:rsidR="00675667" w:rsidRPr="00B71E62" w14:paraId="5E99FEB7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8504B3C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B631CB4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Cirrhosis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5451126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7 (1.0)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53C2B1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22 (4.5)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04D451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12 (1.0)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F5FED8E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18 (0.6)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E291988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11 (1.9)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9C5520B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1E94F75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99 (3.5)</w:t>
            </w:r>
          </w:p>
        </w:tc>
      </w:tr>
      <w:tr w:rsidR="00675667" w:rsidRPr="00B71E62" w14:paraId="37EF1463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4CD89B2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C285BFC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Neoplasm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35DC915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17 (2.4)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FF81242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6 (1.2)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AE1297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29 (2.3)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B00C2F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10 (0.3)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744B740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70 (11.9)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52370890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2 (0.2)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4504EE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217 (7.6)</w:t>
            </w:r>
          </w:p>
        </w:tc>
      </w:tr>
      <w:tr w:rsidR="00675667" w:rsidRPr="00B71E62" w14:paraId="6782868B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9EDDD19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547FEB1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Autoimmune disorders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602BABF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12 (1.7)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1C30131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4 (0.8)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111531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16 (1.3)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0ACC212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9 (0.3)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E9DDF90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14 (2.4)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9968BE8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 (0.1)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F81F435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109 (3.8)</w:t>
            </w:r>
          </w:p>
        </w:tc>
      </w:tr>
      <w:tr w:rsidR="00675667" w:rsidRPr="00B71E62" w14:paraId="2C9E769B" w14:textId="77777777" w:rsidTr="00F235CE">
        <w:trPr>
          <w:trHeight w:val="57"/>
        </w:trPr>
        <w:tc>
          <w:tcPr>
            <w:tcW w:w="8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7074EA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Obesity</w:t>
            </w:r>
            <w:r w:rsidRPr="00B71E62"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1F67F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9A3688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N=701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AFBC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N=492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0A3BF1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N=1247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AA51F0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N=3101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61F4E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N=590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BBD93D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N=1123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89D432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N=2841</w:t>
            </w:r>
          </w:p>
        </w:tc>
      </w:tr>
      <w:tr w:rsidR="00675667" w:rsidRPr="00B71E62" w14:paraId="76700060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638D646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11D96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58DB62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78 (11.1)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E51AEB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28 (5.7)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65475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107 (8.6)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2D0FE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150 (4.8)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85480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45 (7.6)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E7D22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2 (0.2)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3318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600 (21.1)</w:t>
            </w:r>
          </w:p>
        </w:tc>
      </w:tr>
      <w:tr w:rsidR="00675667" w:rsidRPr="00B71E62" w14:paraId="3B1FDDFB" w14:textId="77777777" w:rsidTr="00F235CE">
        <w:trPr>
          <w:trHeight w:val="57"/>
        </w:trPr>
        <w:tc>
          <w:tcPr>
            <w:tcW w:w="834" w:type="pct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1CB5823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Outpatient consultations last 3 months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1011AE5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271976A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N=701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ACA7747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N=489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44EBA5B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N=1245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B500D8C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N=3101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5924A18E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N=424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D569B6D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N=941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E959272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N=2816</w:t>
            </w:r>
          </w:p>
        </w:tc>
      </w:tr>
      <w:tr w:rsidR="00675667" w:rsidRPr="00B71E62" w14:paraId="2EEEAB6A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093B35C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D54ADB5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498D810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121 (17.3)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6A5B97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239 (48.9)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EC8503D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742 (59.5)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5BAF75F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1664 (53.7)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0B0CEBA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4 (0.9)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9F79FE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783 (83.2)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BBDE45E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763 (27.1)</w:t>
            </w:r>
          </w:p>
        </w:tc>
      </w:tr>
      <w:tr w:rsidR="00675667" w:rsidRPr="00B71E62" w14:paraId="76B57763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532BD01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6898B61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5B4F508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260 (37.1)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A292A38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99 (20.2)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84578FD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195 (15.6)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C3F6928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912 (29.4)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7B22F46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34 (8.0)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9CC6120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105 (11.2)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0B6FA8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353 (12.5)</w:t>
            </w:r>
          </w:p>
        </w:tc>
      </w:tr>
      <w:tr w:rsidR="00675667" w:rsidRPr="00B71E62" w14:paraId="7A4238E4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AB1FE36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972312A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&gt; 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CD4E00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320 (45.6)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DA3B9ED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151 (30.9)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D2067ED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71E62">
              <w:rPr>
                <w:rFonts w:cs="Times New Roman"/>
                <w:sz w:val="20"/>
                <w:szCs w:val="20"/>
              </w:rPr>
              <w:t>308 (24.7)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F3FDD18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525 (16.9)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011AE1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386 (91.0)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14FC5E7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53 (5.6)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C67EED5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1700 (60.4)</w:t>
            </w:r>
          </w:p>
        </w:tc>
      </w:tr>
      <w:tr w:rsidR="00675667" w:rsidRPr="00B71E62" w14:paraId="672A6A63" w14:textId="77777777" w:rsidTr="00F235CE">
        <w:trPr>
          <w:trHeight w:val="57"/>
        </w:trPr>
        <w:tc>
          <w:tcPr>
            <w:tcW w:w="8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8D8906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Smoking </w:t>
            </w:r>
            <w:proofErr w:type="spellStart"/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habits</w:t>
            </w:r>
            <w:r w:rsidRPr="00B71E62"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  <w:proofErr w:type="spellEnd"/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E914F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94D48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N=701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684DD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N=492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41DF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N=1247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DEED5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N=3101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E04F60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N=590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1E23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N=1123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0A86F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N=2841</w:t>
            </w:r>
          </w:p>
        </w:tc>
      </w:tr>
      <w:tr w:rsidR="00675667" w:rsidRPr="00B71E62" w14:paraId="5A77C419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1403D6B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10976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Never smoker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4DAAC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388 (55.3)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5B40E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277 (56.3)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E94012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904 (72.5)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4BDB38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1757 (56.7)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59D4D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205 (34.7)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08862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854 (76.0)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D09A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1543 (54.3)</w:t>
            </w:r>
          </w:p>
        </w:tc>
      </w:tr>
      <w:tr w:rsidR="00675667" w:rsidRPr="00B71E62" w14:paraId="25F5172D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FAAE606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74016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Past smoker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23F8B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146 (20.8)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C902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78 (15.9)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263FC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113 (9.1)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28926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494 (15.9)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43F0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249 (42.2)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31A01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67 (6.0)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97B1E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830 (29.2)</w:t>
            </w:r>
          </w:p>
        </w:tc>
      </w:tr>
      <w:tr w:rsidR="00675667" w:rsidRPr="00B71E62" w14:paraId="4651CDD3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6D4B1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A5EBF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Current smoker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1940F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167 (23.8)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9F90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137 (27.8)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2C1B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230 (18.4)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EDF986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850 (27.4)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A4925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136 (23.1)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4E48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202 (18.0)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F47CA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468 (16.5)</w:t>
            </w:r>
          </w:p>
        </w:tc>
      </w:tr>
      <w:tr w:rsidR="00675667" w:rsidRPr="00B71E62" w14:paraId="2BAA32C6" w14:textId="77777777" w:rsidTr="00F235CE">
        <w:trPr>
          <w:trHeight w:val="57"/>
        </w:trPr>
        <w:tc>
          <w:tcPr>
            <w:tcW w:w="834" w:type="pct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B51EF65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Functional status impairment (Barthel index)</w:t>
            </w:r>
            <w:r w:rsidRPr="00B71E62"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159C412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BC399DE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N=91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9F29D62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B8C9A3C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N=73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C05BD45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N=162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33AF93B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N=229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0877F4F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CFDB232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N=1684</w:t>
            </w:r>
          </w:p>
        </w:tc>
      </w:tr>
      <w:tr w:rsidR="00675667" w:rsidRPr="00B71E62" w14:paraId="01CF2865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B6AA1FC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4D5020A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Total (0-15)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ABBE3AA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6 (6.6)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519ED2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 (3.4)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EAB45A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B9B439A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 (1.2)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E7D260F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15 (6.6)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22A19B8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 (12.5)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4295C85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132 (7.8)</w:t>
            </w:r>
          </w:p>
        </w:tc>
      </w:tr>
      <w:tr w:rsidR="00675667" w:rsidRPr="00B71E62" w14:paraId="1E6E71B5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34D6883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BAF1773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Severe (20-35)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723678C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4 (4.4)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44830B6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081A191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0 (0.0)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81FFD4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0 (0.0)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E44A98A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44 (19.2)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5B29130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 (6.3)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51CC1C81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69 (4.1)</w:t>
            </w:r>
          </w:p>
        </w:tc>
      </w:tr>
      <w:tr w:rsidR="00675667" w:rsidRPr="00B71E62" w14:paraId="0FB98172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E0CF55D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22DA4A3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Moderate (40-55)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C11CF5D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8 (8.8)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24D0DEE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 (3.4)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11C59EC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5 (6.8)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7B2933D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0 (0.0)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8C78991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84 (36.7)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9F543A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 (6.3)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130946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99 (5.9)</w:t>
            </w:r>
          </w:p>
        </w:tc>
      </w:tr>
      <w:tr w:rsidR="00675667" w:rsidRPr="00B71E62" w14:paraId="00A23609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AA79FF8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BB0D7B7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Mild (60-90)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A507386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20 (22.0)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7B6CD92E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26 (89.7)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9D4C382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39 (53.4)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25D073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44 (27.2)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5EA197B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86 (37.6)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50E0310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3 (18.8)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3C53C2C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402 (23.9)</w:t>
            </w:r>
          </w:p>
        </w:tc>
      </w:tr>
      <w:tr w:rsidR="00675667" w:rsidRPr="00B71E62" w14:paraId="19A81FFA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FA6C6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DD9EB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Minimal (95-100)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8DBF1A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43 (47.3)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8FACD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 (3.4)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EA405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23 (31.5)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360D0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104 (64.2)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5D42C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0 (0.0)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94FD6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6 (37.5)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892E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cs="Times New Roman"/>
                <w:sz w:val="20"/>
                <w:szCs w:val="20"/>
              </w:rPr>
              <w:t>884 (52.5)</w:t>
            </w:r>
          </w:p>
        </w:tc>
      </w:tr>
      <w:tr w:rsidR="00675667" w:rsidRPr="00B71E62" w14:paraId="3A5AF065" w14:textId="77777777" w:rsidTr="00F235CE">
        <w:trPr>
          <w:trHeight w:val="57"/>
        </w:trPr>
        <w:tc>
          <w:tcPr>
            <w:tcW w:w="8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1DF89EB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Influenza vaccination ≥14 days from symptom onset</w:t>
            </w:r>
          </w:p>
        </w:tc>
        <w:tc>
          <w:tcPr>
            <w:tcW w:w="88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7BADCE1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B87BC8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N=701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E716B8A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N=492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0377CB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N=1247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B7CAA0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N=3101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4E52FAC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N=590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62A14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N=1123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DD187FF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N=2841</w:t>
            </w:r>
          </w:p>
        </w:tc>
      </w:tr>
      <w:tr w:rsidR="00675667" w:rsidRPr="00B71E62" w14:paraId="2F7ABD1B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DC5135B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45A89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1F065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86 (12.3)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C01621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17 (3.5)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DB5BF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62 (5.0)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23E58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142 (4.6)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AEADA0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28 (4.7)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7D67A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1 (0.3)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BC9D5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1100 (38.7)</w:t>
            </w:r>
          </w:p>
        </w:tc>
      </w:tr>
      <w:tr w:rsidR="00675667" w:rsidRPr="00B71E62" w14:paraId="31198BBB" w14:textId="77777777" w:rsidTr="00F235CE">
        <w:trPr>
          <w:trHeight w:val="57"/>
        </w:trPr>
        <w:tc>
          <w:tcPr>
            <w:tcW w:w="834" w:type="pct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12B58EA7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Antiviral use during the current episode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5A2E47FA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C8C1B36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N=701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5FCB4D7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N=492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AB28E39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N=1247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F06ECB0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N=3101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7B2D67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N=490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2DA1B06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N=1123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44B8AD3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N=2841</w:t>
            </w:r>
          </w:p>
        </w:tc>
      </w:tr>
      <w:tr w:rsidR="00675667" w:rsidRPr="00B71E62" w14:paraId="66395BA2" w14:textId="77777777" w:rsidTr="00F235CE">
        <w:trPr>
          <w:trHeight w:val="57"/>
        </w:trPr>
        <w:tc>
          <w:tcPr>
            <w:tcW w:w="83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3C125EEC" w14:textId="77777777" w:rsidR="00675667" w:rsidRPr="00B71E62" w:rsidRDefault="00675667" w:rsidP="00F235CE">
            <w:pPr>
              <w:spacing w:after="0" w:line="240" w:lineRule="auto"/>
              <w:ind w:left="176" w:hanging="176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27D06358" w14:textId="77777777" w:rsidR="00675667" w:rsidRPr="00B71E62" w:rsidRDefault="00675667" w:rsidP="00F235CE">
            <w:pPr>
              <w:spacing w:after="0" w:line="240" w:lineRule="auto"/>
              <w:ind w:left="185" w:hanging="185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07FF81F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44 (6.3)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85E65DF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445 (90.4)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8770715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33 (2.6)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957AB96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219 (7.1)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35E761A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0 (0.0)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9E5B0C5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4 (0.4)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BBB29A4" w14:textId="77777777" w:rsidR="00675667" w:rsidRPr="00B71E62" w:rsidRDefault="00675667" w:rsidP="00F235C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71E62">
              <w:rPr>
                <w:rFonts w:eastAsia="Times New Roman" w:cs="Times New Roman"/>
                <w:sz w:val="20"/>
                <w:szCs w:val="20"/>
                <w:lang w:eastAsia="en-GB"/>
              </w:rPr>
              <w:t>334 (11.8)</w:t>
            </w:r>
          </w:p>
        </w:tc>
      </w:tr>
    </w:tbl>
    <w:p w14:paraId="417D34A3" w14:textId="77777777" w:rsidR="00675667" w:rsidRPr="00B71E62" w:rsidRDefault="00675667" w:rsidP="00675667">
      <w:pPr>
        <w:spacing w:after="0" w:line="240" w:lineRule="auto"/>
        <w:rPr>
          <w:rFonts w:cs="Times New Roman"/>
          <w:szCs w:val="24"/>
        </w:rPr>
      </w:pPr>
      <w:r w:rsidRPr="00B71E62">
        <w:rPr>
          <w:rFonts w:cs="Times New Roman"/>
          <w:szCs w:val="24"/>
        </w:rPr>
        <w:t>Abbreviation: COPD, chronic obstructive pulmonary disease</w:t>
      </w:r>
    </w:p>
    <w:p w14:paraId="7B59226F" w14:textId="77777777" w:rsidR="00675667" w:rsidRPr="00B71E62" w:rsidRDefault="00675667" w:rsidP="00675667">
      <w:pPr>
        <w:spacing w:after="0" w:line="240" w:lineRule="auto"/>
        <w:rPr>
          <w:rFonts w:cs="Times New Roman"/>
          <w:szCs w:val="24"/>
        </w:rPr>
      </w:pPr>
      <w:proofErr w:type="spellStart"/>
      <w:r w:rsidRPr="00B71E62">
        <w:rPr>
          <w:rFonts w:cs="Times New Roman"/>
          <w:szCs w:val="24"/>
          <w:vertAlign w:val="superscript"/>
        </w:rPr>
        <w:t>a</w:t>
      </w:r>
      <w:proofErr w:type="spellEnd"/>
      <w:r w:rsidRPr="00B71E62">
        <w:rPr>
          <w:rFonts w:cs="Times New Roman"/>
          <w:szCs w:val="24"/>
        </w:rPr>
        <w:t xml:space="preserve"> Assessed only in patients aged ≥18 years</w:t>
      </w:r>
    </w:p>
    <w:p w14:paraId="258AF8A2" w14:textId="77777777" w:rsidR="00675667" w:rsidRPr="00B71E62" w:rsidRDefault="00675667" w:rsidP="00675667">
      <w:pPr>
        <w:spacing w:after="0" w:line="240" w:lineRule="auto"/>
        <w:rPr>
          <w:rFonts w:cs="Times New Roman"/>
          <w:szCs w:val="24"/>
        </w:rPr>
      </w:pPr>
      <w:r w:rsidRPr="00B71E62">
        <w:rPr>
          <w:rFonts w:cs="Times New Roman"/>
          <w:szCs w:val="24"/>
          <w:vertAlign w:val="superscript"/>
        </w:rPr>
        <w:t>b</w:t>
      </w:r>
      <w:r w:rsidRPr="00B71E62">
        <w:rPr>
          <w:rFonts w:cs="Times New Roman"/>
          <w:szCs w:val="24"/>
        </w:rPr>
        <w:t xml:space="preserve"> </w:t>
      </w:r>
      <w:proofErr w:type="gramStart"/>
      <w:r w:rsidRPr="00B71E62">
        <w:rPr>
          <w:rFonts w:cs="Times New Roman"/>
          <w:szCs w:val="24"/>
        </w:rPr>
        <w:t>For</w:t>
      </w:r>
      <w:proofErr w:type="gramEnd"/>
      <w:r w:rsidRPr="00B71E62">
        <w:rPr>
          <w:rFonts w:cs="Times New Roman"/>
          <w:szCs w:val="24"/>
        </w:rPr>
        <w:t xml:space="preserve"> patients aged &lt;18 years, represents second-hand smoke was assessed</w:t>
      </w:r>
    </w:p>
    <w:p w14:paraId="5F711F83" w14:textId="77777777" w:rsidR="00830639" w:rsidRDefault="00675667" w:rsidP="00675667">
      <w:r w:rsidRPr="00B71E62">
        <w:rPr>
          <w:rFonts w:cs="Times New Roman"/>
          <w:szCs w:val="24"/>
          <w:vertAlign w:val="superscript"/>
        </w:rPr>
        <w:t>c</w:t>
      </w:r>
      <w:r w:rsidRPr="00B71E62">
        <w:rPr>
          <w:rFonts w:cs="Times New Roman"/>
          <w:szCs w:val="24"/>
        </w:rPr>
        <w:t xml:space="preserve"> Measured only for patients aged ≥65 years</w:t>
      </w:r>
      <w:bookmarkEnd w:id="0"/>
    </w:p>
    <w:sectPr w:rsidR="00830639" w:rsidSect="006756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67"/>
    <w:rsid w:val="00221AEA"/>
    <w:rsid w:val="00675667"/>
    <w:rsid w:val="00825418"/>
    <w:rsid w:val="00830639"/>
    <w:rsid w:val="00902223"/>
    <w:rsid w:val="00AF696A"/>
    <w:rsid w:val="00B400E0"/>
    <w:rsid w:val="00E4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A160"/>
  <w15:chartTrackingRefBased/>
  <w15:docId w15:val="{12F5B377-A409-4E91-BAF8-7756A3CA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667"/>
    <w:pPr>
      <w:spacing w:after="12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FA56ADE6C5C4394C1F67FFABBC40A" ma:contentTypeVersion="12" ma:contentTypeDescription="Create a new document." ma:contentTypeScope="" ma:versionID="ccf9548ce6c31b74b1fec746438d21ea">
  <xsd:schema xmlns:xsd="http://www.w3.org/2001/XMLSchema" xmlns:xs="http://www.w3.org/2001/XMLSchema" xmlns:p="http://schemas.microsoft.com/office/2006/metadata/properties" xmlns:ns3="99f68a4b-2618-4efc-9016-63b0e2888c24" xmlns:ns4="9b6623f9-3d91-4211-97f5-b36144812ccb" targetNamespace="http://schemas.microsoft.com/office/2006/metadata/properties" ma:root="true" ma:fieldsID="db8aa8548e424ec48241f0595a9ab98e" ns3:_="" ns4:_="">
    <xsd:import namespace="99f68a4b-2618-4efc-9016-63b0e2888c24"/>
    <xsd:import namespace="9b6623f9-3d91-4211-97f5-b36144812c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68a4b-2618-4efc-9016-63b0e2888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623f9-3d91-4211-97f5-b36144812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92821-D0A7-4BB0-BABA-7C528CAEE5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5510A-2748-4ACB-8E74-18DED2C9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68a4b-2618-4efc-9016-63b0e2888c24"/>
    <ds:schemaRef ds:uri="9b6623f9-3d91-4211-97f5-b36144812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0E9C2-E14E-4484-9891-C15EC99F22B3}">
  <ds:schemaRefs>
    <ds:schemaRef ds:uri="9b6623f9-3d91-4211-97f5-b36144812cc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9f68a4b-2618-4efc-9016-63b0e2888c2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Leventhal</dc:creator>
  <cp:keywords/>
  <dc:description/>
  <cp:lastModifiedBy>Phil Leventhal</cp:lastModifiedBy>
  <cp:revision>2</cp:revision>
  <dcterms:created xsi:type="dcterms:W3CDTF">2020-01-03T09:38:00Z</dcterms:created>
  <dcterms:modified xsi:type="dcterms:W3CDTF">2020-01-03T09:38:00Z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0x0101005E6FA56ADE6C5C4394C1F67FFABBC40A</vt:lpwstr>
  </property>
</Properties>
</file>