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Supplemental Table </w:t>
      </w:r>
      <w:r>
        <w:rPr>
          <w:rFonts w:hint="eastAsia" w:ascii="Times New Roman" w:hAnsi="Times New Roman" w:cs="Times New Roman"/>
          <w:b/>
          <w:sz w:val="24"/>
        </w:rPr>
        <w:t>S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>9</w:t>
      </w:r>
      <w:r>
        <w:rPr>
          <w:rFonts w:ascii="Times New Roman" w:hAnsi="Times New Roman" w:cs="Times New Roman"/>
          <w:sz w:val="24"/>
        </w:rPr>
        <w:t xml:space="preserve">  The annotation results of </w:t>
      </w:r>
      <w:r>
        <w:rPr>
          <w:rFonts w:ascii="Times New Roman" w:hAnsi="Times New Roman" w:cs="Times New Roman"/>
          <w:i/>
          <w:iCs/>
          <w:sz w:val="24"/>
        </w:rPr>
        <w:t>GLMN</w:t>
      </w:r>
      <w:r>
        <w:rPr>
          <w:rFonts w:ascii="Times New Roman" w:hAnsi="Times New Roman" w:cs="Times New Roman"/>
          <w:sz w:val="24"/>
        </w:rPr>
        <w:t xml:space="preserve"> variant identified by exome sequencing</w:t>
      </w:r>
      <w:r>
        <w:rPr>
          <w:rFonts w:hint="eastAsia" w:ascii="Times New Roman" w:hAnsi="Times New Roman" w:cs="Times New Roman"/>
          <w:sz w:val="24"/>
        </w:rPr>
        <w:t xml:space="preserve"> and Sanger sequencing</w:t>
      </w:r>
      <w:r>
        <w:rPr>
          <w:rFonts w:ascii="Times New Roman" w:hAnsi="Times New Roman" w:cs="Times New Roman"/>
          <w:sz w:val="24"/>
        </w:rPr>
        <w:t xml:space="preserve"> in the individuals of the DUH family.</w:t>
      </w:r>
    </w:p>
    <w:p>
      <w:pPr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page" w:horzAnchor="page" w:tblpX="991" w:tblpY="2855"/>
        <w:tblW w:w="13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338"/>
        <w:gridCol w:w="1777"/>
        <w:gridCol w:w="1327"/>
        <w:gridCol w:w="1373"/>
        <w:gridCol w:w="1235"/>
        <w:gridCol w:w="1431"/>
        <w:gridCol w:w="957"/>
        <w:gridCol w:w="2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298" w:hRule="atLeast"/>
        </w:trPr>
        <w:tc>
          <w:tcPr>
            <w:tcW w:w="1466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Sample ID</w:t>
            </w:r>
          </w:p>
        </w:tc>
        <w:tc>
          <w:tcPr>
            <w:tcW w:w="133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Ⅰ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-</w:t>
            </w:r>
            <w:r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Ⅱ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-</w:t>
            </w:r>
            <w:r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Ⅱ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-</w:t>
            </w:r>
            <w:r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37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Ⅲ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-</w:t>
            </w:r>
            <w:r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23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Ⅱ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-</w:t>
            </w:r>
            <w:r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3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Ⅲ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-</w:t>
            </w:r>
            <w:r>
              <w:rPr>
                <w:rFonts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333333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269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Variant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1:92754541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-CA-C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1:92754541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-CA-C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1:92754541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-CA-C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1:92754541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-CA-C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1:92754541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-CA-C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1:92754541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-CA-C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RS ID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GLMN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GLMN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GLMN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GLMN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GLMN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GLMN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Coding DNA change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c.561delT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c.561delT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c.561delT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c.561delT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c.561delT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c.561delT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Protein change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p.F187fs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p.F187fs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p.F187fs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p.F187fs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p.F187fs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p.F187fs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Zygosity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333333"/>
                <w:kern w:val="0"/>
                <w:szCs w:val="21"/>
              </w:rPr>
              <w:t>het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het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het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ACMG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PVS1, PM2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PVS1, PM2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PVS1, PM2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PVS1, PM2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3" w:type="dxa"/>
          <w:trHeight w:val="343" w:hRule="atLeast"/>
        </w:trPr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ExonicFunc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frameshift 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deletion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frameshift 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deletion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frameshift deletion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frameshift 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deletion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6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SIFT,Polyphen2_HVAR,Polyphen2_HDIV,MutationTaster,CADD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6" w:type="dxa"/>
          <w:trHeight w:val="261" w:hRule="atLeast"/>
        </w:trPr>
        <w:tc>
          <w:tcPr>
            <w:tcW w:w="146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GnomAD_ALL_AF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GnomAD_ALL_AN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GnomAD_EAS_AF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GnomAD_EAS_AN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AF in 1000G_Chinese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AF in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ExAC_EAS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AF in Novo-Zhonghua-WES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AF in Novo-Zhonghua-WGS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2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333333"/>
                <w:kern w:val="0"/>
                <w:szCs w:val="21"/>
              </w:rPr>
              <w:t>-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2CA6"/>
    <w:rsid w:val="00576421"/>
    <w:rsid w:val="00941107"/>
    <w:rsid w:val="00AB08D4"/>
    <w:rsid w:val="00F36213"/>
    <w:rsid w:val="24AA2CA6"/>
    <w:rsid w:val="2503346D"/>
    <w:rsid w:val="2C732454"/>
    <w:rsid w:val="35DF59CA"/>
    <w:rsid w:val="3D2A4734"/>
    <w:rsid w:val="5A3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805</Characters>
  <Lines>7</Lines>
  <Paragraphs>2</Paragraphs>
  <TotalTime>1</TotalTime>
  <ScaleCrop>false</ScaleCrop>
  <LinksUpToDate>false</LinksUpToDate>
  <CharactersWithSpaces>848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2022-03-14T13:33:00Z</dcterms:created>
  <dc:creator>周定安</dc:creator>
  <cp:lastModifiedBy>周定安</cp:lastModifiedBy>
  <dcterms:modified xsi:type="dcterms:W3CDTF">2022-04-24T01:41:28Z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58301EB9480543CB861D9DD946468933</vt:lpwstr>
  </property>
</Properties>
</file>