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7B977" w14:textId="62D70B14" w:rsidR="00E308CF" w:rsidRPr="000C2BE9" w:rsidRDefault="00CE5BA1" w:rsidP="00A1536D">
      <w:pPr>
        <w:jc w:val="left"/>
        <w:rPr>
          <w:rFonts w:ascii="Times New Roman" w:eastAsia="Times New Roman" w:hAnsi="Times New Roman" w:cs="Times New Roman"/>
          <w:b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/>
          <w:sz w:val="24"/>
          <w:lang w:val="en-GB"/>
        </w:rPr>
        <w:t>Compariso</w:t>
      </w:r>
      <w:r w:rsidR="001C6DD2" w:rsidRPr="000C2BE9">
        <w:rPr>
          <w:rFonts w:ascii="Times New Roman" w:eastAsia="Times New Roman" w:hAnsi="Times New Roman" w:cs="Times New Roman"/>
          <w:b/>
          <w:sz w:val="24"/>
          <w:lang w:val="en-GB"/>
        </w:rPr>
        <w:t>ns</w:t>
      </w:r>
      <w:r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 </w:t>
      </w:r>
      <w:r w:rsidR="000E3AF0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of asymmetry and variability parameters based on </w:t>
      </w:r>
      <w:r w:rsidR="006A5133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centre of pressure </w:t>
      </w:r>
      <w:r w:rsidR="000E3AF0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trajectories </w:t>
      </w:r>
      <w:r w:rsidR="006A288E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between </w:t>
      </w:r>
      <w:r w:rsidR="006A5133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a </w:t>
      </w:r>
      <w:r w:rsidR="000E3AF0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microprocessor knee </w:t>
      </w:r>
      <w:r w:rsidR="006A288E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and </w:t>
      </w:r>
      <w:r w:rsidR="000E3AF0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a non-microprocessor knee </w:t>
      </w:r>
      <w:r w:rsidR="00DF7E45"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 </w:t>
      </w:r>
    </w:p>
    <w:p w14:paraId="7EE574D2" w14:textId="77777777" w:rsidR="000E3AF0" w:rsidRPr="000C2BE9" w:rsidRDefault="000E3AF0" w:rsidP="00A1536D">
      <w:pPr>
        <w:spacing w:line="360" w:lineRule="auto"/>
        <w:jc w:val="left"/>
        <w:rPr>
          <w:rFonts w:ascii="Times New Roman" w:eastAsia="Times New Roman" w:hAnsi="Times New Roman" w:cs="Times New Roman"/>
          <w:bCs/>
          <w:sz w:val="24"/>
          <w:lang w:val="en-GB"/>
        </w:rPr>
      </w:pPr>
    </w:p>
    <w:p w14:paraId="24B83A14" w14:textId="71F3306D" w:rsidR="00EF3637" w:rsidRPr="000C2BE9" w:rsidRDefault="00B67E8A" w:rsidP="00A1536D">
      <w:pPr>
        <w:spacing w:line="360" w:lineRule="auto"/>
        <w:jc w:val="left"/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Cs/>
          <w:sz w:val="24"/>
          <w:lang w:val="en-GB"/>
        </w:rPr>
        <w:t>Eleven</w:t>
      </w:r>
      <w:r w:rsidR="00BE2029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 xml:space="preserve"> individuals with </w:t>
      </w:r>
      <w:r w:rsidR="006A5133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>unilateral transfemoral amputation (</w:t>
      </w:r>
      <w:r w:rsidR="00BE2029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>UTFA</w:t>
      </w:r>
      <w:r w:rsidR="006A5133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>)</w:t>
      </w:r>
      <w:r w:rsidR="00BE2029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 xml:space="preserve"> </w:t>
      </w:r>
      <w:r w:rsidR="00BE2029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using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>microprocessor knee</w:t>
      </w:r>
      <w:r w:rsidR="006A5133" w:rsidRPr="000C2BE9">
        <w:rPr>
          <w:rFonts w:ascii="Times New Roman" w:eastAsia="Times New Roman" w:hAnsi="Times New Roman" w:cs="Times New Roman"/>
          <w:bCs/>
          <w:sz w:val="24"/>
          <w:lang w:val="en-GB"/>
        </w:rPr>
        <w:t>s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</w:t>
      </w:r>
      <w:r w:rsidR="000E3AF0" w:rsidRPr="000C2BE9">
        <w:rPr>
          <w:rFonts w:ascii="Times New Roman" w:eastAsia="Times New Roman" w:hAnsi="Times New Roman" w:cs="Times New Roman"/>
          <w:bCs/>
          <w:sz w:val="24"/>
          <w:lang w:val="en-GB"/>
        </w:rPr>
        <w:t>(MPK</w:t>
      </w:r>
      <w:r w:rsidR="006A5133" w:rsidRPr="000C2BE9">
        <w:rPr>
          <w:rFonts w:ascii="Times New Roman" w:eastAsia="Times New Roman" w:hAnsi="Times New Roman" w:cs="Times New Roman"/>
          <w:bCs/>
          <w:sz w:val="24"/>
          <w:lang w:val="en-GB"/>
        </w:rPr>
        <w:t>s</w:t>
      </w:r>
      <w:r w:rsidR="000E3AF0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)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and 14 </w:t>
      </w:r>
      <w:r w:rsidR="009266C1" w:rsidRPr="000C2BE9">
        <w:rPr>
          <w:rFonts w:ascii="Times New Roman" w:eastAsia="Times New Roman" w:hAnsi="Times New Roman" w:cs="Times New Roman"/>
          <w:kern w:val="0"/>
          <w:sz w:val="24"/>
          <w:lang w:val="en-GB"/>
        </w:rPr>
        <w:t xml:space="preserve">individuals with UTFA </w:t>
      </w:r>
      <w:r w:rsidR="009266C1" w:rsidRPr="000C2BE9">
        <w:rPr>
          <w:rFonts w:ascii="Times New Roman" w:eastAsia="Times New Roman" w:hAnsi="Times New Roman" w:cs="Times New Roman"/>
          <w:bCs/>
          <w:sz w:val="24"/>
          <w:lang w:val="en-GB"/>
        </w:rPr>
        <w:t>using</w:t>
      </w:r>
      <w:r w:rsidR="009266C1" w:rsidRPr="000C2BE9" w:rsidDel="009266C1">
        <w:rPr>
          <w:rFonts w:ascii="Times New Roman" w:eastAsia="Times New Roman" w:hAnsi="Times New Roman" w:cs="Times New Roman"/>
          <w:bCs/>
          <w:sz w:val="24"/>
          <w:lang w:val="en-GB"/>
        </w:rPr>
        <w:t xml:space="preserve">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a non-microprocessor knee </w:t>
      </w:r>
      <w:r w:rsidR="000E3AF0" w:rsidRPr="000C2BE9">
        <w:rPr>
          <w:rFonts w:ascii="Times New Roman" w:eastAsia="Times New Roman" w:hAnsi="Times New Roman" w:cs="Times New Roman"/>
          <w:bCs/>
          <w:sz w:val="24"/>
          <w:lang w:val="en-GB"/>
        </w:rPr>
        <w:t>(NMPK) were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involved in the analysis. </w:t>
      </w:r>
      <w:r w:rsidR="006A5133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The two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groups were matched </w:t>
      </w:r>
      <w:r w:rsidR="006A5133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in terms of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>sex, age, body height, body mass, preferred</w:t>
      </w:r>
      <w:r w:rsidR="001C570B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>walking speed</w:t>
      </w:r>
      <w:r w:rsidR="001C570B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, </w:t>
      </w:r>
      <w:r w:rsidR="006A5133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and </w:t>
      </w:r>
      <w:r w:rsidR="001C570B" w:rsidRPr="000C2BE9">
        <w:rPr>
          <w:rFonts w:ascii="Times New Roman" w:eastAsia="Times New Roman" w:hAnsi="Times New Roman" w:cs="Times New Roman"/>
          <w:bCs/>
          <w:sz w:val="24"/>
          <w:lang w:val="en-GB"/>
        </w:rPr>
        <w:t>time since amputation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(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Table </w:t>
      </w:r>
      <w:r w:rsidR="009266C1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</w:t>
      </w:r>
      <w:r w:rsidR="009E6C0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2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). We compared </w:t>
      </w:r>
      <w:r w:rsidR="006A5133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the 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asymmetry and variability parameters based on </w:t>
      </w:r>
      <w:r w:rsidR="006A5133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the centre of pressure (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COP</w:t>
      </w:r>
      <w:r w:rsidR="006A5133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)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trajectories between the two groups (detailed in </w:t>
      </w:r>
      <w:r w:rsidR="006A5133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Section 2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).</w:t>
      </w:r>
    </w:p>
    <w:p w14:paraId="473C87B6" w14:textId="2E34BCBC" w:rsidR="00EF3637" w:rsidRPr="000C2BE9" w:rsidRDefault="006A5133" w:rsidP="00A1536D">
      <w:pPr>
        <w:spacing w:line="360" w:lineRule="auto"/>
        <w:ind w:firstLine="840"/>
        <w:jc w:val="left"/>
        <w:rPr>
          <w:rFonts w:ascii="Times New Roman" w:eastAsia="Times New Roman" w:hAnsi="Times New Roman" w:cs="Times New Roman"/>
          <w:bCs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The s</w:t>
      </w:r>
      <w:r w:rsidR="004A546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tatistical analysis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results reveal </w:t>
      </w:r>
      <w:r w:rsidR="004A546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that 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there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are 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no significant differences in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l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ateral symmetry (LS),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l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ateral variability (LV),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or a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nterior-posterior variability (APV) between the two groups over a wide range of walking speeds (Figure </w:t>
      </w:r>
      <w:r w:rsidR="00D3544D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S1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). There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is 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a significant main effect of walking speed for MPK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users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on LS (p &lt; 0.05) (Figure </w:t>
      </w:r>
      <w:r w:rsidR="00275614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S1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-A), but not on LV (Figure </w:t>
      </w:r>
      <w:r w:rsidR="00275614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S1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-B)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or 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APV (Figure </w:t>
      </w:r>
      <w:r w:rsidR="00275614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S1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-C).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In addition, there is a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significant main effect of walking speed on LS, LV, and APV in NMPK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users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 (p &lt; 0.05). </w:t>
      </w:r>
      <w:r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The results of p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ost-hoc tests reveal significant differences in LV at 4.5 vs 5.0 km/h (Figure </w:t>
      </w:r>
      <w:r w:rsidR="009E6C0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1-B), APV at 2.5 vs 5.5 km/h (Figure </w:t>
      </w:r>
      <w:r w:rsidR="009E6C0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 xml:space="preserve">1-C), and APV at 5.0 vs 5.5 km/h (Figure </w:t>
      </w:r>
      <w:r w:rsidR="009E6C0C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S</w:t>
      </w:r>
      <w:r w:rsidR="00EF3637" w:rsidRPr="000C2BE9">
        <w:rPr>
          <w:rFonts w:ascii="Times New Roman" w:eastAsia="Times New Roman" w:hAnsi="Times New Roman" w:cs="Times New Roman"/>
          <w:bCs/>
          <w:color w:val="000000" w:themeColor="text1"/>
          <w:sz w:val="24"/>
          <w:lang w:val="en-GB"/>
        </w:rPr>
        <w:t>1-C)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in NMPK</w:t>
      </w:r>
      <w:r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users</w:t>
      </w:r>
      <w:r w:rsidR="00EF3637" w:rsidRPr="000C2BE9">
        <w:rPr>
          <w:rFonts w:ascii="Times New Roman" w:eastAsia="Times New Roman" w:hAnsi="Times New Roman" w:cs="Times New Roman"/>
          <w:bCs/>
          <w:sz w:val="24"/>
          <w:lang w:val="en-GB"/>
        </w:rPr>
        <w:t>.</w:t>
      </w:r>
    </w:p>
    <w:p w14:paraId="0D8309F2" w14:textId="56517F16" w:rsidR="00EF3637" w:rsidRPr="000C2BE9" w:rsidRDefault="00EF3637" w:rsidP="00A1536D">
      <w:pPr>
        <w:spacing w:line="360" w:lineRule="auto"/>
        <w:ind w:firstLine="840"/>
        <w:jc w:val="left"/>
        <w:rPr>
          <w:rFonts w:ascii="Times New Roman" w:eastAsia="Times New Roman" w:hAnsi="Times New Roman" w:cs="Times New Roman"/>
          <w:bCs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Cs/>
          <w:sz w:val="24"/>
          <w:lang w:val="en-GB"/>
        </w:rPr>
        <w:t>These results suggest that</w:t>
      </w:r>
      <w:r w:rsidR="000E3AF0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</w:t>
      </w:r>
      <w:r w:rsidR="003A4B9A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the </w:t>
      </w:r>
      <w:r w:rsidR="004F79F0" w:rsidRPr="000C2BE9">
        <w:rPr>
          <w:rFonts w:ascii="Times New Roman" w:eastAsia="Times New Roman" w:hAnsi="Times New Roman" w:cs="Times New Roman"/>
          <w:bCs/>
          <w:sz w:val="24"/>
          <w:lang w:val="en-GB"/>
        </w:rPr>
        <w:t>a</w:t>
      </w:r>
      <w:r w:rsidR="00004629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vailability of MPK/NMPK </w:t>
      </w:r>
      <w:r w:rsidR="003A4B9A" w:rsidRPr="000C2BE9">
        <w:rPr>
          <w:rFonts w:ascii="Times New Roman" w:eastAsia="Times New Roman" w:hAnsi="Times New Roman" w:cs="Times New Roman"/>
          <w:bCs/>
          <w:sz w:val="24"/>
          <w:lang w:val="en-GB"/>
        </w:rPr>
        <w:t>has</w:t>
      </w:r>
      <w:r w:rsidR="004F79F0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little effect </w:t>
      </w:r>
      <w:r w:rsidR="00004629" w:rsidRPr="000C2BE9">
        <w:rPr>
          <w:rFonts w:ascii="Times New Roman" w:eastAsia="Times New Roman" w:hAnsi="Times New Roman" w:cs="Times New Roman"/>
          <w:bCs/>
          <w:sz w:val="24"/>
          <w:lang w:val="en-GB"/>
        </w:rPr>
        <w:t>on the COP trajectories</w:t>
      </w:r>
      <w:r w:rsidR="003A4B9A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and the related gait parameters</w:t>
      </w:r>
      <w:r w:rsidR="00004629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</w:t>
      </w:r>
      <w:r w:rsidR="00B63DFE" w:rsidRPr="000C2BE9">
        <w:rPr>
          <w:rFonts w:ascii="Times New Roman" w:eastAsia="Times New Roman" w:hAnsi="Times New Roman" w:cs="Times New Roman"/>
          <w:bCs/>
          <w:sz w:val="24"/>
          <w:lang w:val="en-GB"/>
        </w:rPr>
        <w:t>during walking in individual</w:t>
      </w:r>
      <w:r w:rsidR="00E35672" w:rsidRPr="000C2BE9">
        <w:rPr>
          <w:rFonts w:ascii="Times New Roman" w:eastAsia="Times New Roman" w:hAnsi="Times New Roman" w:cs="Times New Roman"/>
          <w:bCs/>
          <w:sz w:val="24"/>
          <w:lang w:val="en-GB"/>
        </w:rPr>
        <w:t>s</w:t>
      </w:r>
      <w:r w:rsidR="00B63DFE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with UTFA</w:t>
      </w:r>
      <w:r w:rsidR="003A4B9A" w:rsidRPr="000C2BE9">
        <w:rPr>
          <w:rFonts w:ascii="Times New Roman" w:eastAsia="Times New Roman" w:hAnsi="Times New Roman" w:cs="Times New Roman"/>
          <w:bCs/>
          <w:sz w:val="24"/>
          <w:lang w:val="en-GB"/>
        </w:rPr>
        <w:t>.</w:t>
      </w:r>
      <w:r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 However, there are certain concerns and limitations regarding the interpretation of this analysis, such as the </w:t>
      </w:r>
      <w:r w:rsidR="003A4B9A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limited </w:t>
      </w:r>
      <w:r w:rsidRPr="000C2BE9">
        <w:rPr>
          <w:rFonts w:ascii="Times New Roman" w:eastAsia="Times New Roman" w:hAnsi="Times New Roman" w:cs="Times New Roman"/>
          <w:bCs/>
          <w:sz w:val="24"/>
          <w:lang w:val="en-GB"/>
        </w:rPr>
        <w:t>recruitment of high activity subjects (K3, K4) and the lack of uniformity in the prosthetic components.</w:t>
      </w:r>
    </w:p>
    <w:p w14:paraId="3E6496AA" w14:textId="77777777" w:rsidR="003A4B9A" w:rsidRPr="000C2BE9" w:rsidRDefault="003A4B9A" w:rsidP="00EF3637">
      <w:pPr>
        <w:spacing w:line="480" w:lineRule="auto"/>
        <w:jc w:val="left"/>
        <w:rPr>
          <w:rFonts w:ascii="Times New Roman" w:hAnsi="Times New Roman" w:cs="Times New Roman"/>
          <w:bCs/>
          <w:sz w:val="24"/>
          <w:lang w:val="en-GB"/>
        </w:rPr>
      </w:pPr>
    </w:p>
    <w:p w14:paraId="4695C663" w14:textId="34B08B10" w:rsidR="00DF7E45" w:rsidRPr="000C2BE9" w:rsidRDefault="00DF7E45" w:rsidP="00DF7E45">
      <w:pPr>
        <w:spacing w:line="276" w:lineRule="auto"/>
        <w:ind w:left="361" w:hanging="361"/>
        <w:jc w:val="left"/>
        <w:rPr>
          <w:rFonts w:ascii="Times New Roman" w:eastAsia="Times New Roman" w:hAnsi="Times New Roman" w:cs="Times New Roman"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/>
          <w:sz w:val="24"/>
          <w:lang w:val="en-GB"/>
        </w:rPr>
        <w:lastRenderedPageBreak/>
        <w:t xml:space="preserve">Table </w:t>
      </w:r>
      <w:r w:rsidR="00081162" w:rsidRPr="000C2BE9">
        <w:rPr>
          <w:rFonts w:ascii="Times New Roman" w:eastAsia="Times New Roman" w:hAnsi="Times New Roman" w:cs="Times New Roman"/>
          <w:b/>
          <w:sz w:val="24"/>
          <w:lang w:val="en-GB"/>
        </w:rPr>
        <w:t>S</w:t>
      </w:r>
      <w:r w:rsidR="00720833" w:rsidRPr="000C2BE9">
        <w:rPr>
          <w:rFonts w:ascii="Times New Roman" w:eastAsia="Times New Roman" w:hAnsi="Times New Roman" w:cs="Times New Roman"/>
          <w:b/>
          <w:sz w:val="24"/>
          <w:lang w:val="en-GB"/>
        </w:rPr>
        <w:t>2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. Characteristics of MPK and NMPK </w:t>
      </w:r>
      <w:r w:rsidR="006A5133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users 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>(mean ± standard deviation).</w:t>
      </w:r>
    </w:p>
    <w:p w14:paraId="1B6FBDDE" w14:textId="4BC588D8" w:rsidR="00DF7E45" w:rsidRPr="000C2BE9" w:rsidRDefault="00F87A84" w:rsidP="00DF7E45">
      <w:pPr>
        <w:spacing w:line="276" w:lineRule="auto"/>
        <w:ind w:left="361" w:hanging="361"/>
        <w:jc w:val="left"/>
        <w:rPr>
          <w:rFonts w:ascii="Times New Roman" w:eastAsia="Times New Roman" w:hAnsi="Times New Roman" w:cs="Times New Roman"/>
          <w:sz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lang w:val="en-GB"/>
        </w:rPr>
        <w:drawing>
          <wp:inline distT="0" distB="0" distL="0" distR="0" wp14:anchorId="741F9FB5" wp14:editId="688EF0E4">
            <wp:extent cx="5400040" cy="2026285"/>
            <wp:effectExtent l="0" t="0" r="0" b="5715"/>
            <wp:docPr id="3" name="図 3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C008C" w14:textId="0BAB23D8" w:rsidR="00CE5BA1" w:rsidRPr="000C2BE9" w:rsidRDefault="00CE5BA1" w:rsidP="00554A88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lang w:val="en-GB"/>
        </w:rPr>
      </w:pPr>
    </w:p>
    <w:p w14:paraId="3F8ADA2E" w14:textId="55757E43" w:rsidR="006E4281" w:rsidRPr="000C2BE9" w:rsidRDefault="006E4281" w:rsidP="00DF7E45">
      <w:pPr>
        <w:spacing w:line="276" w:lineRule="auto"/>
        <w:ind w:left="361" w:hanging="361"/>
        <w:jc w:val="left"/>
        <w:rPr>
          <w:rFonts w:ascii="Times New Roman" w:eastAsia="Times New Roman" w:hAnsi="Times New Roman" w:cs="Times New Roman"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noProof/>
          <w:sz w:val="24"/>
          <w:lang w:val="en-GB"/>
        </w:rPr>
        <w:drawing>
          <wp:inline distT="0" distB="0" distL="0" distR="0" wp14:anchorId="1779B379" wp14:editId="5D6257A4">
            <wp:extent cx="5400040" cy="1271270"/>
            <wp:effectExtent l="0" t="0" r="0" b="0"/>
            <wp:docPr id="2" name="図 2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箱ひげ図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DA298" w14:textId="34F6B026" w:rsidR="00CE5BA1" w:rsidRPr="000C2BE9" w:rsidRDefault="00CE5BA1" w:rsidP="00CE5BA1">
      <w:pPr>
        <w:spacing w:line="276" w:lineRule="auto"/>
        <w:ind w:left="361" w:hanging="361"/>
        <w:jc w:val="left"/>
        <w:rPr>
          <w:rFonts w:ascii="Times New Roman" w:eastAsia="Times New Roman" w:hAnsi="Times New Roman" w:cs="Times New Roman"/>
          <w:sz w:val="24"/>
          <w:lang w:val="en-GB"/>
        </w:rPr>
      </w:pPr>
      <w:r w:rsidRPr="000C2BE9">
        <w:rPr>
          <w:rFonts w:ascii="Times New Roman" w:eastAsia="Times New Roman" w:hAnsi="Times New Roman" w:cs="Times New Roman"/>
          <w:b/>
          <w:sz w:val="24"/>
          <w:lang w:val="en-GB"/>
        </w:rPr>
        <w:t xml:space="preserve">Figure </w:t>
      </w:r>
      <w:r w:rsidR="00081162" w:rsidRPr="000C2BE9">
        <w:rPr>
          <w:rFonts w:ascii="Times New Roman" w:eastAsia="Times New Roman" w:hAnsi="Times New Roman" w:cs="Times New Roman"/>
          <w:b/>
          <w:sz w:val="24"/>
          <w:lang w:val="en-GB"/>
        </w:rPr>
        <w:t>S1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>. Whisker-</w:t>
      </w:r>
      <w:r w:rsidR="00F270C0" w:rsidRPr="000C2BE9">
        <w:rPr>
          <w:rFonts w:ascii="Times New Roman" w:eastAsia="Times New Roman" w:hAnsi="Times New Roman" w:cs="Times New Roman"/>
          <w:sz w:val="24"/>
          <w:lang w:val="en-GB"/>
        </w:rPr>
        <w:t>b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ox plots of lateral symmetry (A), lateral variability (B), and anterior–posterior variability (C) at eight different walking speeds. The 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>yellow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and 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>green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boxes </w:t>
      </w:r>
      <w:r w:rsidR="00F270C0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correspond to 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MPK 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>and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NMPK</w:t>
      </w:r>
      <w:r w:rsidR="00F270C0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users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>, respectively.</w:t>
      </w:r>
      <w:r w:rsidR="006A288E" w:rsidRPr="000C2BE9">
        <w:rPr>
          <w:rFonts w:ascii="Times New Roman" w:eastAsia="ＭＳ 明朝" w:hAnsi="Times New Roman" w:cs="Times New Roman"/>
          <w:bCs/>
          <w:color w:val="2F5496" w:themeColor="accent1" w:themeShade="BF"/>
          <w:sz w:val="24"/>
          <w:szCs w:val="24"/>
          <w:lang w:val="en-GB"/>
        </w:rPr>
        <w:t xml:space="preserve"> </w:t>
      </w:r>
      <w:r w:rsidR="006A288E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There </w:t>
      </w:r>
      <w:r w:rsidR="00F270C0" w:rsidRPr="000C2BE9">
        <w:rPr>
          <w:rFonts w:ascii="Times New Roman" w:eastAsia="Times New Roman" w:hAnsi="Times New Roman" w:cs="Times New Roman"/>
          <w:bCs/>
          <w:sz w:val="24"/>
          <w:lang w:val="en-GB"/>
        </w:rPr>
        <w:t xml:space="preserve">are </w:t>
      </w:r>
      <w:r w:rsidR="006A288E" w:rsidRPr="000C2BE9">
        <w:rPr>
          <w:rFonts w:ascii="Times New Roman" w:eastAsia="Times New Roman" w:hAnsi="Times New Roman" w:cs="Times New Roman"/>
          <w:bCs/>
          <w:sz w:val="24"/>
          <w:lang w:val="en-GB"/>
        </w:rPr>
        <w:t>no significant differences in Lateral symmetry, Lateral variability, and Anterior-posterior variability between the two groups over a wide range of walking speeds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. Significant and non-significant main effects of walking speeds are indicated by filled and unfilled boxes, respectively. The 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>green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(</w:t>
      </w:r>
      <w:r w:rsidR="006A288E" w:rsidRPr="000C2BE9">
        <w:rPr>
          <w:rFonts w:ascii="Times New Roman" w:eastAsia="Times New Roman" w:hAnsi="Times New Roman" w:cs="Times New Roman"/>
          <w:sz w:val="24"/>
          <w:lang w:val="en-GB"/>
        </w:rPr>
        <w:t>NMPK</w:t>
      </w:r>
      <w:r w:rsidR="00F270C0"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users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) horizontal lines indicate significant differences between walking speeds (dotted line: </w:t>
      </w:r>
      <w:r w:rsidRPr="00554A88">
        <w:rPr>
          <w:rFonts w:ascii="Times New Roman" w:eastAsia="Times New Roman" w:hAnsi="Times New Roman" w:cs="Times New Roman"/>
          <w:sz w:val="24"/>
          <w:lang w:val="en-GB"/>
        </w:rPr>
        <w:t>p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&lt; 0.05, solid line: </w:t>
      </w:r>
      <w:r w:rsidRPr="00554A88">
        <w:rPr>
          <w:rFonts w:ascii="Times New Roman" w:eastAsia="Times New Roman" w:hAnsi="Times New Roman" w:cs="Times New Roman"/>
          <w:sz w:val="24"/>
          <w:lang w:val="en-GB"/>
        </w:rPr>
        <w:t>p</w:t>
      </w:r>
      <w:r w:rsidRPr="000C2BE9">
        <w:rPr>
          <w:rFonts w:ascii="Times New Roman" w:eastAsia="Times New Roman" w:hAnsi="Times New Roman" w:cs="Times New Roman"/>
          <w:sz w:val="24"/>
          <w:lang w:val="en-GB"/>
        </w:rPr>
        <w:t xml:space="preserve"> &lt; 0.01).</w:t>
      </w:r>
    </w:p>
    <w:p w14:paraId="02F5E963" w14:textId="31845B51" w:rsidR="00E308CF" w:rsidRPr="000C2BE9" w:rsidRDefault="00E308CF" w:rsidP="00FC0474">
      <w:pPr>
        <w:spacing w:line="276" w:lineRule="auto"/>
        <w:jc w:val="left"/>
        <w:rPr>
          <w:rFonts w:ascii="Times New Roman" w:eastAsia="Times New Roman" w:hAnsi="Times New Roman" w:cs="Times New Roman"/>
          <w:sz w:val="24"/>
          <w:lang w:val="en-GB"/>
        </w:rPr>
      </w:pPr>
    </w:p>
    <w:sectPr w:rsidR="00E308CF" w:rsidRPr="000C2BE9">
      <w:headerReference w:type="default" r:id="rId10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11958" w14:textId="77777777" w:rsidR="00F56C03" w:rsidRDefault="00F56C03">
      <w:r>
        <w:separator/>
      </w:r>
    </w:p>
  </w:endnote>
  <w:endnote w:type="continuationSeparator" w:id="0">
    <w:p w14:paraId="3E2006A1" w14:textId="77777777" w:rsidR="00F56C03" w:rsidRDefault="00F56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26A06" w14:textId="77777777" w:rsidR="00F56C03" w:rsidRDefault="00F56C03">
      <w:r>
        <w:separator/>
      </w:r>
    </w:p>
  </w:footnote>
  <w:footnote w:type="continuationSeparator" w:id="0">
    <w:p w14:paraId="1B77C14A" w14:textId="77777777" w:rsidR="00F56C03" w:rsidRDefault="00F56C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4992380"/>
      <w:docPartObj>
        <w:docPartGallery w:val="Page Numbers (Top of Page)"/>
        <w:docPartUnique/>
      </w:docPartObj>
    </w:sdtPr>
    <w:sdtEndPr/>
    <w:sdtContent>
      <w:p w14:paraId="7759184B" w14:textId="6EDCD793" w:rsidR="00BC6F74" w:rsidRPr="006251EB" w:rsidRDefault="00BC6F74">
        <w:pPr>
          <w:pStyle w:val="a9"/>
          <w:jc w:val="right"/>
        </w:pPr>
        <w:r w:rsidRPr="006251EB">
          <w:fldChar w:fldCharType="begin"/>
        </w:r>
        <w:r w:rsidRPr="006251EB">
          <w:instrText xml:space="preserve"> PAGE   \* MERGEFORMAT </w:instrText>
        </w:r>
        <w:r w:rsidRPr="006251EB">
          <w:fldChar w:fldCharType="separate"/>
        </w:r>
        <w:r w:rsidRPr="006251EB">
          <w:t>2</w:t>
        </w:r>
        <w:r w:rsidRPr="006251EB">
          <w:fldChar w:fldCharType="end"/>
        </w:r>
      </w:p>
    </w:sdtContent>
  </w:sdt>
  <w:p w14:paraId="2E2F0864" w14:textId="77777777" w:rsidR="00BC6F74" w:rsidRPr="006251EB" w:rsidRDefault="00BC6F7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C00C74"/>
    <w:multiLevelType w:val="hybridMultilevel"/>
    <w:tmpl w:val="F59AA4FC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 w16cid:durableId="1372269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8CF"/>
    <w:rsid w:val="000008E8"/>
    <w:rsid w:val="00003626"/>
    <w:rsid w:val="00004629"/>
    <w:rsid w:val="00022F42"/>
    <w:rsid w:val="00042433"/>
    <w:rsid w:val="00042A4D"/>
    <w:rsid w:val="00056FF3"/>
    <w:rsid w:val="00066481"/>
    <w:rsid w:val="00081162"/>
    <w:rsid w:val="000A790E"/>
    <w:rsid w:val="000C00BD"/>
    <w:rsid w:val="000C04BD"/>
    <w:rsid w:val="000C2BE9"/>
    <w:rsid w:val="000E3AF0"/>
    <w:rsid w:val="000F3288"/>
    <w:rsid w:val="000F5595"/>
    <w:rsid w:val="00112B09"/>
    <w:rsid w:val="00113A18"/>
    <w:rsid w:val="00120E9A"/>
    <w:rsid w:val="00123D09"/>
    <w:rsid w:val="001259AD"/>
    <w:rsid w:val="00145B16"/>
    <w:rsid w:val="001516DB"/>
    <w:rsid w:val="00166766"/>
    <w:rsid w:val="00173085"/>
    <w:rsid w:val="00173ADA"/>
    <w:rsid w:val="00196001"/>
    <w:rsid w:val="001966BF"/>
    <w:rsid w:val="001C570B"/>
    <w:rsid w:val="001C6DD2"/>
    <w:rsid w:val="001F4A55"/>
    <w:rsid w:val="0022503A"/>
    <w:rsid w:val="00272826"/>
    <w:rsid w:val="00275614"/>
    <w:rsid w:val="002A1AB4"/>
    <w:rsid w:val="002A7FC6"/>
    <w:rsid w:val="002B08C3"/>
    <w:rsid w:val="002B692C"/>
    <w:rsid w:val="002E2F8C"/>
    <w:rsid w:val="003046CE"/>
    <w:rsid w:val="003053EC"/>
    <w:rsid w:val="00316E8B"/>
    <w:rsid w:val="00326A4F"/>
    <w:rsid w:val="003404D4"/>
    <w:rsid w:val="00346A04"/>
    <w:rsid w:val="003617E1"/>
    <w:rsid w:val="00380063"/>
    <w:rsid w:val="00385937"/>
    <w:rsid w:val="0039053C"/>
    <w:rsid w:val="003A4B9A"/>
    <w:rsid w:val="003C194A"/>
    <w:rsid w:val="003F78A8"/>
    <w:rsid w:val="00401538"/>
    <w:rsid w:val="00405AD0"/>
    <w:rsid w:val="00420176"/>
    <w:rsid w:val="00426FF4"/>
    <w:rsid w:val="00446710"/>
    <w:rsid w:val="00465634"/>
    <w:rsid w:val="004928C7"/>
    <w:rsid w:val="004938B6"/>
    <w:rsid w:val="004A210A"/>
    <w:rsid w:val="004A546C"/>
    <w:rsid w:val="004C0183"/>
    <w:rsid w:val="004D1C78"/>
    <w:rsid w:val="004F621E"/>
    <w:rsid w:val="004F79F0"/>
    <w:rsid w:val="0052743D"/>
    <w:rsid w:val="00537409"/>
    <w:rsid w:val="00554A88"/>
    <w:rsid w:val="00593FD1"/>
    <w:rsid w:val="005C11D1"/>
    <w:rsid w:val="005D5A33"/>
    <w:rsid w:val="005E23C9"/>
    <w:rsid w:val="005E4068"/>
    <w:rsid w:val="005E42E5"/>
    <w:rsid w:val="006251EB"/>
    <w:rsid w:val="0064406D"/>
    <w:rsid w:val="0064443E"/>
    <w:rsid w:val="006560EB"/>
    <w:rsid w:val="00663843"/>
    <w:rsid w:val="00671CAF"/>
    <w:rsid w:val="00673DA8"/>
    <w:rsid w:val="006A288E"/>
    <w:rsid w:val="006A5133"/>
    <w:rsid w:val="006B7993"/>
    <w:rsid w:val="006C1C5B"/>
    <w:rsid w:val="006E4281"/>
    <w:rsid w:val="00701065"/>
    <w:rsid w:val="00701675"/>
    <w:rsid w:val="00720833"/>
    <w:rsid w:val="00770723"/>
    <w:rsid w:val="007D2FE3"/>
    <w:rsid w:val="007D6239"/>
    <w:rsid w:val="007F739F"/>
    <w:rsid w:val="008132CB"/>
    <w:rsid w:val="008139A1"/>
    <w:rsid w:val="00821E32"/>
    <w:rsid w:val="00850731"/>
    <w:rsid w:val="00851583"/>
    <w:rsid w:val="00861BA5"/>
    <w:rsid w:val="00863C28"/>
    <w:rsid w:val="00885C29"/>
    <w:rsid w:val="00885F74"/>
    <w:rsid w:val="008B6DEF"/>
    <w:rsid w:val="008C4B57"/>
    <w:rsid w:val="008D3F85"/>
    <w:rsid w:val="008F5168"/>
    <w:rsid w:val="008F5957"/>
    <w:rsid w:val="008F6350"/>
    <w:rsid w:val="009056FC"/>
    <w:rsid w:val="009266C1"/>
    <w:rsid w:val="0094007C"/>
    <w:rsid w:val="009400C4"/>
    <w:rsid w:val="00943D28"/>
    <w:rsid w:val="009569DA"/>
    <w:rsid w:val="00960A3C"/>
    <w:rsid w:val="00966103"/>
    <w:rsid w:val="00996710"/>
    <w:rsid w:val="009A36AF"/>
    <w:rsid w:val="009B071C"/>
    <w:rsid w:val="009B4D09"/>
    <w:rsid w:val="009B5175"/>
    <w:rsid w:val="009B6548"/>
    <w:rsid w:val="009C1849"/>
    <w:rsid w:val="009C1E0D"/>
    <w:rsid w:val="009C2585"/>
    <w:rsid w:val="009C282F"/>
    <w:rsid w:val="009D364E"/>
    <w:rsid w:val="009D742F"/>
    <w:rsid w:val="009E6C0C"/>
    <w:rsid w:val="009F0DDD"/>
    <w:rsid w:val="009F3BF7"/>
    <w:rsid w:val="00A1536D"/>
    <w:rsid w:val="00A20B31"/>
    <w:rsid w:val="00A24587"/>
    <w:rsid w:val="00A559D1"/>
    <w:rsid w:val="00A70657"/>
    <w:rsid w:val="00A97F63"/>
    <w:rsid w:val="00AC7B4D"/>
    <w:rsid w:val="00AF42A5"/>
    <w:rsid w:val="00B00B4D"/>
    <w:rsid w:val="00B15C38"/>
    <w:rsid w:val="00B172B2"/>
    <w:rsid w:val="00B219AB"/>
    <w:rsid w:val="00B32FCD"/>
    <w:rsid w:val="00B442C8"/>
    <w:rsid w:val="00B55196"/>
    <w:rsid w:val="00B63DFE"/>
    <w:rsid w:val="00B67E8A"/>
    <w:rsid w:val="00B759D1"/>
    <w:rsid w:val="00B859FA"/>
    <w:rsid w:val="00B90BB9"/>
    <w:rsid w:val="00BA6E88"/>
    <w:rsid w:val="00BC6F74"/>
    <w:rsid w:val="00BE2029"/>
    <w:rsid w:val="00BE45C9"/>
    <w:rsid w:val="00C21BD6"/>
    <w:rsid w:val="00C37086"/>
    <w:rsid w:val="00C75654"/>
    <w:rsid w:val="00C7579A"/>
    <w:rsid w:val="00C93547"/>
    <w:rsid w:val="00CA15C5"/>
    <w:rsid w:val="00CE5BA1"/>
    <w:rsid w:val="00D0640C"/>
    <w:rsid w:val="00D1465F"/>
    <w:rsid w:val="00D14AB5"/>
    <w:rsid w:val="00D2422A"/>
    <w:rsid w:val="00D3544D"/>
    <w:rsid w:val="00D60F9B"/>
    <w:rsid w:val="00D6549D"/>
    <w:rsid w:val="00D76AAE"/>
    <w:rsid w:val="00D8007C"/>
    <w:rsid w:val="00DB6E0D"/>
    <w:rsid w:val="00DD17C8"/>
    <w:rsid w:val="00DE562D"/>
    <w:rsid w:val="00DE6C1C"/>
    <w:rsid w:val="00DF482F"/>
    <w:rsid w:val="00DF51DA"/>
    <w:rsid w:val="00DF6F23"/>
    <w:rsid w:val="00DF7E45"/>
    <w:rsid w:val="00E059F3"/>
    <w:rsid w:val="00E244A7"/>
    <w:rsid w:val="00E308CF"/>
    <w:rsid w:val="00E32E84"/>
    <w:rsid w:val="00E35672"/>
    <w:rsid w:val="00E44A44"/>
    <w:rsid w:val="00E75D3C"/>
    <w:rsid w:val="00E7706B"/>
    <w:rsid w:val="00E91D41"/>
    <w:rsid w:val="00E93D2D"/>
    <w:rsid w:val="00EC2DC2"/>
    <w:rsid w:val="00EE185B"/>
    <w:rsid w:val="00EF252C"/>
    <w:rsid w:val="00EF3637"/>
    <w:rsid w:val="00EF62F6"/>
    <w:rsid w:val="00F0298A"/>
    <w:rsid w:val="00F270C0"/>
    <w:rsid w:val="00F27849"/>
    <w:rsid w:val="00F3791B"/>
    <w:rsid w:val="00F5550B"/>
    <w:rsid w:val="00F56C03"/>
    <w:rsid w:val="00F57291"/>
    <w:rsid w:val="00F57411"/>
    <w:rsid w:val="00F66012"/>
    <w:rsid w:val="00F80291"/>
    <w:rsid w:val="00F80EB9"/>
    <w:rsid w:val="00F87A84"/>
    <w:rsid w:val="00F96644"/>
    <w:rsid w:val="00FA6A3B"/>
    <w:rsid w:val="00FB1D8F"/>
    <w:rsid w:val="00FC0474"/>
    <w:rsid w:val="00FC11D0"/>
    <w:rsid w:val="00FC741D"/>
    <w:rsid w:val="00FE46EB"/>
    <w:rsid w:val="00FF136A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9858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C11">
    <w:name w:val="TOC 11"/>
    <w:basedOn w:val="a"/>
    <w:pPr>
      <w:spacing w:line="305" w:lineRule="auto"/>
    </w:pPr>
    <w:rPr>
      <w:rFonts w:ascii="Calibri" w:eastAsia="Calibri" w:hAnsi="Calibri" w:cs="Calibri"/>
      <w:sz w:val="26"/>
    </w:rPr>
  </w:style>
  <w:style w:type="paragraph" w:customStyle="1" w:styleId="TOC21">
    <w:name w:val="TOC 21"/>
    <w:basedOn w:val="a"/>
    <w:pPr>
      <w:spacing w:line="330" w:lineRule="auto"/>
    </w:pPr>
    <w:rPr>
      <w:rFonts w:ascii="Calibri" w:eastAsia="Calibri" w:hAnsi="Calibri" w:cs="Calibri"/>
      <w:sz w:val="24"/>
    </w:rPr>
  </w:style>
  <w:style w:type="paragraph" w:customStyle="1" w:styleId="TOC31">
    <w:name w:val="TOC 31"/>
    <w:basedOn w:val="a"/>
    <w:pPr>
      <w:spacing w:line="360" w:lineRule="auto"/>
    </w:pPr>
    <w:rPr>
      <w:rFonts w:ascii="Calibri" w:eastAsia="Calibri" w:hAnsi="Calibri" w:cs="Calibri"/>
      <w:sz w:val="22"/>
    </w:rPr>
  </w:style>
  <w:style w:type="paragraph" w:customStyle="1" w:styleId="TOC41">
    <w:name w:val="TOC 4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51">
    <w:name w:val="TOC 5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61">
    <w:name w:val="TOC 6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71">
    <w:name w:val="TOC 7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81">
    <w:name w:val="TOC 81"/>
    <w:basedOn w:val="a"/>
    <w:pPr>
      <w:spacing w:line="330" w:lineRule="exact"/>
    </w:pPr>
    <w:rPr>
      <w:rFonts w:ascii="Calibri" w:eastAsia="Calibri" w:hAnsi="Calibri" w:cs="Calibri"/>
    </w:rPr>
  </w:style>
  <w:style w:type="paragraph" w:customStyle="1" w:styleId="TOC91">
    <w:name w:val="TOC 91"/>
    <w:basedOn w:val="a"/>
    <w:pPr>
      <w:spacing w:line="330" w:lineRule="exact"/>
    </w:pPr>
    <w:rPr>
      <w:rFonts w:ascii="Calibri" w:eastAsia="Calibri" w:hAnsi="Calibri" w:cs="Calibri"/>
    </w:rPr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ldDefaultTableStyle">
    <w:name w:val="Old Default Table Style"/>
    <w:tblPr>
      <w:tblOverlap w:val="never"/>
      <w:tblCellMar>
        <w:top w:w="0" w:type="dxa"/>
        <w:left w:w="10" w:type="dxa"/>
        <w:bottom w:w="0" w:type="dxa"/>
        <w:right w:w="10" w:type="dxa"/>
      </w:tblCellMar>
    </w:tblPr>
  </w:style>
  <w:style w:type="character" w:customStyle="1" w:styleId="CommentReference1">
    <w:name w:val="Comment Reference1"/>
    <w:basedOn w:val="a0"/>
    <w:rPr>
      <w:sz w:val="16"/>
    </w:rPr>
  </w:style>
  <w:style w:type="character" w:customStyle="1" w:styleId="EndnoteReference1">
    <w:name w:val="Endnote Reference1"/>
    <w:basedOn w:val="a0"/>
    <w:rPr>
      <w:vertAlign w:val="superscript"/>
    </w:rPr>
  </w:style>
  <w:style w:type="character" w:customStyle="1" w:styleId="FootnoteReference1">
    <w:name w:val="Footnote Reference1"/>
    <w:basedOn w:val="a0"/>
    <w:rPr>
      <w:vertAlign w:val="superscript"/>
    </w:rPr>
  </w:style>
  <w:style w:type="character" w:styleId="a4">
    <w:name w:val="line number"/>
    <w:basedOn w:val="a0"/>
  </w:style>
  <w:style w:type="character" w:styleId="a5">
    <w:name w:val="annotation reference"/>
    <w:basedOn w:val="a0"/>
    <w:rPr>
      <w:sz w:val="18"/>
    </w:rPr>
  </w:style>
  <w:style w:type="paragraph" w:styleId="a6">
    <w:name w:val="annotation text"/>
    <w:basedOn w:val="a"/>
    <w:pPr>
      <w:jc w:val="left"/>
    </w:pPr>
  </w:style>
  <w:style w:type="paragraph" w:styleId="a7">
    <w:name w:val="annotation subject"/>
    <w:basedOn w:val="a6"/>
    <w:rPr>
      <w:b/>
    </w:rPr>
  </w:style>
  <w:style w:type="paragraph" w:styleId="a8">
    <w:name w:val="Balloon Text"/>
    <w:basedOn w:val="a"/>
    <w:rPr>
      <w:rFonts w:ascii="Arial" w:eastAsia="Arial" w:hAnsi="Arial" w:cs="Arial"/>
      <w:sz w:val="18"/>
    </w:rPr>
  </w:style>
  <w:style w:type="paragraph" w:styleId="a9">
    <w:name w:val="header"/>
    <w:basedOn w:val="a"/>
    <w:link w:val="aa"/>
    <w:uiPriority w:val="99"/>
    <w:pPr>
      <w:tabs>
        <w:tab w:val="center" w:pos="4252"/>
        <w:tab w:val="right" w:pos="8504"/>
      </w:tabs>
      <w:snapToGrid w:val="0"/>
    </w:pPr>
  </w:style>
  <w:style w:type="paragraph" w:styleId="ab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c">
    <w:name w:val="Body Text"/>
    <w:basedOn w:val="a"/>
    <w:pPr>
      <w:widowControl/>
      <w:jc w:val="left"/>
    </w:pPr>
    <w:rPr>
      <w:rFonts w:ascii="Times New Roman" w:eastAsia="Times New Roman" w:hAnsi="Times New Roman" w:cs="Times New Roman"/>
      <w:sz w:val="24"/>
    </w:rPr>
  </w:style>
  <w:style w:type="character" w:styleId="ad">
    <w:name w:val="Hyperlink"/>
    <w:basedOn w:val="a0"/>
    <w:rPr>
      <w:color w:val="0563C1"/>
      <w:u w:val="single"/>
    </w:rPr>
  </w:style>
  <w:style w:type="character" w:customStyle="1" w:styleId="apple-converted-space">
    <w:name w:val="apple-converted-space"/>
    <w:basedOn w:val="a0"/>
  </w:style>
  <w:style w:type="paragraph" w:styleId="ae">
    <w:name w:val="Bibliography"/>
    <w:basedOn w:val="a"/>
  </w:style>
  <w:style w:type="paragraph" w:styleId="Web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sz w:val="24"/>
    </w:rPr>
  </w:style>
  <w:style w:type="paragraph" w:styleId="af">
    <w:name w:val="List Paragraph"/>
    <w:basedOn w:val="a"/>
    <w:pPr>
      <w:ind w:left="840"/>
    </w:pPr>
  </w:style>
  <w:style w:type="character" w:customStyle="1" w:styleId="UnresolvedMention1">
    <w:name w:val="Unresolved Mention1"/>
    <w:basedOn w:val="a0"/>
    <w:rPr>
      <w:color w:val="605E5C"/>
    </w:rPr>
  </w:style>
  <w:style w:type="paragraph" w:styleId="af0">
    <w:name w:val="Revision"/>
  </w:style>
  <w:style w:type="character" w:styleId="af1">
    <w:name w:val="FollowedHyperlink"/>
    <w:basedOn w:val="a0"/>
    <w:rPr>
      <w:color w:val="954F72"/>
      <w:u w:val="single"/>
    </w:rPr>
  </w:style>
  <w:style w:type="paragraph" w:customStyle="1" w:styleId="TableList">
    <w:name w:val="Table List"/>
    <w:basedOn w:val="a"/>
    <w:pPr>
      <w:ind w:left="300" w:hanging="300"/>
      <w:jc w:val="left"/>
    </w:pPr>
    <w:rPr>
      <w:rFonts w:ascii="Calibri" w:eastAsia="Calibri" w:hAnsi="Calibri" w:cs="Calibri"/>
      <w:sz w:val="20"/>
    </w:rPr>
  </w:style>
  <w:style w:type="character" w:customStyle="1" w:styleId="GivenName">
    <w:name w:val="Given Name"/>
    <w:basedOn w:val="a0"/>
    <w:rPr>
      <w:shd w:val="clear" w:color="auto" w:fill="D0FCE2"/>
    </w:rPr>
  </w:style>
  <w:style w:type="character" w:customStyle="1" w:styleId="FamilyName">
    <w:name w:val="Family Name"/>
    <w:basedOn w:val="a0"/>
    <w:rPr>
      <w:shd w:val="clear" w:color="auto" w:fill="88F4BE"/>
    </w:rPr>
  </w:style>
  <w:style w:type="paragraph" w:customStyle="1" w:styleId="List8">
    <w:name w:val="List 8"/>
    <w:basedOn w:val="a"/>
    <w:pPr>
      <w:spacing w:line="360" w:lineRule="auto"/>
      <w:ind w:left="1980" w:hanging="400"/>
    </w:pPr>
    <w:rPr>
      <w:rFonts w:ascii="Calibri" w:eastAsia="Calibri" w:hAnsi="Calibri" w:cs="Calibri"/>
      <w:sz w:val="22"/>
    </w:rPr>
  </w:style>
  <w:style w:type="character" w:customStyle="1" w:styleId="Cross-reference">
    <w:name w:val="Cross-reference"/>
    <w:basedOn w:val="a0"/>
    <w:rPr>
      <w:shd w:val="clear" w:color="auto" w:fill="FFE3C9"/>
    </w:rPr>
  </w:style>
  <w:style w:type="character" w:customStyle="1" w:styleId="Postcode">
    <w:name w:val="Postcode"/>
    <w:basedOn w:val="a0"/>
    <w:rPr>
      <w:shd w:val="clear" w:color="auto" w:fill="BEBEBE"/>
    </w:rPr>
  </w:style>
  <w:style w:type="paragraph" w:customStyle="1" w:styleId="Authors">
    <w:name w:val="Authors"/>
    <w:basedOn w:val="a"/>
    <w:pPr>
      <w:spacing w:before="360" w:after="120" w:line="283" w:lineRule="auto"/>
      <w:jc w:val="left"/>
    </w:pPr>
    <w:rPr>
      <w:rFonts w:ascii="Calibri" w:eastAsia="Calibri" w:hAnsi="Calibri" w:cs="Calibri"/>
      <w:sz w:val="28"/>
    </w:rPr>
  </w:style>
  <w:style w:type="character" w:customStyle="1" w:styleId="GrantID">
    <w:name w:val="Grant ID"/>
    <w:basedOn w:val="a0"/>
    <w:rPr>
      <w:shd w:val="clear" w:color="auto" w:fill="DDA5FF"/>
    </w:rPr>
  </w:style>
  <w:style w:type="paragraph" w:customStyle="1" w:styleId="Annotation">
    <w:name w:val="Annotation"/>
    <w:basedOn w:val="a"/>
    <w:pPr>
      <w:spacing w:after="160" w:line="360" w:lineRule="auto"/>
      <w:ind w:left="400"/>
      <w:jc w:val="left"/>
    </w:pPr>
    <w:rPr>
      <w:rFonts w:ascii="Calibri" w:eastAsia="Calibri" w:hAnsi="Calibri" w:cs="Calibri"/>
      <w:sz w:val="22"/>
    </w:rPr>
  </w:style>
  <w:style w:type="paragraph" w:customStyle="1" w:styleId="Note">
    <w:name w:val="Note"/>
    <w:basedOn w:val="a"/>
    <w:pPr>
      <w:shd w:val="clear" w:color="auto" w:fill="EDF0FF"/>
      <w:spacing w:line="432" w:lineRule="auto"/>
    </w:pPr>
    <w:rPr>
      <w:rFonts w:ascii="Calibri" w:eastAsia="Calibri" w:hAnsi="Calibri" w:cs="Calibri"/>
      <w:sz w:val="20"/>
      <w:shd w:val="clear" w:color="auto" w:fill="EDF0FF"/>
    </w:rPr>
  </w:style>
  <w:style w:type="paragraph" w:customStyle="1" w:styleId="Copyright">
    <w:name w:val="Copyright"/>
    <w:basedOn w:val="a"/>
    <w:pPr>
      <w:shd w:val="clear" w:color="auto" w:fill="E9F9FF"/>
    </w:pPr>
    <w:rPr>
      <w:rFonts w:ascii="Calibri" w:eastAsia="Calibri" w:hAnsi="Calibri" w:cs="Calibri"/>
      <w:sz w:val="18"/>
      <w:shd w:val="clear" w:color="auto" w:fill="E9F9FF"/>
    </w:rPr>
  </w:style>
  <w:style w:type="paragraph" w:customStyle="1" w:styleId="FootnoteText1">
    <w:name w:val="Footnote Text1"/>
    <w:basedOn w:val="a"/>
    <w:rPr>
      <w:rFonts w:ascii="Calibri" w:eastAsia="Calibri" w:hAnsi="Calibri" w:cs="Calibri"/>
    </w:rPr>
  </w:style>
  <w:style w:type="paragraph" w:customStyle="1" w:styleId="Formula">
    <w:name w:val="Formula"/>
    <w:basedOn w:val="a"/>
    <w:pPr>
      <w:shd w:val="clear" w:color="auto" w:fill="FFF5ED"/>
      <w:spacing w:before="120" w:after="120" w:line="360" w:lineRule="auto"/>
      <w:jc w:val="left"/>
    </w:pPr>
    <w:rPr>
      <w:rFonts w:ascii="Calibri" w:eastAsia="Calibri" w:hAnsi="Calibri" w:cs="Calibri"/>
      <w:sz w:val="22"/>
      <w:shd w:val="clear" w:color="auto" w:fill="FFF5ED"/>
    </w:rPr>
  </w:style>
  <w:style w:type="paragraph" w:customStyle="1" w:styleId="Abstract">
    <w:name w:val="Abstract"/>
    <w:basedOn w:val="a"/>
    <w:pPr>
      <w:spacing w:after="160" w:line="360" w:lineRule="auto"/>
      <w:ind w:left="1440" w:right="1440"/>
    </w:pPr>
    <w:rPr>
      <w:rFonts w:ascii="Calibri" w:eastAsia="Calibri" w:hAnsi="Calibri" w:cs="Calibri"/>
      <w:sz w:val="22"/>
    </w:rPr>
  </w:style>
  <w:style w:type="paragraph" w:customStyle="1" w:styleId="Reference">
    <w:name w:val="Reference"/>
    <w:basedOn w:val="a"/>
    <w:pPr>
      <w:spacing w:after="320" w:line="360" w:lineRule="auto"/>
      <w:ind w:left="400" w:hanging="400"/>
    </w:pPr>
    <w:rPr>
      <w:rFonts w:ascii="Calibri" w:eastAsia="Calibri" w:hAnsi="Calibri" w:cs="Calibri"/>
      <w:sz w:val="22"/>
    </w:rPr>
  </w:style>
  <w:style w:type="character" w:customStyle="1" w:styleId="Label">
    <w:name w:val="Label"/>
    <w:basedOn w:val="a0"/>
    <w:rPr>
      <w:shd w:val="clear" w:color="auto" w:fill="FFC391"/>
      <w:vertAlign w:val="baseline"/>
    </w:rPr>
  </w:style>
  <w:style w:type="paragraph" w:customStyle="1" w:styleId="Keywords">
    <w:name w:val="Keywords"/>
    <w:basedOn w:val="a"/>
    <w:pPr>
      <w:spacing w:line="396" w:lineRule="auto"/>
      <w:ind w:left="1000"/>
      <w:jc w:val="left"/>
    </w:pPr>
    <w:rPr>
      <w:rFonts w:ascii="Calibri" w:eastAsia="Calibri" w:hAnsi="Calibri" w:cs="Calibri"/>
      <w:sz w:val="20"/>
    </w:rPr>
  </w:style>
  <w:style w:type="character" w:customStyle="1" w:styleId="Organization">
    <w:name w:val="Organization"/>
    <w:basedOn w:val="a0"/>
    <w:rPr>
      <w:shd w:val="clear" w:color="auto" w:fill="D1FFB5"/>
    </w:rPr>
  </w:style>
  <w:style w:type="paragraph" w:styleId="2">
    <w:name w:val="List 2"/>
    <w:basedOn w:val="a"/>
    <w:pPr>
      <w:spacing w:line="360" w:lineRule="auto"/>
      <w:ind w:left="800" w:hanging="400"/>
    </w:pPr>
    <w:rPr>
      <w:rFonts w:ascii="Calibri" w:eastAsia="Calibri" w:hAnsi="Calibri" w:cs="Calibri"/>
      <w:sz w:val="22"/>
    </w:rPr>
  </w:style>
  <w:style w:type="character" w:customStyle="1" w:styleId="GlossaryTerm">
    <w:name w:val="Glossary Term"/>
    <w:basedOn w:val="a0"/>
    <w:rPr>
      <w:shd w:val="clear" w:color="auto" w:fill="FFCFD7"/>
    </w:rPr>
  </w:style>
  <w:style w:type="paragraph" w:customStyle="1" w:styleId="EndnoteText1">
    <w:name w:val="Endnote Text1"/>
    <w:basedOn w:val="a"/>
    <w:rPr>
      <w:rFonts w:ascii="Calibri" w:eastAsia="Calibri" w:hAnsi="Calibri" w:cs="Calibri"/>
    </w:rPr>
  </w:style>
  <w:style w:type="paragraph" w:styleId="af2">
    <w:name w:val="Block Text"/>
    <w:basedOn w:val="a"/>
    <w:pPr>
      <w:spacing w:after="160" w:line="360" w:lineRule="auto"/>
      <w:ind w:left="1200"/>
    </w:pPr>
    <w:rPr>
      <w:rFonts w:ascii="Calibri" w:eastAsia="Calibri" w:hAnsi="Calibri" w:cs="Calibri"/>
      <w:sz w:val="22"/>
    </w:rPr>
  </w:style>
  <w:style w:type="character" w:customStyle="1" w:styleId="ArticleTitle">
    <w:name w:val="Article Title"/>
    <w:basedOn w:val="a0"/>
    <w:qFormat/>
    <w:rPr>
      <w:shd w:val="clear" w:color="auto" w:fill="E9F9FF"/>
    </w:rPr>
  </w:style>
  <w:style w:type="character" w:customStyle="1" w:styleId="City">
    <w:name w:val="City"/>
    <w:basedOn w:val="a0"/>
    <w:rPr>
      <w:shd w:val="clear" w:color="auto" w:fill="D7D7D7"/>
    </w:rPr>
  </w:style>
  <w:style w:type="character" w:customStyle="1" w:styleId="Region">
    <w:name w:val="Region"/>
    <w:basedOn w:val="a0"/>
    <w:rPr>
      <w:shd w:val="clear" w:color="auto" w:fill="D8E9EE"/>
    </w:rPr>
  </w:style>
  <w:style w:type="paragraph" w:customStyle="1" w:styleId="Correspondence">
    <w:name w:val="Correspondence"/>
    <w:basedOn w:val="a"/>
    <w:pPr>
      <w:shd w:val="clear" w:color="auto" w:fill="F3F7F9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3F7F9"/>
    </w:rPr>
  </w:style>
  <w:style w:type="character" w:customStyle="1" w:styleId="DatabaseLink">
    <w:name w:val="Database Link"/>
    <w:basedOn w:val="a0"/>
    <w:rPr>
      <w:shd w:val="clear" w:color="auto" w:fill="AFBEFF"/>
    </w:rPr>
  </w:style>
  <w:style w:type="paragraph" w:styleId="4">
    <w:name w:val="List 4"/>
    <w:basedOn w:val="a"/>
    <w:pPr>
      <w:spacing w:line="360" w:lineRule="auto"/>
      <w:ind w:left="1600" w:hanging="400"/>
    </w:pPr>
    <w:rPr>
      <w:rFonts w:ascii="Calibri" w:eastAsia="Calibri" w:hAnsi="Calibri" w:cs="Calibri"/>
      <w:sz w:val="22"/>
    </w:rPr>
  </w:style>
  <w:style w:type="paragraph" w:customStyle="1" w:styleId="AbstractSubheading">
    <w:name w:val="Abstract Subheading"/>
    <w:basedOn w:val="a"/>
    <w:pPr>
      <w:numPr>
        <w:ilvl w:val="8"/>
      </w:numPr>
      <w:ind w:left="1440"/>
      <w:outlineLvl w:val="8"/>
    </w:pPr>
    <w:rPr>
      <w:sz w:val="22"/>
    </w:rPr>
  </w:style>
  <w:style w:type="paragraph" w:customStyle="1" w:styleId="QuotationSource">
    <w:name w:val="Quotation Source"/>
    <w:basedOn w:val="a"/>
    <w:pPr>
      <w:spacing w:after="170" w:line="360" w:lineRule="auto"/>
      <w:ind w:left="1200"/>
      <w:jc w:val="right"/>
    </w:pPr>
    <w:rPr>
      <w:rFonts w:ascii="Calibri" w:eastAsia="Calibri" w:hAnsi="Calibri" w:cs="Calibri"/>
      <w:sz w:val="22"/>
    </w:rPr>
  </w:style>
  <w:style w:type="paragraph" w:customStyle="1" w:styleId="Glossary">
    <w:name w:val="Glossary"/>
    <w:basedOn w:val="a"/>
    <w:pPr>
      <w:shd w:val="clear" w:color="auto" w:fill="FFEDF0"/>
      <w:spacing w:before="120" w:after="120" w:line="432" w:lineRule="auto"/>
    </w:pPr>
    <w:rPr>
      <w:rFonts w:ascii="Calibri" w:eastAsia="Calibri" w:hAnsi="Calibri" w:cs="Calibri"/>
      <w:sz w:val="20"/>
      <w:shd w:val="clear" w:color="auto" w:fill="FFEDF0"/>
    </w:rPr>
  </w:style>
  <w:style w:type="paragraph" w:customStyle="1" w:styleId="List7">
    <w:name w:val="List 7"/>
    <w:basedOn w:val="a"/>
    <w:pPr>
      <w:spacing w:line="360" w:lineRule="auto"/>
      <w:ind w:left="1920" w:hanging="400"/>
    </w:pPr>
    <w:rPr>
      <w:rFonts w:ascii="Calibri" w:eastAsia="Calibri" w:hAnsi="Calibri" w:cs="Calibri"/>
      <w:sz w:val="22"/>
    </w:rPr>
  </w:style>
  <w:style w:type="character" w:customStyle="1" w:styleId="Country">
    <w:name w:val="Country"/>
    <w:basedOn w:val="a0"/>
    <w:rPr>
      <w:shd w:val="clear" w:color="auto" w:fill="97C5D1"/>
    </w:rPr>
  </w:style>
  <w:style w:type="paragraph" w:customStyle="1" w:styleId="Acknowledgements">
    <w:name w:val="Acknowledgements"/>
    <w:basedOn w:val="a"/>
    <w:pPr>
      <w:shd w:val="clear" w:color="auto" w:fill="F9EDFF"/>
      <w:spacing w:after="160" w:line="396" w:lineRule="auto"/>
    </w:pPr>
    <w:rPr>
      <w:rFonts w:ascii="Calibri" w:eastAsia="Calibri" w:hAnsi="Calibri" w:cs="Calibri"/>
      <w:sz w:val="20"/>
      <w:shd w:val="clear" w:color="auto" w:fill="F9EDFF"/>
    </w:rPr>
  </w:style>
  <w:style w:type="character" w:customStyle="1" w:styleId="PageNumbers">
    <w:name w:val="Page Numbers"/>
    <w:basedOn w:val="a0"/>
    <w:rPr>
      <w:shd w:val="clear" w:color="auto" w:fill="FFEDF0"/>
    </w:rPr>
  </w:style>
  <w:style w:type="paragraph" w:styleId="af3">
    <w:name w:val="Normal Indent"/>
    <w:basedOn w:val="a"/>
    <w:qFormat/>
    <w:pPr>
      <w:ind w:firstLine="480"/>
    </w:pPr>
    <w:rPr>
      <w:sz w:val="22"/>
    </w:rPr>
  </w:style>
  <w:style w:type="paragraph" w:customStyle="1" w:styleId="Affiliation">
    <w:name w:val="Affiliation"/>
    <w:basedOn w:val="a"/>
    <w:pPr>
      <w:shd w:val="clear" w:color="auto" w:fill="F4FFED"/>
      <w:spacing w:before="240" w:after="120" w:line="396" w:lineRule="auto"/>
      <w:ind w:left="400" w:hanging="400"/>
      <w:jc w:val="left"/>
    </w:pPr>
    <w:rPr>
      <w:rFonts w:ascii="Calibri" w:eastAsia="Calibri" w:hAnsi="Calibri" w:cs="Calibri"/>
      <w:sz w:val="20"/>
      <w:shd w:val="clear" w:color="auto" w:fill="F4FFED"/>
    </w:rPr>
  </w:style>
  <w:style w:type="character" w:customStyle="1" w:styleId="VolumeNumber">
    <w:name w:val="Volume Number"/>
    <w:basedOn w:val="a0"/>
    <w:rPr>
      <w:shd w:val="clear" w:color="auto" w:fill="EDF0FF"/>
    </w:rPr>
  </w:style>
  <w:style w:type="character" w:customStyle="1" w:styleId="GeneSequence">
    <w:name w:val="Gene Sequence"/>
    <w:basedOn w:val="a0"/>
    <w:rPr>
      <w:shd w:val="clear" w:color="auto" w:fill="FFCDF2"/>
    </w:rPr>
  </w:style>
  <w:style w:type="character" w:customStyle="1" w:styleId="IssueNumber">
    <w:name w:val="Issue Number"/>
    <w:basedOn w:val="a0"/>
    <w:rPr>
      <w:shd w:val="clear" w:color="auto" w:fill="CDD5FF"/>
    </w:rPr>
  </w:style>
  <w:style w:type="paragraph" w:styleId="af4">
    <w:name w:val="List"/>
    <w:basedOn w:val="a"/>
    <w:pPr>
      <w:spacing w:line="360" w:lineRule="auto"/>
      <w:ind w:left="400" w:hanging="400"/>
    </w:pPr>
    <w:rPr>
      <w:rFonts w:ascii="Calibri" w:eastAsia="Calibri" w:hAnsi="Calibri" w:cs="Calibri"/>
      <w:sz w:val="22"/>
    </w:rPr>
  </w:style>
  <w:style w:type="character" w:customStyle="1" w:styleId="Edition">
    <w:name w:val="Edition"/>
    <w:basedOn w:val="a0"/>
    <w:rPr>
      <w:shd w:val="clear" w:color="auto" w:fill="FFF6A4"/>
    </w:rPr>
  </w:style>
  <w:style w:type="paragraph" w:customStyle="1" w:styleId="Biography">
    <w:name w:val="Biography"/>
    <w:basedOn w:val="a"/>
    <w:pPr>
      <w:shd w:val="clear" w:color="auto" w:fill="EEFEF4"/>
      <w:spacing w:after="160" w:line="396" w:lineRule="auto"/>
    </w:pPr>
    <w:rPr>
      <w:rFonts w:ascii="Calibri" w:eastAsia="Calibri" w:hAnsi="Calibri" w:cs="Calibri"/>
      <w:sz w:val="20"/>
      <w:shd w:val="clear" w:color="auto" w:fill="EEFEF4"/>
    </w:rPr>
  </w:style>
  <w:style w:type="paragraph" w:styleId="3">
    <w:name w:val="List 3"/>
    <w:basedOn w:val="a"/>
    <w:pPr>
      <w:spacing w:line="360" w:lineRule="auto"/>
      <w:ind w:left="1200" w:hanging="400"/>
    </w:pPr>
    <w:rPr>
      <w:rFonts w:ascii="Calibri" w:eastAsia="Calibri" w:hAnsi="Calibri" w:cs="Calibri"/>
      <w:sz w:val="22"/>
    </w:rPr>
  </w:style>
  <w:style w:type="character" w:customStyle="1" w:styleId="Conference">
    <w:name w:val="Conference"/>
    <w:basedOn w:val="a0"/>
    <w:rPr>
      <w:shd w:val="clear" w:color="auto" w:fill="FFAFBC"/>
    </w:rPr>
  </w:style>
  <w:style w:type="paragraph" w:customStyle="1" w:styleId="Surtitle">
    <w:name w:val="Sur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paragraph" w:customStyle="1" w:styleId="TableHeadSpan">
    <w:name w:val="Table Head Span"/>
    <w:basedOn w:val="a"/>
    <w:pPr>
      <w:shd w:val="clear" w:color="auto" w:fill="FFEDFA"/>
      <w:jc w:val="left"/>
    </w:pPr>
    <w:rPr>
      <w:rFonts w:ascii="Calibri" w:eastAsia="Calibri" w:hAnsi="Calibri" w:cs="Calibri"/>
      <w:shd w:val="clear" w:color="auto" w:fill="FFEDFA"/>
    </w:rPr>
  </w:style>
  <w:style w:type="character" w:customStyle="1" w:styleId="Miscellaneous">
    <w:name w:val="Miscellaneous"/>
    <w:basedOn w:val="a0"/>
    <w:rPr>
      <w:shd w:val="clear" w:color="auto" w:fill="F0F0F0"/>
    </w:rPr>
  </w:style>
  <w:style w:type="paragraph" w:customStyle="1" w:styleId="List6">
    <w:name w:val="List 6"/>
    <w:basedOn w:val="a"/>
    <w:pPr>
      <w:spacing w:line="360" w:lineRule="auto"/>
      <w:ind w:left="1860" w:hanging="400"/>
    </w:pPr>
    <w:rPr>
      <w:rFonts w:ascii="Calibri" w:eastAsia="Calibri" w:hAnsi="Calibri" w:cs="Calibri"/>
      <w:sz w:val="22"/>
    </w:rPr>
  </w:style>
  <w:style w:type="character" w:customStyle="1" w:styleId="Heading">
    <w:name w:val="Heading:"/>
    <w:basedOn w:val="a0"/>
    <w:rPr>
      <w:color w:val="5B89C1"/>
    </w:rPr>
  </w:style>
  <w:style w:type="character" w:customStyle="1" w:styleId="Source">
    <w:name w:val="Source"/>
    <w:basedOn w:val="a0"/>
    <w:rPr>
      <w:shd w:val="clear" w:color="auto" w:fill="C1EDFF"/>
    </w:rPr>
  </w:style>
  <w:style w:type="paragraph" w:styleId="af5">
    <w:name w:val="Subtitle"/>
    <w:basedOn w:val="a"/>
    <w:qFormat/>
    <w:pPr>
      <w:spacing w:after="160" w:line="208" w:lineRule="auto"/>
      <w:jc w:val="left"/>
    </w:pPr>
    <w:rPr>
      <w:rFonts w:ascii="Calibri" w:eastAsia="Calibri" w:hAnsi="Calibri" w:cs="Calibri"/>
      <w:sz w:val="38"/>
    </w:rPr>
  </w:style>
  <w:style w:type="character" w:customStyle="1" w:styleId="NameScientific">
    <w:name w:val="Name Scientific"/>
    <w:basedOn w:val="a0"/>
    <w:rPr>
      <w:shd w:val="clear" w:color="auto" w:fill="91E0FF"/>
    </w:rPr>
  </w:style>
  <w:style w:type="paragraph" w:customStyle="1" w:styleId="Statement">
    <w:name w:val="Statement"/>
    <w:basedOn w:val="a"/>
    <w:pPr>
      <w:ind w:left="900"/>
    </w:pPr>
    <w:rPr>
      <w:rFonts w:ascii="Calibri" w:eastAsia="Calibri" w:hAnsi="Calibri" w:cs="Calibri"/>
      <w:sz w:val="22"/>
    </w:rPr>
  </w:style>
  <w:style w:type="paragraph" w:customStyle="1" w:styleId="TableHead">
    <w:name w:val="Table Head"/>
    <w:basedOn w:val="a"/>
    <w:pPr>
      <w:shd w:val="clear" w:color="auto" w:fill="FFEDFA"/>
      <w:jc w:val="left"/>
    </w:pPr>
    <w:rPr>
      <w:rFonts w:ascii="Calibri" w:eastAsia="Calibri" w:hAnsi="Calibri" w:cs="Calibri"/>
      <w:sz w:val="20"/>
      <w:shd w:val="clear" w:color="auto" w:fill="FFEDFA"/>
    </w:rPr>
  </w:style>
  <w:style w:type="paragraph" w:customStyle="1" w:styleId="Quotation">
    <w:name w:val="Quotation"/>
    <w:basedOn w:val="a"/>
    <w:pPr>
      <w:spacing w:after="160" w:line="360" w:lineRule="auto"/>
      <w:ind w:left="1200" w:right="1200"/>
    </w:pPr>
    <w:rPr>
      <w:rFonts w:ascii="Calibri" w:eastAsia="Calibri" w:hAnsi="Calibri" w:cs="Calibri"/>
      <w:sz w:val="22"/>
    </w:rPr>
  </w:style>
  <w:style w:type="paragraph" w:customStyle="1" w:styleId="TableNote">
    <w:name w:val="Table Note"/>
    <w:basedOn w:val="a"/>
    <w:rPr>
      <w:rFonts w:ascii="Calibri" w:eastAsia="Calibri" w:hAnsi="Calibri" w:cs="Calibri"/>
      <w:sz w:val="18"/>
    </w:rPr>
  </w:style>
  <w:style w:type="character" w:customStyle="1" w:styleId="Year">
    <w:name w:val="Year"/>
    <w:basedOn w:val="a0"/>
    <w:rPr>
      <w:shd w:val="clear" w:color="auto" w:fill="FFF9C9"/>
    </w:rPr>
  </w:style>
  <w:style w:type="paragraph" w:customStyle="1" w:styleId="TableBody">
    <w:name w:val="Table Body"/>
    <w:basedOn w:val="a"/>
    <w:pPr>
      <w:spacing w:after="160" w:line="396" w:lineRule="auto"/>
      <w:jc w:val="left"/>
    </w:pPr>
    <w:rPr>
      <w:rFonts w:ascii="Calibri" w:eastAsia="Calibri" w:hAnsi="Calibri" w:cs="Calibri"/>
      <w:sz w:val="20"/>
    </w:rPr>
  </w:style>
  <w:style w:type="character" w:customStyle="1" w:styleId="Location">
    <w:name w:val="Location"/>
    <w:basedOn w:val="a0"/>
    <w:rPr>
      <w:shd w:val="clear" w:color="auto" w:fill="F9EDFF"/>
    </w:rPr>
  </w:style>
  <w:style w:type="paragraph" w:customStyle="1" w:styleId="ChapterNumber">
    <w:name w:val="Chapter Number"/>
    <w:basedOn w:val="a"/>
    <w:rPr>
      <w:rFonts w:ascii="Calibri" w:eastAsia="Calibri" w:hAnsi="Calibri" w:cs="Calibri"/>
    </w:rPr>
  </w:style>
  <w:style w:type="paragraph" w:styleId="5">
    <w:name w:val="List 5"/>
    <w:basedOn w:val="a"/>
    <w:pPr>
      <w:spacing w:line="360" w:lineRule="auto"/>
      <w:ind w:left="1800" w:hanging="400"/>
    </w:pPr>
    <w:rPr>
      <w:rFonts w:ascii="Calibri" w:eastAsia="Calibri" w:hAnsi="Calibri" w:cs="Calibri"/>
      <w:sz w:val="22"/>
    </w:rPr>
  </w:style>
  <w:style w:type="paragraph" w:customStyle="1" w:styleId="CommentText0">
    <w:name w:val="Comment Text_0"/>
    <w:basedOn w:val="a"/>
    <w:pPr>
      <w:jc w:val="left"/>
    </w:pPr>
    <w:rPr>
      <w:rFonts w:ascii="Calibri" w:eastAsia="Calibri" w:hAnsi="Calibri" w:cs="Calibri"/>
      <w:sz w:val="20"/>
    </w:rPr>
  </w:style>
  <w:style w:type="character" w:customStyle="1" w:styleId="Publisher">
    <w:name w:val="Publisher"/>
    <w:basedOn w:val="a0"/>
    <w:rPr>
      <w:shd w:val="clear" w:color="auto" w:fill="F2DDFF"/>
    </w:rPr>
  </w:style>
  <w:style w:type="paragraph" w:customStyle="1" w:styleId="Caption1">
    <w:name w:val="Caption1"/>
    <w:basedOn w:val="a"/>
    <w:pPr>
      <w:shd w:val="clear" w:color="auto" w:fill="FFF5ED"/>
      <w:spacing w:before="240" w:line="349" w:lineRule="auto"/>
    </w:pPr>
    <w:rPr>
      <w:rFonts w:ascii="Calibri" w:eastAsia="Calibri" w:hAnsi="Calibri" w:cs="Calibri"/>
      <w:sz w:val="22"/>
      <w:shd w:val="clear" w:color="auto" w:fill="FFF5ED"/>
    </w:rPr>
  </w:style>
  <w:style w:type="paragraph" w:customStyle="1" w:styleId="List1">
    <w:name w:val="List 1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paragraph" w:customStyle="1" w:styleId="List9">
    <w:name w:val="List 9"/>
    <w:basedOn w:val="a"/>
    <w:pPr>
      <w:ind w:left="1200" w:hanging="600"/>
    </w:pPr>
    <w:rPr>
      <w:rFonts w:ascii="Times New Roman" w:eastAsia="Times New Roman" w:hAnsi="Times New Roman" w:cs="Times New Roman"/>
      <w:sz w:val="22"/>
    </w:rPr>
  </w:style>
  <w:style w:type="character" w:styleId="af6">
    <w:name w:val="Unresolved Mention"/>
    <w:basedOn w:val="a0"/>
    <w:uiPriority w:val="99"/>
    <w:rsid w:val="005C11D1"/>
    <w:rPr>
      <w:color w:val="605E5C"/>
      <w:shd w:val="clear" w:color="auto" w:fill="E1DFDD"/>
    </w:rPr>
  </w:style>
  <w:style w:type="character" w:customStyle="1" w:styleId="aa">
    <w:name w:val="ヘッダー (文字)"/>
    <w:basedOn w:val="a0"/>
    <w:link w:val="a9"/>
    <w:uiPriority w:val="99"/>
    <w:rsid w:val="00FA6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ord">
      <a:majorFont>
        <a:latin typeface="Arial"/>
        <a:ea typeface="ＭＳ 明朝"/>
        <a:cs typeface=""/>
      </a:majorFont>
      <a:minorFont>
        <a:latin typeface="Arial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AD4A0-92AC-E148-8366-966F457FE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2022-05-13T10:26:00Z</dcterms:created>
  <dcterms:modified xsi:type="dcterms:W3CDTF">2022-05-16T06:50:00Z</dcterms:modified>
</cp:coreProperties>
</file>