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B9" w:rsidRPr="00A44435" w:rsidRDefault="007F61B9" w:rsidP="007F61B9">
      <w:pPr>
        <w:spacing w:line="360" w:lineRule="auto"/>
        <w:ind w:firstLineChars="200" w:firstLine="400"/>
        <w:rPr>
          <w:rFonts w:ascii="Times New Roman" w:hAnsi="Times New Roman" w:cs="Times New Roman"/>
          <w:b/>
          <w:sz w:val="20"/>
          <w:szCs w:val="20"/>
        </w:rPr>
      </w:pPr>
      <w:r w:rsidRPr="00A44435">
        <w:rPr>
          <w:rFonts w:ascii="Times New Roman" w:hAnsi="Times New Roman" w:cs="Times New Roman" w:hint="eastAsia"/>
          <w:b/>
          <w:sz w:val="20"/>
          <w:szCs w:val="20"/>
        </w:rPr>
        <w:t>Appendix</w:t>
      </w:r>
    </w:p>
    <w:p w:rsidR="007F61B9" w:rsidRPr="00A44435" w:rsidRDefault="007F61B9" w:rsidP="007F61B9">
      <w:pPr>
        <w:spacing w:line="360" w:lineRule="auto"/>
        <w:ind w:firstLineChars="200" w:firstLine="400"/>
        <w:rPr>
          <w:rFonts w:ascii="Times New Roman" w:hAnsi="Times New Roman" w:cs="Times New Roman"/>
          <w:sz w:val="20"/>
          <w:szCs w:val="20"/>
        </w:rPr>
      </w:pPr>
      <w:r w:rsidRPr="00A44435">
        <w:rPr>
          <w:rFonts w:ascii="Times New Roman" w:hAnsi="Times New Roman" w:cs="Times New Roman" w:hint="eastAsia"/>
          <w:sz w:val="20"/>
          <w:szCs w:val="20"/>
        </w:rPr>
        <w:t>I</w:t>
      </w:r>
      <w:r w:rsidRPr="00A44435">
        <w:rPr>
          <w:rFonts w:ascii="Times New Roman" w:hAnsi="Times New Roman" w:cs="Times New Roman"/>
          <w:sz w:val="20"/>
          <w:szCs w:val="20"/>
        </w:rPr>
        <w:t xml:space="preserve">n displacement-based FE analysis, the traditional Mohr-Coulomb yield function presents a number of computational difficulties due to the gradient discontinuities which occur at the tip of the yield surface and the edges of the hexagonal yield surface pyramid. To avoid these computational difficulties, a number of methods have been proposed to remove the associated gradient singularities. In the present paper, the method proposed by </w:t>
      </w:r>
      <w:proofErr w:type="spellStart"/>
      <w:r w:rsidRPr="00A44435">
        <w:rPr>
          <w:rFonts w:ascii="Times New Roman" w:hAnsi="Times New Roman" w:cs="Times New Roman"/>
          <w:sz w:val="20"/>
          <w:szCs w:val="20"/>
        </w:rPr>
        <w:t>Abbo</w:t>
      </w:r>
      <w:proofErr w:type="spellEnd"/>
      <w:r w:rsidRPr="00A44435">
        <w:rPr>
          <w:rFonts w:ascii="Times New Roman" w:hAnsi="Times New Roman" w:cs="Times New Roman"/>
          <w:sz w:val="20"/>
          <w:szCs w:val="20"/>
        </w:rPr>
        <w:t xml:space="preserve"> and Sloan (1995) has been adopted, and this is briefly described below. </w:t>
      </w:r>
    </w:p>
    <w:p w:rsidR="007F61B9" w:rsidRPr="00A44435" w:rsidRDefault="007F61B9" w:rsidP="007F61B9">
      <w:pPr>
        <w:spacing w:line="360" w:lineRule="auto"/>
        <w:ind w:firstLineChars="200" w:firstLine="400"/>
        <w:rPr>
          <w:rFonts w:ascii="Times New Roman" w:hAnsi="Times New Roman" w:cs="Times New Roman"/>
          <w:sz w:val="20"/>
          <w:szCs w:val="20"/>
        </w:rPr>
      </w:pPr>
      <w:r w:rsidRPr="00A44435">
        <w:rPr>
          <w:rFonts w:ascii="Times New Roman" w:hAnsi="Times New Roman" w:cs="Times New Roman"/>
          <w:sz w:val="20"/>
          <w:szCs w:val="20"/>
        </w:rPr>
        <w:t>A hyperbolic approximation in the meridional plane is used to eliminate the tip singularity. In (</w:t>
      </w:r>
      <w:r w:rsidRPr="00A44435">
        <w:rPr>
          <w:rFonts w:ascii="Times New Roman" w:hAnsi="Times New Roman" w:cs="Times New Roman"/>
          <w:position w:val="-12"/>
          <w:sz w:val="20"/>
          <w:szCs w:val="20"/>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75pt" o:ole="">
            <v:imagedata r:id="rId4" o:title=""/>
          </v:shape>
          <o:OLEObject Type="Embed" ProgID="Equation.DSMT4" ShapeID="_x0000_i1025" DrawAspect="Content" ObjectID="_1714831817" r:id="rId5"/>
        </w:object>
      </w:r>
      <w:r w:rsidRPr="00A44435">
        <w:rPr>
          <w:rFonts w:ascii="Times New Roman" w:hAnsi="Times New Roman" w:cs="Times New Roman"/>
          <w:sz w:val="20"/>
          <w:szCs w:val="20"/>
        </w:rPr>
        <w:t>,</w:t>
      </w:r>
      <w:r w:rsidRPr="00A44435">
        <w:rPr>
          <w:rFonts w:ascii="Times New Roman" w:hAnsi="Times New Roman" w:cs="Times New Roman"/>
          <w:position w:val="-6"/>
          <w:sz w:val="20"/>
          <w:szCs w:val="20"/>
        </w:rPr>
        <w:object w:dxaOrig="240" w:dyaOrig="260">
          <v:shape id="_x0000_i1026" type="#_x0000_t75" style="width:12.75pt;height:12.75pt" o:ole="">
            <v:imagedata r:id="rId6" o:title=""/>
          </v:shape>
          <o:OLEObject Type="Embed" ProgID="Equation.DSMT4" ShapeID="_x0000_i1026" DrawAspect="Content" ObjectID="_1714831818" r:id="rId7"/>
        </w:object>
      </w:r>
      <w:r w:rsidRPr="00A44435">
        <w:rPr>
          <w:rFonts w:ascii="Times New Roman" w:hAnsi="Times New Roman" w:cs="Times New Roman"/>
          <w:sz w:val="20"/>
          <w:szCs w:val="20"/>
        </w:rPr>
        <w:t>) space, the hyperbolic approximation to the Mohr-Coulomb yield criterion is shown in Fig. A1</w:t>
      </w:r>
    </w:p>
    <w:p w:rsidR="007F61B9" w:rsidRPr="00A44435" w:rsidRDefault="007F61B9" w:rsidP="007F61B9">
      <w:pPr>
        <w:spacing w:line="360" w:lineRule="auto"/>
        <w:ind w:firstLineChars="200" w:firstLine="400"/>
        <w:jc w:val="center"/>
        <w:rPr>
          <w:rFonts w:ascii="Times New Roman" w:hAnsi="Times New Roman" w:cs="Times New Roman"/>
          <w:sz w:val="20"/>
          <w:szCs w:val="20"/>
        </w:rPr>
      </w:pPr>
      <w:r w:rsidRPr="00A44435">
        <w:rPr>
          <w:sz w:val="20"/>
          <w:szCs w:val="20"/>
        </w:rPr>
        <w:object w:dxaOrig="7131" w:dyaOrig="3461">
          <v:shape id="_x0000_i1027" type="#_x0000_t75" style="width:291.75pt;height:141.75pt" o:ole="">
            <v:imagedata r:id="rId8" o:title=""/>
          </v:shape>
          <o:OLEObject Type="Embed" ProgID="Visio.Drawing.15" ShapeID="_x0000_i1027" DrawAspect="Content" ObjectID="_1714831819" r:id="rId9"/>
        </w:object>
      </w:r>
    </w:p>
    <w:p w:rsidR="007F61B9" w:rsidRPr="00A44435" w:rsidRDefault="007F61B9" w:rsidP="007F61B9">
      <w:pPr>
        <w:spacing w:line="360" w:lineRule="auto"/>
        <w:ind w:firstLineChars="200" w:firstLine="400"/>
        <w:jc w:val="center"/>
        <w:rPr>
          <w:rFonts w:ascii="Times New Roman" w:hAnsi="Times New Roman" w:cs="Times New Roman"/>
          <w:sz w:val="20"/>
          <w:szCs w:val="20"/>
        </w:rPr>
      </w:pPr>
      <w:r w:rsidRPr="00A44435">
        <w:rPr>
          <w:rFonts w:ascii="Times New Roman" w:hAnsi="Times New Roman" w:cs="Times New Roman"/>
          <w:sz w:val="20"/>
          <w:szCs w:val="20"/>
        </w:rPr>
        <w:t xml:space="preserve">Fig. A1 Hyperbolic approximation to Mohr-Coulomb yield criterion [after </w:t>
      </w:r>
      <w:proofErr w:type="spellStart"/>
      <w:r w:rsidRPr="00A44435">
        <w:rPr>
          <w:rFonts w:ascii="Times New Roman" w:hAnsi="Times New Roman" w:cs="Times New Roman"/>
          <w:color w:val="0000FF"/>
          <w:sz w:val="20"/>
          <w:szCs w:val="20"/>
        </w:rPr>
        <w:t>Abbo</w:t>
      </w:r>
      <w:proofErr w:type="spellEnd"/>
      <w:r w:rsidRPr="00A44435">
        <w:rPr>
          <w:rFonts w:ascii="Times New Roman" w:hAnsi="Times New Roman" w:cs="Times New Roman"/>
          <w:color w:val="0000FF"/>
          <w:sz w:val="20"/>
          <w:szCs w:val="20"/>
        </w:rPr>
        <w:t xml:space="preserve"> (1997)</w:t>
      </w:r>
      <w:r w:rsidRPr="00A44435">
        <w:rPr>
          <w:rFonts w:ascii="Times New Roman" w:hAnsi="Times New Roman" w:cs="Times New Roman"/>
          <w:sz w:val="20"/>
          <w:szCs w:val="20"/>
        </w:rPr>
        <w:t>].</w:t>
      </w:r>
    </w:p>
    <w:p w:rsidR="007F61B9" w:rsidRPr="00A44435" w:rsidRDefault="007F61B9" w:rsidP="007F61B9">
      <w:pPr>
        <w:spacing w:line="360" w:lineRule="auto"/>
        <w:ind w:firstLineChars="200" w:firstLine="400"/>
        <w:rPr>
          <w:rFonts w:ascii="Times New Roman" w:hAnsi="Times New Roman" w:cs="Times New Roman"/>
          <w:sz w:val="20"/>
          <w:szCs w:val="20"/>
        </w:rPr>
      </w:pPr>
      <w:r w:rsidRPr="00A44435">
        <w:rPr>
          <w:rFonts w:ascii="Times New Roman" w:hAnsi="Times New Roman" w:cs="Times New Roman" w:hint="eastAsia"/>
          <w:sz w:val="20"/>
          <w:szCs w:val="20"/>
        </w:rPr>
        <w:t>T</w:t>
      </w:r>
      <w:r w:rsidRPr="00A44435">
        <w:rPr>
          <w:rFonts w:ascii="Times New Roman" w:hAnsi="Times New Roman" w:cs="Times New Roman"/>
          <w:sz w:val="20"/>
          <w:szCs w:val="20"/>
        </w:rPr>
        <w:t>he equation of the hyperbola in Fig.A1 can be mathematically described by:</w:t>
      </w:r>
    </w:p>
    <w:p w:rsidR="007F61B9" w:rsidRPr="00A44435" w:rsidRDefault="007F61B9" w:rsidP="007F61B9">
      <w:pPr>
        <w:spacing w:line="360" w:lineRule="auto"/>
        <w:ind w:firstLineChars="200" w:firstLine="400"/>
        <w:rPr>
          <w:rFonts w:ascii="Times New Roman" w:hAnsi="Times New Roman" w:cs="Times New Roman"/>
          <w:sz w:val="20"/>
          <w:szCs w:val="20"/>
        </w:rPr>
      </w:pPr>
      <w:r w:rsidRPr="00A44435">
        <w:rPr>
          <w:rFonts w:ascii="Times New Roman" w:hAnsi="Times New Roman" w:cs="Times New Roman"/>
          <w:position w:val="-14"/>
          <w:sz w:val="20"/>
          <w:szCs w:val="20"/>
        </w:rPr>
        <w:object w:dxaOrig="4360" w:dyaOrig="460">
          <v:shape id="_x0000_i1028" type="#_x0000_t75" style="width:218.25pt;height:23.25pt" o:ole="">
            <v:imagedata r:id="rId10" o:title=""/>
          </v:shape>
          <o:OLEObject Type="Embed" ProgID="Equation.DSMT4" ShapeID="_x0000_i1028" DrawAspect="Content" ObjectID="_1714831820" r:id="rId11"/>
        </w:object>
      </w:r>
      <w:r w:rsidRPr="00A44435">
        <w:rPr>
          <w:rFonts w:ascii="Times New Roman" w:hAnsi="Times New Roman" w:cs="Times New Roman"/>
          <w:sz w:val="20"/>
          <w:szCs w:val="20"/>
        </w:rPr>
        <w:t xml:space="preserve">                              (A1)</w:t>
      </w:r>
    </w:p>
    <w:p w:rsidR="007F61B9" w:rsidRPr="00A44435" w:rsidRDefault="007F61B9" w:rsidP="007F61B9">
      <w:pPr>
        <w:spacing w:line="360" w:lineRule="auto"/>
        <w:rPr>
          <w:rFonts w:ascii="Times New Roman" w:hAnsi="Times New Roman" w:cs="Times New Roman"/>
          <w:sz w:val="20"/>
          <w:szCs w:val="20"/>
        </w:rPr>
      </w:pPr>
      <w:proofErr w:type="gramStart"/>
      <w:r w:rsidRPr="00A44435">
        <w:rPr>
          <w:rFonts w:ascii="Times New Roman" w:hAnsi="Times New Roman" w:cs="Times New Roman"/>
          <w:sz w:val="20"/>
          <w:szCs w:val="20"/>
        </w:rPr>
        <w:t>in</w:t>
      </w:r>
      <w:proofErr w:type="gramEnd"/>
      <w:r w:rsidRPr="00A44435">
        <w:rPr>
          <w:rFonts w:ascii="Times New Roman" w:hAnsi="Times New Roman" w:cs="Times New Roman"/>
          <w:sz w:val="20"/>
          <w:szCs w:val="20"/>
        </w:rPr>
        <w:t xml:space="preserve"> which, </w:t>
      </w:r>
    </w:p>
    <w:p w:rsidR="007F61B9" w:rsidRPr="00A44435" w:rsidRDefault="007F61B9" w:rsidP="007F61B9">
      <w:pPr>
        <w:spacing w:line="360" w:lineRule="auto"/>
        <w:jc w:val="right"/>
        <w:rPr>
          <w:rFonts w:ascii="Times New Roman" w:hAnsi="Times New Roman" w:cs="Times New Roman"/>
          <w:sz w:val="20"/>
          <w:szCs w:val="20"/>
        </w:rPr>
      </w:pPr>
      <w:r w:rsidRPr="00A44435">
        <w:rPr>
          <w:rFonts w:ascii="Times New Roman" w:hAnsi="Times New Roman" w:cs="Times New Roman"/>
          <w:position w:val="-24"/>
          <w:sz w:val="20"/>
          <w:szCs w:val="20"/>
        </w:rPr>
        <w:object w:dxaOrig="2200" w:dyaOrig="620">
          <v:shape id="_x0000_i1029" type="#_x0000_t75" style="width:111pt;height:31.5pt" o:ole="">
            <v:imagedata r:id="rId12" o:title=""/>
          </v:shape>
          <o:OLEObject Type="Embed" ProgID="Equation.DSMT4" ShapeID="_x0000_i1029" DrawAspect="Content" ObjectID="_1714831821" r:id="rId13"/>
        </w:object>
      </w:r>
      <w:r w:rsidRPr="00A44435">
        <w:rPr>
          <w:rFonts w:ascii="Times New Roman" w:hAnsi="Times New Roman" w:cs="Times New Roman"/>
          <w:sz w:val="20"/>
          <w:szCs w:val="20"/>
        </w:rPr>
        <w:t xml:space="preserve">                                                (A2)</w:t>
      </w:r>
    </w:p>
    <w:p w:rsidR="007F61B9" w:rsidRPr="00A44435" w:rsidRDefault="007F61B9" w:rsidP="007F61B9">
      <w:pPr>
        <w:spacing w:line="360" w:lineRule="auto"/>
        <w:jc w:val="right"/>
        <w:rPr>
          <w:rFonts w:ascii="Times New Roman" w:hAnsi="Times New Roman" w:cs="Times New Roman"/>
          <w:sz w:val="20"/>
          <w:szCs w:val="20"/>
        </w:rPr>
      </w:pPr>
      <w:r w:rsidRPr="00A44435">
        <w:rPr>
          <w:rFonts w:ascii="Times New Roman" w:hAnsi="Times New Roman" w:cs="Times New Roman"/>
          <w:position w:val="-24"/>
          <w:sz w:val="20"/>
          <w:szCs w:val="20"/>
        </w:rPr>
        <w:object w:dxaOrig="3480" w:dyaOrig="620">
          <v:shape id="_x0000_i1030" type="#_x0000_t75" style="width:173.25pt;height:31.5pt" o:ole="">
            <v:imagedata r:id="rId14" o:title=""/>
          </v:shape>
          <o:OLEObject Type="Embed" ProgID="Equation.DSMT4" ShapeID="_x0000_i1030" DrawAspect="Content" ObjectID="_1714831822" r:id="rId15"/>
        </w:object>
      </w:r>
      <w:r w:rsidRPr="00A44435">
        <w:rPr>
          <w:rFonts w:ascii="Times New Roman" w:hAnsi="Times New Roman" w:cs="Times New Roman"/>
          <w:sz w:val="20"/>
          <w:szCs w:val="20"/>
        </w:rPr>
        <w:t xml:space="preserve">                                     (A3)</w:t>
      </w:r>
    </w:p>
    <w:p w:rsidR="007F61B9" w:rsidRPr="00A44435" w:rsidRDefault="007F61B9" w:rsidP="007F61B9">
      <w:pPr>
        <w:spacing w:line="360" w:lineRule="auto"/>
        <w:jc w:val="right"/>
        <w:rPr>
          <w:sz w:val="20"/>
          <w:szCs w:val="20"/>
        </w:rPr>
      </w:pPr>
      <w:r w:rsidRPr="00A44435">
        <w:rPr>
          <w:position w:val="-48"/>
          <w:sz w:val="20"/>
          <w:szCs w:val="20"/>
        </w:rPr>
        <w:object w:dxaOrig="3920" w:dyaOrig="1080">
          <v:shape id="_x0000_i1031" type="#_x0000_t75" style="width:194.25pt;height:55.5pt" o:ole="">
            <v:imagedata r:id="rId16" o:title=""/>
          </v:shape>
          <o:OLEObject Type="Embed" ProgID="Equation.DSMT4" ShapeID="_x0000_i1031" DrawAspect="Content" ObjectID="_1714831823" r:id="rId17"/>
        </w:object>
      </w:r>
      <w:r w:rsidRPr="00A44435">
        <w:rPr>
          <w:sz w:val="20"/>
          <w:szCs w:val="20"/>
        </w:rPr>
        <w:t xml:space="preserve">                                 </w:t>
      </w:r>
      <w:r w:rsidRPr="00A44435">
        <w:rPr>
          <w:rFonts w:ascii="Times New Roman" w:hAnsi="Times New Roman" w:cs="Times New Roman"/>
          <w:sz w:val="20"/>
          <w:szCs w:val="20"/>
        </w:rPr>
        <w:t>(A4)</w:t>
      </w:r>
    </w:p>
    <w:p w:rsidR="007F61B9" w:rsidRPr="00A44435" w:rsidRDefault="007F61B9" w:rsidP="007F61B9">
      <w:pPr>
        <w:spacing w:line="360" w:lineRule="auto"/>
        <w:jc w:val="right"/>
        <w:rPr>
          <w:sz w:val="20"/>
          <w:szCs w:val="20"/>
        </w:rPr>
      </w:pPr>
      <w:r w:rsidRPr="00A44435">
        <w:rPr>
          <w:position w:val="-62"/>
          <w:sz w:val="20"/>
          <w:szCs w:val="20"/>
        </w:rPr>
        <w:object w:dxaOrig="6420" w:dyaOrig="1359">
          <v:shape id="_x0000_i1032" type="#_x0000_t75" style="width:318.75pt;height:66pt" o:ole="">
            <v:imagedata r:id="rId18" o:title=""/>
          </v:shape>
          <o:OLEObject Type="Embed" ProgID="Equation.DSMT4" ShapeID="_x0000_i1032" DrawAspect="Content" ObjectID="_1714831824" r:id="rId19"/>
        </w:object>
      </w:r>
      <w:r w:rsidRPr="00A44435">
        <w:rPr>
          <w:sz w:val="20"/>
          <w:szCs w:val="20"/>
        </w:rPr>
        <w:t xml:space="preserve">           </w:t>
      </w:r>
      <w:r w:rsidRPr="00A44435">
        <w:rPr>
          <w:rFonts w:ascii="Times New Roman" w:hAnsi="Times New Roman" w:cs="Times New Roman"/>
          <w:sz w:val="20"/>
          <w:szCs w:val="20"/>
        </w:rPr>
        <w:t>(A5)</w:t>
      </w:r>
    </w:p>
    <w:p w:rsidR="007F61B9" w:rsidRPr="00A44435" w:rsidRDefault="007F61B9" w:rsidP="007F61B9">
      <w:pPr>
        <w:spacing w:line="360" w:lineRule="auto"/>
        <w:jc w:val="right"/>
        <w:rPr>
          <w:rFonts w:ascii="Times New Roman" w:hAnsi="Times New Roman" w:cs="Times New Roman"/>
          <w:sz w:val="20"/>
          <w:szCs w:val="20"/>
        </w:rPr>
      </w:pPr>
      <w:r w:rsidRPr="00A44435">
        <w:rPr>
          <w:position w:val="-32"/>
          <w:sz w:val="20"/>
          <w:szCs w:val="20"/>
        </w:rPr>
        <w:object w:dxaOrig="2380" w:dyaOrig="760">
          <v:shape id="_x0000_i1033" type="#_x0000_t75" style="width:120pt;height:39pt" o:ole="">
            <v:imagedata r:id="rId20" o:title=""/>
          </v:shape>
          <o:OLEObject Type="Embed" ProgID="Equation.DSMT4" ShapeID="_x0000_i1033" DrawAspect="Content" ObjectID="_1714831825" r:id="rId21"/>
        </w:object>
      </w:r>
      <w:r w:rsidRPr="00A44435">
        <w:rPr>
          <w:sz w:val="20"/>
          <w:szCs w:val="20"/>
        </w:rPr>
        <w:t xml:space="preserve">                                                </w:t>
      </w:r>
      <w:r w:rsidRPr="00A44435">
        <w:rPr>
          <w:rFonts w:ascii="Times New Roman" w:hAnsi="Times New Roman" w:cs="Times New Roman"/>
          <w:sz w:val="20"/>
          <w:szCs w:val="20"/>
        </w:rPr>
        <w:t>(A6)</w:t>
      </w:r>
    </w:p>
    <w:p w:rsidR="007F61B9" w:rsidRPr="00A44435" w:rsidRDefault="007F61B9" w:rsidP="007F61B9">
      <w:pPr>
        <w:spacing w:line="360" w:lineRule="auto"/>
        <w:ind w:firstLineChars="200" w:firstLine="400"/>
        <w:rPr>
          <w:rFonts w:ascii="Times New Roman" w:hAnsi="Times New Roman" w:cs="Times New Roman"/>
          <w:sz w:val="20"/>
          <w:szCs w:val="20"/>
        </w:rPr>
      </w:pPr>
      <w:r w:rsidRPr="00A44435">
        <w:rPr>
          <w:rFonts w:ascii="Times New Roman" w:hAnsi="Times New Roman" w:cs="Times New Roman"/>
          <w:sz w:val="20"/>
          <w:szCs w:val="20"/>
        </w:rPr>
        <w:t>We have used Eq</w:t>
      </w:r>
      <w:proofErr w:type="gramStart"/>
      <w:r w:rsidRPr="00A44435">
        <w:rPr>
          <w:rFonts w:ascii="Times New Roman" w:hAnsi="Times New Roman" w:cs="Times New Roman"/>
          <w:sz w:val="20"/>
          <w:szCs w:val="20"/>
        </w:rPr>
        <w:t>.(</w:t>
      </w:r>
      <w:proofErr w:type="gramEnd"/>
      <w:r w:rsidRPr="00A44435">
        <w:rPr>
          <w:rFonts w:ascii="Times New Roman" w:hAnsi="Times New Roman" w:cs="Times New Roman"/>
          <w:sz w:val="20"/>
          <w:szCs w:val="20"/>
        </w:rPr>
        <w:t xml:space="preserve">A1) to model the Mohr-Coulomb yield function. Apparently in Fig.A1, </w:t>
      </w:r>
      <w:proofErr w:type="gramStart"/>
      <w:r w:rsidRPr="00A44435">
        <w:rPr>
          <w:rFonts w:ascii="Times New Roman" w:hAnsi="Times New Roman" w:cs="Times New Roman"/>
          <w:i/>
          <w:sz w:val="20"/>
          <w:szCs w:val="20"/>
        </w:rPr>
        <w:t>a</w:t>
      </w:r>
      <w:r w:rsidRPr="00A44435">
        <w:rPr>
          <w:rFonts w:ascii="Times New Roman" w:hAnsi="Times New Roman" w:cs="Times New Roman"/>
          <w:sz w:val="20"/>
          <w:szCs w:val="20"/>
        </w:rPr>
        <w:t xml:space="preserve"> is</w:t>
      </w:r>
      <w:proofErr w:type="gramEnd"/>
      <w:r w:rsidRPr="00A44435">
        <w:rPr>
          <w:rFonts w:ascii="Times New Roman" w:hAnsi="Times New Roman" w:cs="Times New Roman"/>
          <w:sz w:val="20"/>
          <w:szCs w:val="20"/>
        </w:rPr>
        <w:t xml:space="preserve"> the distance of the Mohr-Coulomb yield surface tip and the hyperbola tip, and a smaller value of </w:t>
      </w:r>
      <w:r w:rsidRPr="00A44435">
        <w:rPr>
          <w:rFonts w:ascii="Times New Roman" w:hAnsi="Times New Roman" w:cs="Times New Roman"/>
          <w:i/>
          <w:sz w:val="20"/>
          <w:szCs w:val="20"/>
        </w:rPr>
        <w:t>a</w:t>
      </w:r>
      <w:r w:rsidRPr="00A44435">
        <w:rPr>
          <w:rFonts w:ascii="Times New Roman" w:hAnsi="Times New Roman" w:cs="Times New Roman"/>
          <w:sz w:val="20"/>
          <w:szCs w:val="20"/>
        </w:rPr>
        <w:t xml:space="preserve"> represents a closer approximation of the Mohr-Coulomb yield surface. The hyperbolic yield surface with various </w:t>
      </w:r>
      <w:r w:rsidRPr="00A44435">
        <w:rPr>
          <w:rFonts w:ascii="Times New Roman" w:hAnsi="Times New Roman" w:cs="Times New Roman"/>
          <w:i/>
          <w:sz w:val="20"/>
          <w:szCs w:val="20"/>
        </w:rPr>
        <w:t>a</w:t>
      </w:r>
      <w:r w:rsidRPr="00A44435">
        <w:rPr>
          <w:rFonts w:ascii="Times New Roman" w:hAnsi="Times New Roman" w:cs="Times New Roman"/>
          <w:sz w:val="20"/>
          <w:szCs w:val="20"/>
        </w:rPr>
        <w:t xml:space="preserve"> values is displayed in Fig. A2.</w:t>
      </w:r>
    </w:p>
    <w:p w:rsidR="007F61B9" w:rsidRPr="00A44435" w:rsidRDefault="007F61B9" w:rsidP="007F61B9">
      <w:pPr>
        <w:spacing w:line="360" w:lineRule="auto"/>
        <w:ind w:firstLineChars="200" w:firstLine="400"/>
        <w:jc w:val="center"/>
        <w:rPr>
          <w:rFonts w:ascii="Times New Roman" w:hAnsi="Times New Roman" w:cs="Times New Roman"/>
          <w:sz w:val="20"/>
          <w:szCs w:val="20"/>
        </w:rPr>
      </w:pPr>
      <w:r w:rsidRPr="00A44435">
        <w:rPr>
          <w:sz w:val="20"/>
          <w:szCs w:val="20"/>
        </w:rPr>
        <w:object w:dxaOrig="10280" w:dyaOrig="6901">
          <v:shape id="_x0000_i1034" type="#_x0000_t75" style="width:308.25pt;height:205.5pt" o:ole="">
            <v:imagedata r:id="rId22" o:title=""/>
          </v:shape>
          <o:OLEObject Type="Embed" ProgID="Visio.Drawing.15" ShapeID="_x0000_i1034" DrawAspect="Content" ObjectID="_1714831826" r:id="rId23"/>
        </w:object>
      </w:r>
    </w:p>
    <w:p w:rsidR="007F61B9" w:rsidRPr="00A44435" w:rsidRDefault="007F61B9" w:rsidP="007F61B9">
      <w:pPr>
        <w:spacing w:line="360" w:lineRule="auto"/>
        <w:ind w:firstLineChars="200" w:firstLine="400"/>
        <w:rPr>
          <w:rFonts w:ascii="Times New Roman" w:hAnsi="Times New Roman" w:cs="Times New Roman"/>
          <w:sz w:val="20"/>
          <w:szCs w:val="20"/>
        </w:rPr>
      </w:pPr>
      <w:r w:rsidRPr="00A44435">
        <w:rPr>
          <w:rFonts w:ascii="Times New Roman" w:hAnsi="Times New Roman" w:cs="Times New Roman" w:hint="eastAsia"/>
          <w:sz w:val="20"/>
          <w:szCs w:val="20"/>
        </w:rPr>
        <w:t>F</w:t>
      </w:r>
      <w:r w:rsidRPr="00A44435">
        <w:rPr>
          <w:rFonts w:ascii="Times New Roman" w:hAnsi="Times New Roman" w:cs="Times New Roman"/>
          <w:sz w:val="20"/>
          <w:szCs w:val="20"/>
        </w:rPr>
        <w:t xml:space="preserve">ig. A2 Hyperbolic approximation to Mohr-Coulomb meridional section [after </w:t>
      </w:r>
      <w:proofErr w:type="spellStart"/>
      <w:r w:rsidRPr="00A44435">
        <w:rPr>
          <w:rFonts w:ascii="Times New Roman" w:hAnsi="Times New Roman" w:cs="Times New Roman"/>
          <w:color w:val="0000FF"/>
          <w:sz w:val="20"/>
          <w:szCs w:val="20"/>
        </w:rPr>
        <w:t>Abbo</w:t>
      </w:r>
      <w:proofErr w:type="spellEnd"/>
      <w:r w:rsidRPr="00A44435">
        <w:rPr>
          <w:rFonts w:ascii="Times New Roman" w:hAnsi="Times New Roman" w:cs="Times New Roman"/>
          <w:color w:val="0000FF"/>
          <w:sz w:val="20"/>
          <w:szCs w:val="20"/>
        </w:rPr>
        <w:t xml:space="preserve"> (1997)</w:t>
      </w:r>
      <w:r w:rsidRPr="00A44435">
        <w:rPr>
          <w:rFonts w:ascii="Times New Roman" w:hAnsi="Times New Roman" w:cs="Times New Roman"/>
          <w:sz w:val="20"/>
          <w:szCs w:val="20"/>
        </w:rPr>
        <w:t>].</w:t>
      </w:r>
    </w:p>
    <w:p w:rsidR="00642E0D" w:rsidRDefault="007F61B9" w:rsidP="007F61B9">
      <w:r w:rsidRPr="00A44435">
        <w:rPr>
          <w:rFonts w:ascii="Times New Roman" w:hAnsi="Times New Roman" w:cs="Times New Roman" w:hint="eastAsia"/>
          <w:sz w:val="20"/>
          <w:szCs w:val="20"/>
        </w:rPr>
        <w:t>M</w:t>
      </w:r>
      <w:r w:rsidRPr="00A44435">
        <w:rPr>
          <w:rFonts w:ascii="Times New Roman" w:hAnsi="Times New Roman" w:cs="Times New Roman"/>
          <w:sz w:val="20"/>
          <w:szCs w:val="20"/>
        </w:rPr>
        <w:t xml:space="preserve">ore details of the hyperbolic yield surface can be found in </w:t>
      </w:r>
      <w:proofErr w:type="spellStart"/>
      <w:r w:rsidRPr="00A44435">
        <w:rPr>
          <w:rFonts w:ascii="Times New Roman" w:hAnsi="Times New Roman" w:cs="Times New Roman"/>
          <w:sz w:val="20"/>
          <w:szCs w:val="20"/>
        </w:rPr>
        <w:t>Abbo</w:t>
      </w:r>
      <w:proofErr w:type="spellEnd"/>
      <w:r w:rsidRPr="00A44435">
        <w:rPr>
          <w:rFonts w:ascii="Times New Roman" w:hAnsi="Times New Roman" w:cs="Times New Roman"/>
          <w:sz w:val="20"/>
          <w:szCs w:val="20"/>
        </w:rPr>
        <w:t xml:space="preserve"> (</w:t>
      </w:r>
      <w:r w:rsidRPr="00646DF3">
        <w:rPr>
          <w:rFonts w:ascii="Times New Roman" w:hAnsi="Times New Roman" w:cs="Times New Roman"/>
          <w:color w:val="0000FF"/>
          <w:sz w:val="20"/>
          <w:szCs w:val="20"/>
        </w:rPr>
        <w:t>1997</w:t>
      </w:r>
      <w:r w:rsidRPr="00A44435">
        <w:rPr>
          <w:rFonts w:ascii="Times New Roman" w:hAnsi="Times New Roman" w:cs="Times New Roman"/>
          <w:sz w:val="20"/>
          <w:szCs w:val="20"/>
        </w:rPr>
        <w:t>) and He et al. (</w:t>
      </w:r>
      <w:r w:rsidRPr="00646DF3">
        <w:rPr>
          <w:rFonts w:ascii="Times New Roman" w:hAnsi="Times New Roman" w:cs="Times New Roman"/>
          <w:color w:val="0000FF"/>
          <w:sz w:val="20"/>
          <w:szCs w:val="20"/>
        </w:rPr>
        <w:t>2019</w:t>
      </w:r>
      <w:r w:rsidRPr="00A44435">
        <w:rPr>
          <w:rFonts w:ascii="Times New Roman" w:hAnsi="Times New Roman" w:cs="Times New Roman"/>
          <w:sz w:val="20"/>
          <w:szCs w:val="20"/>
        </w:rPr>
        <w:t>).</w:t>
      </w:r>
      <w:bookmarkStart w:id="0" w:name="_GoBack"/>
      <w:bookmarkEnd w:id="0"/>
    </w:p>
    <w:sectPr w:rsidR="00642E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DA"/>
    <w:rsid w:val="00302DAA"/>
    <w:rsid w:val="003840E9"/>
    <w:rsid w:val="004C30DA"/>
    <w:rsid w:val="007F6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E32C0-0BC9-40B1-BBE2-43A9F2DD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package" Target="embeddings/Microsoft_Visio___1.vsdx"/><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image" Target="media/image1.wmf"/><Relationship Id="rId9" Type="http://schemas.openxmlformats.org/officeDocument/2006/relationships/package" Target="embeddings/Microsoft_Visio___.vsdx"/><Relationship Id="rId14" Type="http://schemas.openxmlformats.org/officeDocument/2006/relationships/image" Target="media/image6.wmf"/><Relationship Id="rId22" Type="http://schemas.openxmlformats.org/officeDocument/2006/relationships/image" Target="media/image10.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Company>微软中国</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2022-05-23T09:22:00Z</dcterms:created>
  <dcterms:modified xsi:type="dcterms:W3CDTF">2022-05-23T09:22:00Z</dcterms:modified>
</cp:coreProperties>
</file>