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082EA" w14:textId="6DA7A059" w:rsidR="008E78BC" w:rsidRPr="00F11028" w:rsidRDefault="20F5CC74" w:rsidP="00184939">
      <w:pPr>
        <w:adjustRightInd w:val="0"/>
        <w:snapToGrid w:val="0"/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02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Article Title: </w:t>
      </w:r>
      <w:r w:rsidRPr="00F110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Restrictive Versus Liberal Transfusion Strategy in Extracorporeal Membrane Oxygenation</w:t>
      </w:r>
    </w:p>
    <w:p w14:paraId="11337CF6" w14:textId="170B5CBD" w:rsidR="008E78BC" w:rsidRPr="00F11028" w:rsidRDefault="006B4A58" w:rsidP="20F5CC74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File 1 </w:t>
      </w:r>
    </w:p>
    <w:p w14:paraId="7F4DA814" w14:textId="77777777" w:rsidR="005375A2" w:rsidRPr="00F11028" w:rsidRDefault="005375A2" w:rsidP="00DF0989">
      <w:pPr>
        <w:adjustRightInd w:val="0"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13608BD" w14:textId="035B2B25" w:rsidR="00232AE3" w:rsidRPr="00F11028" w:rsidRDefault="00890109" w:rsidP="00DF0989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1028">
        <w:rPr>
          <w:rFonts w:ascii="Times New Roman" w:hAnsi="Times New Roman" w:cs="Times New Roman"/>
          <w:b/>
          <w:sz w:val="24"/>
          <w:szCs w:val="24"/>
        </w:rPr>
        <w:t>Table of Content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45"/>
        <w:gridCol w:w="8106"/>
      </w:tblGrid>
      <w:tr w:rsidR="00232AE3" w:rsidRPr="00F11028" w14:paraId="720A748A" w14:textId="77777777" w:rsidTr="794EAB6E">
        <w:tc>
          <w:tcPr>
            <w:tcW w:w="1245" w:type="dxa"/>
            <w:shd w:val="clear" w:color="auto" w:fill="BDD6EE" w:themeFill="accent1" w:themeFillTint="66"/>
          </w:tcPr>
          <w:p w14:paraId="70FA3610" w14:textId="77777777" w:rsidR="00232AE3" w:rsidRPr="00F11028" w:rsidRDefault="00232AE3" w:rsidP="00DF0989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028">
              <w:rPr>
                <w:rFonts w:ascii="Times New Roman" w:hAnsi="Times New Roman" w:cs="Times New Roman"/>
                <w:b/>
                <w:sz w:val="24"/>
                <w:szCs w:val="24"/>
              </w:rPr>
              <w:t>Pages</w:t>
            </w:r>
          </w:p>
        </w:tc>
        <w:tc>
          <w:tcPr>
            <w:tcW w:w="8106" w:type="dxa"/>
            <w:shd w:val="clear" w:color="auto" w:fill="BDD6EE" w:themeFill="accent1" w:themeFillTint="66"/>
          </w:tcPr>
          <w:p w14:paraId="49F90A3C" w14:textId="77777777" w:rsidR="00232AE3" w:rsidRPr="00F11028" w:rsidRDefault="00232AE3" w:rsidP="00DF0989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Materials </w:t>
            </w:r>
          </w:p>
        </w:tc>
      </w:tr>
      <w:tr w:rsidR="00232AE3" w:rsidRPr="00F11028" w14:paraId="431AFD66" w14:textId="77777777" w:rsidTr="794EAB6E">
        <w:tc>
          <w:tcPr>
            <w:tcW w:w="1245" w:type="dxa"/>
          </w:tcPr>
          <w:p w14:paraId="1625BCAF" w14:textId="56BE1DF3" w:rsidR="00232AE3" w:rsidRPr="00F11028" w:rsidRDefault="00232AE3" w:rsidP="0088120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8E1" w:rsidRPr="00F11028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664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6" w:type="dxa"/>
          </w:tcPr>
          <w:p w14:paraId="7D9B1FAC" w14:textId="7750630B" w:rsidR="002F433D" w:rsidRPr="00F11028" w:rsidRDefault="00F11028" w:rsidP="00DF0989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</w:t>
            </w:r>
            <w:r w:rsidR="00232AE3" w:rsidRPr="00F11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767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32AE3" w:rsidRPr="00F11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5168" w:rsidRPr="00715168">
              <w:rPr>
                <w:rFonts w:ascii="Times New Roman" w:hAnsi="Times New Roman" w:cs="Times New Roman"/>
                <w:sz w:val="24"/>
                <w:szCs w:val="24"/>
              </w:rPr>
              <w:t>Definition of Study Outcomes</w:t>
            </w:r>
          </w:p>
        </w:tc>
      </w:tr>
      <w:tr w:rsidR="00232AE3" w:rsidRPr="00F11028" w14:paraId="6A7AAF35" w14:textId="77777777" w:rsidTr="794EAB6E">
        <w:tc>
          <w:tcPr>
            <w:tcW w:w="1245" w:type="dxa"/>
          </w:tcPr>
          <w:p w14:paraId="7D780BE4" w14:textId="476ABE32" w:rsidR="00232AE3" w:rsidRPr="00F11028" w:rsidRDefault="00664D7C" w:rsidP="0088120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6" w:type="dxa"/>
          </w:tcPr>
          <w:p w14:paraId="595D4707" w14:textId="19D2818B" w:rsidR="00BD1F1A" w:rsidRPr="00BB01E6" w:rsidRDefault="794EAB6E" w:rsidP="00467208">
            <w:pPr>
              <w:adjustRightInd w:val="0"/>
              <w:snapToGrid w:val="0"/>
              <w:spacing w:line="480" w:lineRule="auto"/>
              <w:rPr>
                <w:rFonts w:ascii="Calibri" w:hAnsi="Calibri"/>
                <w:sz w:val="24"/>
                <w:szCs w:val="24"/>
                <w:lang w:eastAsia="zh-TW"/>
              </w:rPr>
            </w:pPr>
            <w:r w:rsidRPr="794EA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Fig</w:t>
            </w:r>
            <w:r w:rsidR="00467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794EA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794EA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794EAB6E">
              <w:rPr>
                <w:rFonts w:ascii="Times New Roman" w:eastAsia="Times New Roman" w:hAnsi="Times New Roman" w:cs="Times New Roman"/>
                <w:sz w:val="24"/>
                <w:szCs w:val="24"/>
                <w:lang w:val="en-HK" w:eastAsia="zh-TW"/>
              </w:rPr>
              <w:t xml:space="preserve"> Receiver Operating Characteristic Curve and Calibration Plot </w:t>
            </w:r>
            <w:r w:rsidRPr="794EAB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 for Prediction of ICU Mortality</w:t>
            </w:r>
          </w:p>
        </w:tc>
      </w:tr>
      <w:tr w:rsidR="00890C3F" w:rsidRPr="00F11028" w14:paraId="22B7E7CA" w14:textId="77777777" w:rsidTr="794EAB6E">
        <w:tc>
          <w:tcPr>
            <w:tcW w:w="1245" w:type="dxa"/>
          </w:tcPr>
          <w:p w14:paraId="6A0A9945" w14:textId="10FF5F70" w:rsidR="00890C3F" w:rsidRDefault="00890C3F" w:rsidP="0088120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6" w:type="dxa"/>
          </w:tcPr>
          <w:p w14:paraId="33A6D7F7" w14:textId="0732A16C" w:rsidR="00890C3F" w:rsidRPr="794EAB6E" w:rsidRDefault="00890C3F" w:rsidP="794EAB6E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Post-hoc power analysis</w:t>
            </w:r>
          </w:p>
        </w:tc>
      </w:tr>
    </w:tbl>
    <w:p w14:paraId="4005E868" w14:textId="2C73963A" w:rsidR="00232AE3" w:rsidRPr="00F11028" w:rsidRDefault="00232AE3" w:rsidP="00DF0989">
      <w:pPr>
        <w:adjustRightInd w:val="0"/>
        <w:snapToGrid w:val="0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289D53" w14:textId="0BC2C1B7" w:rsidR="007766A9" w:rsidRPr="00F11028" w:rsidRDefault="008A5E7D" w:rsidP="00DF0989">
      <w:pPr>
        <w:adjustRightInd w:val="0"/>
        <w:snapToGri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0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66A9" w:rsidRPr="00F1102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F106DCB" w14:textId="2D47931C" w:rsidR="0072689C" w:rsidRPr="0072689C" w:rsidRDefault="0072689C" w:rsidP="0072689C">
      <w:pPr>
        <w:spacing w:line="360" w:lineRule="auto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E55D9D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F11028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168">
        <w:rPr>
          <w:rFonts w:ascii="Times New Roman" w:hAnsi="Times New Roman" w:cs="Times New Roman"/>
          <w:sz w:val="24"/>
          <w:szCs w:val="24"/>
        </w:rPr>
        <w:t>Definition of Study Outcomes</w:t>
      </w:r>
    </w:p>
    <w:p w14:paraId="73903712" w14:textId="1AD470CC" w:rsidR="06B02C99" w:rsidRPr="00AE3734" w:rsidRDefault="794EAB6E" w:rsidP="794EAB6E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 w:rsidRPr="794EAB6E">
        <w:rPr>
          <w:b/>
          <w:bCs/>
          <w:color w:val="000000" w:themeColor="text1"/>
        </w:rPr>
        <w:t>Thrombotic complications</w:t>
      </w:r>
    </w:p>
    <w:p w14:paraId="2BAD2637" w14:textId="56B9514D" w:rsidR="794EAB6E" w:rsidRDefault="794EAB6E" w:rsidP="794EAB6E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94EAB6E">
        <w:rPr>
          <w:rFonts w:ascii="Times New Roman" w:eastAsia="Times New Roman" w:hAnsi="Times New Roman" w:cs="Times New Roman"/>
          <w:sz w:val="24"/>
          <w:szCs w:val="24"/>
        </w:rPr>
        <w:t>Thrombotic complications were defined as having the following</w:t>
      </w:r>
      <w:r w:rsidR="00F847B0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F847B0" w:rsidRPr="00F11028">
        <w:rPr>
          <w:rFonts w:ascii="Times New Roman" w:hAnsi="Times New Roman" w:cs="Times New Roman"/>
          <w:sz w:val="24"/>
          <w:szCs w:val="24"/>
        </w:rPr>
        <w:t xml:space="preserve">ternational classification of diseases, ninth revision, </w:t>
      </w:r>
      <w:proofErr w:type="gramStart"/>
      <w:r w:rsidR="00F847B0" w:rsidRPr="00F11028">
        <w:rPr>
          <w:rFonts w:ascii="Times New Roman" w:hAnsi="Times New Roman" w:cs="Times New Roman"/>
          <w:sz w:val="24"/>
          <w:szCs w:val="24"/>
        </w:rPr>
        <w:t>clinical</w:t>
      </w:r>
      <w:proofErr w:type="gramEnd"/>
      <w:r w:rsidR="00F847B0" w:rsidRPr="00F11028">
        <w:rPr>
          <w:rFonts w:ascii="Times New Roman" w:hAnsi="Times New Roman" w:cs="Times New Roman"/>
          <w:sz w:val="24"/>
          <w:szCs w:val="24"/>
        </w:rPr>
        <w:t xml:space="preserve"> modification</w:t>
      </w:r>
      <w:r w:rsidRPr="794EA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7B0">
        <w:rPr>
          <w:rFonts w:ascii="Times New Roman" w:eastAsia="Times New Roman" w:hAnsi="Times New Roman" w:cs="Times New Roman"/>
          <w:sz w:val="24"/>
          <w:szCs w:val="24"/>
        </w:rPr>
        <w:t>(</w:t>
      </w:r>
      <w:r w:rsidRPr="794EAB6E">
        <w:rPr>
          <w:rFonts w:ascii="Times New Roman" w:eastAsia="Times New Roman" w:hAnsi="Times New Roman" w:cs="Times New Roman"/>
          <w:sz w:val="24"/>
          <w:szCs w:val="24"/>
        </w:rPr>
        <w:t>ICD-9-CM</w:t>
      </w:r>
      <w:r w:rsidR="00F847B0">
        <w:rPr>
          <w:rFonts w:ascii="Times New Roman" w:eastAsia="Times New Roman" w:hAnsi="Times New Roman" w:cs="Times New Roman"/>
          <w:sz w:val="24"/>
          <w:szCs w:val="24"/>
        </w:rPr>
        <w:t>)</w:t>
      </w:r>
      <w:r w:rsidRPr="794EA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7B0">
        <w:rPr>
          <w:rFonts w:ascii="Times New Roman" w:eastAsia="Times New Roman" w:hAnsi="Times New Roman" w:cs="Times New Roman"/>
          <w:sz w:val="24"/>
          <w:szCs w:val="24"/>
        </w:rPr>
        <w:t>diagnosis c</w:t>
      </w:r>
      <w:r w:rsidRPr="794EAB6E">
        <w:rPr>
          <w:rFonts w:ascii="Times New Roman" w:eastAsia="Times New Roman" w:hAnsi="Times New Roman" w:cs="Times New Roman"/>
          <w:sz w:val="24"/>
          <w:szCs w:val="24"/>
        </w:rPr>
        <w:t xml:space="preserve">odes in the period between start of </w:t>
      </w:r>
      <w:r w:rsidR="00F847B0" w:rsidRPr="00F11028">
        <w:rPr>
          <w:rFonts w:ascii="Times New Roman" w:eastAsia="Arial" w:hAnsi="Times New Roman" w:cs="Times New Roman"/>
          <w:sz w:val="24"/>
          <w:szCs w:val="24"/>
        </w:rPr>
        <w:t>extracorporeal membrane oxygenation</w:t>
      </w:r>
      <w:r w:rsidR="00F847B0" w:rsidRPr="794EA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7B0">
        <w:rPr>
          <w:rFonts w:ascii="Times New Roman" w:eastAsia="Times New Roman" w:hAnsi="Times New Roman" w:cs="Times New Roman"/>
          <w:sz w:val="24"/>
          <w:szCs w:val="24"/>
        </w:rPr>
        <w:t>(</w:t>
      </w:r>
      <w:r w:rsidRPr="794EAB6E">
        <w:rPr>
          <w:rFonts w:ascii="Times New Roman" w:eastAsia="Times New Roman" w:hAnsi="Times New Roman" w:cs="Times New Roman"/>
          <w:sz w:val="24"/>
          <w:szCs w:val="24"/>
        </w:rPr>
        <w:t>ECMO</w:t>
      </w:r>
      <w:r w:rsidR="00F847B0">
        <w:rPr>
          <w:rFonts w:ascii="Times New Roman" w:eastAsia="Times New Roman" w:hAnsi="Times New Roman" w:cs="Times New Roman"/>
          <w:sz w:val="24"/>
          <w:szCs w:val="24"/>
        </w:rPr>
        <w:t>)</w:t>
      </w:r>
      <w:r w:rsidRPr="794EAB6E">
        <w:rPr>
          <w:rFonts w:ascii="Times New Roman" w:eastAsia="Times New Roman" w:hAnsi="Times New Roman" w:cs="Times New Roman"/>
          <w:sz w:val="24"/>
          <w:szCs w:val="24"/>
        </w:rPr>
        <w:t xml:space="preserve"> and hospital discharge.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382"/>
        <w:gridCol w:w="3634"/>
      </w:tblGrid>
      <w:tr w:rsidR="003D1236" w:rsidRPr="00F11028" w14:paraId="6DAFE8B7" w14:textId="77777777" w:rsidTr="794EAB6E">
        <w:trPr>
          <w:trHeight w:val="300"/>
        </w:trPr>
        <w:tc>
          <w:tcPr>
            <w:tcW w:w="5382" w:type="dxa"/>
            <w:shd w:val="clear" w:color="auto" w:fill="B4C6E7" w:themeFill="accent5" w:themeFillTint="66"/>
            <w:noWrap/>
          </w:tcPr>
          <w:p w14:paraId="1D8229BD" w14:textId="77777777" w:rsidR="003D1236" w:rsidRPr="00900640" w:rsidRDefault="003D1236" w:rsidP="06B02C99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 w:rsidRPr="0090064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Diagnosis </w:t>
            </w:r>
          </w:p>
        </w:tc>
        <w:tc>
          <w:tcPr>
            <w:tcW w:w="3634" w:type="dxa"/>
            <w:shd w:val="clear" w:color="auto" w:fill="B4C6E7" w:themeFill="accent5" w:themeFillTint="66"/>
            <w:noWrap/>
          </w:tcPr>
          <w:p w14:paraId="2588018B" w14:textId="77777777" w:rsidR="003D1236" w:rsidRPr="00900640" w:rsidRDefault="003D1236" w:rsidP="06B02C99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 w:rsidRPr="0090064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u w:val="single"/>
              </w:rPr>
              <w:t>ICD-9-CM Diagnosis Codes</w:t>
            </w:r>
          </w:p>
        </w:tc>
      </w:tr>
      <w:tr w:rsidR="003D1236" w:rsidRPr="00F11028" w14:paraId="6FA1E699" w14:textId="77777777" w:rsidTr="794EAB6E">
        <w:trPr>
          <w:trHeight w:val="300"/>
        </w:trPr>
        <w:tc>
          <w:tcPr>
            <w:tcW w:w="5382" w:type="dxa"/>
            <w:noWrap/>
            <w:hideMark/>
          </w:tcPr>
          <w:p w14:paraId="0E497A4D" w14:textId="3682AAD9" w:rsidR="003D1236" w:rsidRPr="00F11028" w:rsidRDefault="06B02C99" w:rsidP="06B02C9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Pulmonary embolism and infarction</w:t>
            </w:r>
          </w:p>
          <w:p w14:paraId="107FAFAA" w14:textId="5598E3E2" w:rsidR="003D1236" w:rsidRPr="00F11028" w:rsidRDefault="003D1236" w:rsidP="06B02C9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4" w:type="dxa"/>
            <w:noWrap/>
            <w:hideMark/>
          </w:tcPr>
          <w:p w14:paraId="0D82D7EA" w14:textId="1C9DE57C" w:rsidR="003D1236" w:rsidRPr="00F11028" w:rsidRDefault="06B02C99" w:rsidP="06B02C9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415.1</w:t>
            </w:r>
          </w:p>
        </w:tc>
      </w:tr>
      <w:tr w:rsidR="06B02C99" w:rsidRPr="00F11028" w14:paraId="2D1383B8" w14:textId="77777777" w:rsidTr="794EAB6E">
        <w:trPr>
          <w:trHeight w:val="300"/>
        </w:trPr>
        <w:tc>
          <w:tcPr>
            <w:tcW w:w="5382" w:type="dxa"/>
            <w:noWrap/>
            <w:hideMark/>
          </w:tcPr>
          <w:p w14:paraId="58F3BBE3" w14:textId="0255BCB4" w:rsidR="06B02C99" w:rsidRPr="00F11028" w:rsidRDefault="06B02C99" w:rsidP="06B02C9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Cerebral thrombosis</w:t>
            </w:r>
          </w:p>
        </w:tc>
        <w:tc>
          <w:tcPr>
            <w:tcW w:w="3634" w:type="dxa"/>
            <w:noWrap/>
            <w:hideMark/>
          </w:tcPr>
          <w:p w14:paraId="74CA47B8" w14:textId="27569209" w:rsidR="06B02C99" w:rsidRPr="00F11028" w:rsidRDefault="06B02C99" w:rsidP="06B02C9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434.0</w:t>
            </w:r>
          </w:p>
        </w:tc>
      </w:tr>
      <w:tr w:rsidR="003D1236" w:rsidRPr="00F11028" w14:paraId="37781C28" w14:textId="77777777" w:rsidTr="794EAB6E">
        <w:trPr>
          <w:trHeight w:val="300"/>
        </w:trPr>
        <w:tc>
          <w:tcPr>
            <w:tcW w:w="5382" w:type="dxa"/>
            <w:noWrap/>
            <w:hideMark/>
          </w:tcPr>
          <w:p w14:paraId="31187D6F" w14:textId="5E9BEB5E" w:rsidR="003D1236" w:rsidRPr="00F11028" w:rsidRDefault="06B02C99" w:rsidP="06B02C9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Cerebral embolism</w:t>
            </w:r>
          </w:p>
        </w:tc>
        <w:tc>
          <w:tcPr>
            <w:tcW w:w="3634" w:type="dxa"/>
            <w:noWrap/>
            <w:hideMark/>
          </w:tcPr>
          <w:p w14:paraId="1390DCED" w14:textId="51D09968" w:rsidR="003D1236" w:rsidRPr="00F11028" w:rsidRDefault="06B02C99" w:rsidP="06B02C9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434.1</w:t>
            </w:r>
          </w:p>
        </w:tc>
      </w:tr>
      <w:tr w:rsidR="06B02C99" w:rsidRPr="00F11028" w14:paraId="548906C5" w14:textId="77777777" w:rsidTr="794EAB6E">
        <w:trPr>
          <w:trHeight w:val="300"/>
        </w:trPr>
        <w:tc>
          <w:tcPr>
            <w:tcW w:w="5382" w:type="dxa"/>
            <w:noWrap/>
            <w:hideMark/>
          </w:tcPr>
          <w:p w14:paraId="67D916FC" w14:textId="6E7F5A73" w:rsidR="06B02C99" w:rsidRPr="00F11028" w:rsidRDefault="06B02C99" w:rsidP="06B02C9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1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Nonpyogenic</w:t>
            </w:r>
            <w:proofErr w:type="spellEnd"/>
            <w:r w:rsidRPr="00F11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thrombosis of intracranial venous sinus</w:t>
            </w:r>
          </w:p>
        </w:tc>
        <w:tc>
          <w:tcPr>
            <w:tcW w:w="3634" w:type="dxa"/>
            <w:noWrap/>
            <w:hideMark/>
          </w:tcPr>
          <w:p w14:paraId="74454C13" w14:textId="04F98D9E" w:rsidR="06B02C99" w:rsidRPr="00F11028" w:rsidRDefault="06B02C99" w:rsidP="06B02C9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437.6</w:t>
            </w:r>
          </w:p>
        </w:tc>
      </w:tr>
      <w:tr w:rsidR="003D1236" w:rsidRPr="00F11028" w14:paraId="36F6C166" w14:textId="77777777" w:rsidTr="794EAB6E">
        <w:trPr>
          <w:trHeight w:val="300"/>
        </w:trPr>
        <w:tc>
          <w:tcPr>
            <w:tcW w:w="5382" w:type="dxa"/>
            <w:noWrap/>
            <w:hideMark/>
          </w:tcPr>
          <w:p w14:paraId="15DCFCE1" w14:textId="4D162E91" w:rsidR="003D1236" w:rsidRPr="00F11028" w:rsidRDefault="06B02C99" w:rsidP="06B02C9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Arterial embolism and thrombosis</w:t>
            </w:r>
          </w:p>
        </w:tc>
        <w:tc>
          <w:tcPr>
            <w:tcW w:w="3634" w:type="dxa"/>
            <w:noWrap/>
            <w:hideMark/>
          </w:tcPr>
          <w:p w14:paraId="59DE0F1D" w14:textId="04B9D7C2" w:rsidR="003D1236" w:rsidRPr="00F11028" w:rsidRDefault="06B02C99" w:rsidP="06B02C9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444</w:t>
            </w:r>
          </w:p>
        </w:tc>
      </w:tr>
      <w:tr w:rsidR="06B02C99" w:rsidRPr="00F11028" w14:paraId="61A49C17" w14:textId="77777777" w:rsidTr="794EAB6E">
        <w:trPr>
          <w:trHeight w:val="300"/>
        </w:trPr>
        <w:tc>
          <w:tcPr>
            <w:tcW w:w="5382" w:type="dxa"/>
            <w:noWrap/>
            <w:hideMark/>
          </w:tcPr>
          <w:p w14:paraId="4CE66749" w14:textId="506A5BB6" w:rsidR="06B02C99" w:rsidRPr="00F11028" w:rsidRDefault="794EAB6E" w:rsidP="06B02C9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94EA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Portal vein thrombosis</w:t>
            </w:r>
          </w:p>
        </w:tc>
        <w:tc>
          <w:tcPr>
            <w:tcW w:w="3634" w:type="dxa"/>
            <w:noWrap/>
            <w:hideMark/>
          </w:tcPr>
          <w:p w14:paraId="7A23613F" w14:textId="5114E467" w:rsidR="06B02C99" w:rsidRPr="00F11028" w:rsidRDefault="06B02C99" w:rsidP="06B02C9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452</w:t>
            </w:r>
          </w:p>
        </w:tc>
      </w:tr>
      <w:tr w:rsidR="003D1236" w:rsidRPr="00F11028" w14:paraId="39CEA24F" w14:textId="77777777" w:rsidTr="794EAB6E">
        <w:trPr>
          <w:trHeight w:val="300"/>
        </w:trPr>
        <w:tc>
          <w:tcPr>
            <w:tcW w:w="5382" w:type="dxa"/>
            <w:noWrap/>
            <w:hideMark/>
          </w:tcPr>
          <w:p w14:paraId="4E9E407E" w14:textId="63A2CD92" w:rsidR="003D1236" w:rsidRPr="00F11028" w:rsidRDefault="06B02C99" w:rsidP="06B02C9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Other venous embolism and thrombosis</w:t>
            </w:r>
          </w:p>
          <w:p w14:paraId="3366352E" w14:textId="3E4E1054" w:rsidR="003D1236" w:rsidRPr="00F11028" w:rsidRDefault="003D1236" w:rsidP="06B02C9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4" w:type="dxa"/>
            <w:noWrap/>
            <w:hideMark/>
          </w:tcPr>
          <w:p w14:paraId="7312F85B" w14:textId="71E90B61" w:rsidR="003D1236" w:rsidRPr="00F11028" w:rsidRDefault="06B02C99" w:rsidP="06B02C9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</w:tr>
    </w:tbl>
    <w:p w14:paraId="1BFEC9AA" w14:textId="5CAF6737" w:rsidR="794EAB6E" w:rsidRDefault="794EAB6E" w:rsidP="794EAB6E">
      <w:pPr>
        <w:spacing w:line="360" w:lineRule="auto"/>
        <w:rPr>
          <w:rFonts w:ascii="Calibri" w:hAnsi="Calibri"/>
          <w:b/>
          <w:bCs/>
          <w:sz w:val="24"/>
          <w:szCs w:val="24"/>
        </w:rPr>
      </w:pPr>
    </w:p>
    <w:p w14:paraId="59D600BA" w14:textId="5ECCBB7C" w:rsidR="794EAB6E" w:rsidRDefault="794EAB6E" w:rsidP="794EAB6E">
      <w:pPr>
        <w:pStyle w:val="ListParagraph"/>
        <w:numPr>
          <w:ilvl w:val="0"/>
          <w:numId w:val="5"/>
        </w:numPr>
        <w:spacing w:line="360" w:lineRule="auto"/>
        <w:rPr>
          <w:rFonts w:asciiTheme="minorHAnsi" w:eastAsiaTheme="minorEastAsia" w:hAnsiTheme="minorHAnsi" w:cstheme="minorBidi"/>
          <w:b/>
          <w:bCs/>
        </w:rPr>
      </w:pPr>
      <w:r w:rsidRPr="794EAB6E">
        <w:rPr>
          <w:b/>
          <w:bCs/>
        </w:rPr>
        <w:t>Bacteraemia</w:t>
      </w:r>
    </w:p>
    <w:p w14:paraId="3E8CE55D" w14:textId="0EB7FD13" w:rsidR="794EAB6E" w:rsidRDefault="794EAB6E" w:rsidP="794EAB6E">
      <w:pPr>
        <w:spacing w:line="360" w:lineRule="auto"/>
        <w:ind w:firstLine="720"/>
        <w:rPr>
          <w:rFonts w:ascii="Calibri" w:hAnsi="Calibri"/>
          <w:sz w:val="24"/>
          <w:szCs w:val="24"/>
          <w:lang w:val="en-US"/>
        </w:rPr>
      </w:pPr>
      <w:r w:rsidRPr="006F07CC">
        <w:rPr>
          <w:rFonts w:ascii="Times New Roman" w:eastAsia="Times New Roman" w:hAnsi="Times New Roman" w:cs="Times New Roman"/>
          <w:sz w:val="24"/>
          <w:szCs w:val="24"/>
        </w:rPr>
        <w:t>Bacteraemia</w:t>
      </w:r>
      <w:r w:rsidRPr="794EA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was defined as having positive bacterial or fungal blood culture results during the period of ECMO support.</w:t>
      </w:r>
    </w:p>
    <w:p w14:paraId="469F4024" w14:textId="278F2325" w:rsidR="003D1236" w:rsidRPr="00E466A3" w:rsidRDefault="794EAB6E" w:rsidP="00E466A3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 w:rsidRPr="794EAB6E">
        <w:rPr>
          <w:b/>
          <w:bCs/>
        </w:rPr>
        <w:t>New-onset end-stage renal failure</w:t>
      </w:r>
    </w:p>
    <w:p w14:paraId="710059FE" w14:textId="7340630B" w:rsidR="794EAB6E" w:rsidRDefault="794EAB6E" w:rsidP="794EAB6E">
      <w:pPr>
        <w:spacing w:line="360" w:lineRule="auto"/>
        <w:ind w:firstLine="720"/>
        <w:rPr>
          <w:rFonts w:ascii="Calibri" w:hAnsi="Calibri"/>
          <w:sz w:val="24"/>
          <w:szCs w:val="24"/>
        </w:rPr>
      </w:pPr>
      <w:r w:rsidRPr="794EAB6E">
        <w:rPr>
          <w:rFonts w:ascii="Times New Roman" w:eastAsia="Times New Roman" w:hAnsi="Times New Roman" w:cs="Times New Roman"/>
          <w:sz w:val="24"/>
          <w:szCs w:val="24"/>
        </w:rPr>
        <w:t xml:space="preserve">New-onset end-stage renal failure was defined as having the following ICD-9-CM Diagnosis Codes and Procedure Codes or having a calculated </w:t>
      </w:r>
      <w:proofErr w:type="spellStart"/>
      <w:r w:rsidRPr="794EAB6E">
        <w:rPr>
          <w:rFonts w:ascii="Times New Roman" w:eastAsia="Times New Roman" w:hAnsi="Times New Roman" w:cs="Times New Roman"/>
          <w:sz w:val="24"/>
          <w:szCs w:val="24"/>
        </w:rPr>
        <w:t>eGFR</w:t>
      </w:r>
      <w:proofErr w:type="spellEnd"/>
      <w:r w:rsidRPr="794EAB6E">
        <w:rPr>
          <w:rFonts w:ascii="Times New Roman" w:eastAsia="Times New Roman" w:hAnsi="Times New Roman" w:cs="Times New Roman"/>
          <w:sz w:val="24"/>
          <w:szCs w:val="24"/>
        </w:rPr>
        <w:t xml:space="preserve"> using 2021 CKD-EPI &lt; 15 mL/min/1.73m</w:t>
      </w:r>
      <w:r w:rsidRPr="794EAB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794EAB6E">
        <w:rPr>
          <w:rFonts w:ascii="Times New Roman" w:eastAsia="Times New Roman" w:hAnsi="Times New Roman" w:cs="Times New Roman"/>
          <w:sz w:val="24"/>
          <w:szCs w:val="24"/>
        </w:rPr>
        <w:t xml:space="preserve"> in the period between 28 days and 90 days after ECMO initiation.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382"/>
        <w:gridCol w:w="3634"/>
      </w:tblGrid>
      <w:tr w:rsidR="003D1236" w:rsidRPr="00F11028" w14:paraId="61838131" w14:textId="77777777" w:rsidTr="06B02C99">
        <w:trPr>
          <w:trHeight w:val="300"/>
        </w:trPr>
        <w:tc>
          <w:tcPr>
            <w:tcW w:w="5382" w:type="dxa"/>
            <w:shd w:val="clear" w:color="auto" w:fill="B4C6E7" w:themeFill="accent5" w:themeFillTint="66"/>
            <w:noWrap/>
          </w:tcPr>
          <w:p w14:paraId="69B2C189" w14:textId="77777777" w:rsidR="003D1236" w:rsidRPr="00FB4E09" w:rsidRDefault="003D1236" w:rsidP="00542212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 w:rsidRPr="00FB4E0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Diagnosis </w:t>
            </w:r>
          </w:p>
        </w:tc>
        <w:tc>
          <w:tcPr>
            <w:tcW w:w="3634" w:type="dxa"/>
            <w:shd w:val="clear" w:color="auto" w:fill="B4C6E7" w:themeFill="accent5" w:themeFillTint="66"/>
            <w:noWrap/>
          </w:tcPr>
          <w:p w14:paraId="09B78C06" w14:textId="77777777" w:rsidR="003D1236" w:rsidRPr="00FB4E09" w:rsidRDefault="003D1236" w:rsidP="00542212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 w:rsidRPr="00FB4E0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ICD-9-CM Diagnosis Codes</w:t>
            </w:r>
          </w:p>
        </w:tc>
      </w:tr>
      <w:tr w:rsidR="003D1236" w:rsidRPr="00F11028" w14:paraId="470A071B" w14:textId="77777777" w:rsidTr="06B02C99">
        <w:trPr>
          <w:trHeight w:val="300"/>
        </w:trPr>
        <w:tc>
          <w:tcPr>
            <w:tcW w:w="5382" w:type="dxa"/>
            <w:noWrap/>
            <w:hideMark/>
          </w:tcPr>
          <w:p w14:paraId="0D002BCA" w14:textId="0DF6CE7D" w:rsidR="003D1236" w:rsidRPr="00F11028" w:rsidRDefault="06B02C99" w:rsidP="06B02C9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Chronic renal failure</w:t>
            </w:r>
          </w:p>
        </w:tc>
        <w:tc>
          <w:tcPr>
            <w:tcW w:w="3634" w:type="dxa"/>
            <w:noWrap/>
            <w:hideMark/>
          </w:tcPr>
          <w:p w14:paraId="5A9CA8F1" w14:textId="7C9CE064" w:rsidR="003D1236" w:rsidRPr="00F11028" w:rsidRDefault="06B02C99" w:rsidP="06B02C9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585</w:t>
            </w:r>
          </w:p>
        </w:tc>
      </w:tr>
    </w:tbl>
    <w:p w14:paraId="091732AB" w14:textId="77777777" w:rsidR="003D1236" w:rsidRPr="00F11028" w:rsidRDefault="003D1236" w:rsidP="06B02C99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3D1236" w:rsidRPr="00F11028" w14:paraId="1F92CD7C" w14:textId="77777777" w:rsidTr="06B02C99">
        <w:tc>
          <w:tcPr>
            <w:tcW w:w="5382" w:type="dxa"/>
            <w:shd w:val="clear" w:color="auto" w:fill="F7CAAC" w:themeFill="accent2" w:themeFillTint="66"/>
          </w:tcPr>
          <w:p w14:paraId="59FF91D4" w14:textId="77777777" w:rsidR="003D1236" w:rsidRPr="00FB4E09" w:rsidRDefault="003D1236" w:rsidP="06B02C99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FB4E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Procedure </w:t>
            </w:r>
          </w:p>
        </w:tc>
        <w:tc>
          <w:tcPr>
            <w:tcW w:w="3634" w:type="dxa"/>
            <w:shd w:val="clear" w:color="auto" w:fill="F7CAAC" w:themeFill="accent2" w:themeFillTint="66"/>
          </w:tcPr>
          <w:p w14:paraId="3C8A4556" w14:textId="77777777" w:rsidR="003D1236" w:rsidRPr="00FB4E09" w:rsidRDefault="003D1236" w:rsidP="06B02C99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FB4E09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u w:val="single"/>
              </w:rPr>
              <w:t>ICD-9-CM Procedure Codes</w:t>
            </w:r>
          </w:p>
        </w:tc>
      </w:tr>
      <w:tr w:rsidR="003D1236" w:rsidRPr="00F11028" w14:paraId="61F82863" w14:textId="77777777" w:rsidTr="06B02C99">
        <w:trPr>
          <w:trHeight w:val="300"/>
        </w:trPr>
        <w:tc>
          <w:tcPr>
            <w:tcW w:w="5382" w:type="dxa"/>
            <w:noWrap/>
            <w:hideMark/>
          </w:tcPr>
          <w:p w14:paraId="5DE1CE55" w14:textId="0FD22BEE" w:rsidR="003D1236" w:rsidRPr="00F11028" w:rsidRDefault="06B02C99" w:rsidP="06B02C9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1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Hemodialysis</w:t>
            </w:r>
            <w:proofErr w:type="spellEnd"/>
          </w:p>
        </w:tc>
        <w:tc>
          <w:tcPr>
            <w:tcW w:w="3634" w:type="dxa"/>
            <w:noWrap/>
            <w:hideMark/>
          </w:tcPr>
          <w:p w14:paraId="3AB58D3D" w14:textId="5F60A098" w:rsidR="003D1236" w:rsidRPr="00F11028" w:rsidRDefault="06B02C99" w:rsidP="06B02C9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39.95</w:t>
            </w:r>
          </w:p>
        </w:tc>
      </w:tr>
      <w:tr w:rsidR="06B02C99" w:rsidRPr="00F11028" w14:paraId="62B13E4E" w14:textId="77777777" w:rsidTr="06B02C99">
        <w:trPr>
          <w:trHeight w:val="300"/>
        </w:trPr>
        <w:tc>
          <w:tcPr>
            <w:tcW w:w="5382" w:type="dxa"/>
            <w:noWrap/>
            <w:hideMark/>
          </w:tcPr>
          <w:p w14:paraId="2D60B022" w14:textId="76406D30" w:rsidR="06B02C99" w:rsidRPr="00F11028" w:rsidRDefault="06B02C99" w:rsidP="06B02C9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Peritoneal dialysis</w:t>
            </w:r>
          </w:p>
        </w:tc>
        <w:tc>
          <w:tcPr>
            <w:tcW w:w="3634" w:type="dxa"/>
            <w:noWrap/>
            <w:hideMark/>
          </w:tcPr>
          <w:p w14:paraId="421DCD85" w14:textId="0FE1E083" w:rsidR="06B02C99" w:rsidRPr="00F11028" w:rsidRDefault="06B02C99" w:rsidP="06B02C9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54.98</w:t>
            </w:r>
          </w:p>
        </w:tc>
      </w:tr>
    </w:tbl>
    <w:p w14:paraId="7D2D7DC2" w14:textId="695CA79F" w:rsidR="794EAB6E" w:rsidRDefault="794EAB6E" w:rsidP="794EAB6E">
      <w:pPr>
        <w:spacing w:line="360" w:lineRule="auto"/>
        <w:rPr>
          <w:rFonts w:ascii="Calibri" w:hAnsi="Calibri"/>
          <w:b/>
          <w:bCs/>
          <w:sz w:val="24"/>
          <w:szCs w:val="24"/>
        </w:rPr>
      </w:pPr>
    </w:p>
    <w:p w14:paraId="09D47910" w14:textId="439950D0" w:rsidR="794EAB6E" w:rsidRDefault="794EAB6E" w:rsidP="794EAB6E">
      <w:pPr>
        <w:pStyle w:val="ListParagraph"/>
        <w:numPr>
          <w:ilvl w:val="0"/>
          <w:numId w:val="5"/>
        </w:numPr>
        <w:spacing w:line="360" w:lineRule="auto"/>
        <w:rPr>
          <w:rFonts w:asciiTheme="minorHAnsi" w:eastAsiaTheme="minorEastAsia" w:hAnsiTheme="minorHAnsi" w:cstheme="minorBidi"/>
          <w:b/>
          <w:bCs/>
        </w:rPr>
      </w:pPr>
      <w:r w:rsidRPr="794EAB6E">
        <w:rPr>
          <w:rFonts w:eastAsia="PMingLiU"/>
          <w:b/>
          <w:bCs/>
        </w:rPr>
        <w:t>Secondary myocardial infarction</w:t>
      </w:r>
    </w:p>
    <w:p w14:paraId="70B7C2F6" w14:textId="0C23CC41" w:rsidR="009408D4" w:rsidRDefault="794EAB6E" w:rsidP="794EAB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94EAB6E">
        <w:rPr>
          <w:rFonts w:ascii="Times New Roman" w:eastAsia="Times New Roman" w:hAnsi="Times New Roman" w:cs="Times New Roman"/>
          <w:sz w:val="24"/>
          <w:szCs w:val="24"/>
        </w:rPr>
        <w:t>Secondary myocardial infarction was defined as having an elevated troponin T or troponin I result in the period between 30 days and 90 days after stopping ECMO.</w:t>
      </w:r>
    </w:p>
    <w:p w14:paraId="545F84EC" w14:textId="77777777" w:rsidR="009408D4" w:rsidRDefault="00940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D28D9AE" w14:textId="2D20AD67" w:rsidR="009C25E0" w:rsidRDefault="794EAB6E" w:rsidP="00FC5407">
      <w:pPr>
        <w:adjustRightInd w:val="0"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794EAB6E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</w:t>
      </w:r>
      <w:r w:rsidR="004672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794EA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5D9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C575B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27317FC7" w14:textId="7DBD7B4B" w:rsidR="00FC5407" w:rsidRDefault="0FC94BF2" w:rsidP="00FC5407">
      <w:pPr>
        <w:adjustRightInd w:val="0"/>
        <w:snapToGri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FC94BF2">
        <w:rPr>
          <w:rFonts w:ascii="Times New Roman" w:eastAsia="Times New Roman" w:hAnsi="Times New Roman" w:cs="Times New Roman"/>
          <w:b/>
          <w:bCs/>
          <w:sz w:val="24"/>
          <w:szCs w:val="24"/>
          <w:lang w:val="en-HK" w:eastAsia="zh-TW"/>
        </w:rPr>
        <w:t xml:space="preserve">Title: </w:t>
      </w:r>
      <w:r w:rsidRPr="0FC94BF2">
        <w:rPr>
          <w:rFonts w:ascii="Times New Roman" w:eastAsia="Times New Roman" w:hAnsi="Times New Roman" w:cs="Times New Roman"/>
          <w:sz w:val="24"/>
          <w:szCs w:val="24"/>
          <w:lang w:val="en-HK" w:eastAsia="zh-TW"/>
        </w:rPr>
        <w:t>Receiver Operating Characteri</w:t>
      </w:r>
      <w:r w:rsidR="00987E87">
        <w:rPr>
          <w:rFonts w:ascii="Times New Roman" w:eastAsia="Times New Roman" w:hAnsi="Times New Roman" w:cs="Times New Roman"/>
          <w:sz w:val="24"/>
          <w:szCs w:val="24"/>
          <w:lang w:val="en-HK" w:eastAsia="zh-TW"/>
        </w:rPr>
        <w:t>stic Curve and Calibration Plot</w:t>
      </w:r>
      <w:r w:rsidRPr="0FC94BF2">
        <w:rPr>
          <w:rFonts w:ascii="Times New Roman" w:eastAsia="Times New Roman" w:hAnsi="Times New Roman" w:cs="Times New Roman"/>
          <w:sz w:val="24"/>
          <w:szCs w:val="24"/>
          <w:lang w:eastAsia="zh-TW"/>
        </w:rPr>
        <w:t> for Prediction of ICU Mortality</w:t>
      </w:r>
    </w:p>
    <w:p w14:paraId="44F3AECF" w14:textId="77777777" w:rsidR="009B5292" w:rsidRDefault="009B5292" w:rsidP="00D73A72">
      <w:pPr>
        <w:adjustRightInd w:val="0"/>
        <w:snapToGrid w:val="0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HK" w:eastAsia="zh-TW"/>
        </w:rPr>
      </w:pPr>
    </w:p>
    <w:p w14:paraId="494C72B9" w14:textId="64EBCBBB" w:rsidR="00D73A72" w:rsidRDefault="794EAB6E" w:rsidP="00D73A72">
      <w:pPr>
        <w:adjustRightInd w:val="0"/>
        <w:snapToGrid w:val="0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HK"/>
        </w:rPr>
      </w:pPr>
      <w:bookmarkStart w:id="0" w:name="_GoBack"/>
      <w:bookmarkEnd w:id="0"/>
      <w:r w:rsidRPr="6678025F">
        <w:rPr>
          <w:rFonts w:ascii="Times New Roman" w:eastAsia="Times New Roman" w:hAnsi="Times New Roman" w:cs="Times New Roman"/>
          <w:b/>
          <w:bCs/>
          <w:sz w:val="24"/>
          <w:szCs w:val="24"/>
          <w:lang w:val="en-HK" w:eastAsia="zh-TW"/>
        </w:rPr>
        <w:t xml:space="preserve"> Legend: </w:t>
      </w:r>
      <w:r w:rsidRPr="6678025F">
        <w:rPr>
          <w:rFonts w:ascii="Times New Roman" w:eastAsia="Times New Roman" w:hAnsi="Times New Roman" w:cs="Times New Roman"/>
          <w:sz w:val="24"/>
          <w:szCs w:val="24"/>
          <w:lang w:val="en-HK" w:eastAsia="zh-TW"/>
        </w:rPr>
        <w:t>In the final multivariable regression model including APACHE IV score, age, type of ECMO, baseline haemoglobin, and baseline INR, it</w:t>
      </w:r>
      <w:r w:rsidRPr="66780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HK"/>
        </w:rPr>
        <w:t xml:space="preserve"> had good discriminatory performance with area under receiver operating characteristic curve of 0.73; 95% CI 0.69-0.76 (Panel A), and was well-calibrated with Hosmer-</w:t>
      </w:r>
      <w:proofErr w:type="spellStart"/>
      <w:r w:rsidRPr="66780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HK"/>
        </w:rPr>
        <w:t>Lemeshow</w:t>
      </w:r>
      <w:proofErr w:type="spellEnd"/>
      <w:r w:rsidRPr="66780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HK"/>
        </w:rPr>
        <w:t xml:space="preserve"> test, P=0.97 (Panel B). </w:t>
      </w:r>
      <w:r w:rsidR="00D73A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HK"/>
        </w:rPr>
        <w:br w:type="page"/>
      </w:r>
    </w:p>
    <w:p w14:paraId="0A4F8B6F" w14:textId="0902042A" w:rsidR="6678025F" w:rsidRDefault="00890C3F" w:rsidP="6678025F">
      <w:pPr>
        <w:spacing w:after="0" w:line="480" w:lineRule="auto"/>
        <w:rPr>
          <w:rFonts w:ascii="Calibri" w:hAnsi="Calibri"/>
          <w:color w:val="000000" w:themeColor="text1"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Post-hoc power analysis</w:t>
      </w:r>
    </w:p>
    <w:p w14:paraId="7828E704" w14:textId="7033662B" w:rsidR="6678025F" w:rsidRPr="004B1448" w:rsidRDefault="6678025F" w:rsidP="004B1448">
      <w:pPr>
        <w:spacing w:line="480" w:lineRule="auto"/>
      </w:pPr>
      <w:r w:rsidRPr="00890C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Assuming an ICU mortality of 40% in the liberal group, a sample size of 138 and 625 patients in the restrictive and liberal group respectively would have 90% power to detect a 15% difference between groups with a two-tailed type I error rate of 0.05.</w:t>
      </w:r>
    </w:p>
    <w:sectPr w:rsidR="6678025F" w:rsidRPr="004B1448" w:rsidSect="008260D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CEE5A" w14:textId="77777777" w:rsidR="005960B8" w:rsidRDefault="005960B8" w:rsidP="00724C26">
      <w:pPr>
        <w:spacing w:after="0" w:line="240" w:lineRule="auto"/>
      </w:pPr>
      <w:r>
        <w:separator/>
      </w:r>
    </w:p>
  </w:endnote>
  <w:endnote w:type="continuationSeparator" w:id="0">
    <w:p w14:paraId="16C83206" w14:textId="77777777" w:rsidR="005960B8" w:rsidRDefault="005960B8" w:rsidP="00724C26">
      <w:pPr>
        <w:spacing w:after="0" w:line="240" w:lineRule="auto"/>
      </w:pPr>
      <w:r>
        <w:continuationSeparator/>
      </w:r>
    </w:p>
  </w:endnote>
  <w:endnote w:type="continuationNotice" w:id="1">
    <w:p w14:paraId="76160576" w14:textId="77777777" w:rsidR="005960B8" w:rsidRDefault="005960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1A99D" w14:textId="7CA5B896" w:rsidR="000C206F" w:rsidRDefault="794EAB6E">
    <w:pPr>
      <w:pStyle w:val="Footer"/>
      <w:jc w:val="right"/>
    </w:pPr>
    <w:r>
      <w:t xml:space="preserve">PAGE </w:t>
    </w:r>
    <w:sdt>
      <w:sdtPr>
        <w:id w:val="6582431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C206F" w:rsidRPr="794EAB6E">
          <w:fldChar w:fldCharType="begin"/>
        </w:r>
        <w:r w:rsidR="000C206F">
          <w:instrText xml:space="preserve"> PAGE   \* MERGEFORMAT </w:instrText>
        </w:r>
        <w:r w:rsidR="000C206F" w:rsidRPr="794EAB6E">
          <w:fldChar w:fldCharType="separate"/>
        </w:r>
        <w:r w:rsidR="009B5292">
          <w:rPr>
            <w:noProof/>
          </w:rPr>
          <w:t>5</w:t>
        </w:r>
        <w:r w:rsidR="000C206F" w:rsidRPr="794EAB6E">
          <w:rPr>
            <w:noProof/>
          </w:rPr>
          <w:fldChar w:fldCharType="end"/>
        </w:r>
      </w:sdtContent>
    </w:sdt>
  </w:p>
  <w:p w14:paraId="17849865" w14:textId="77777777" w:rsidR="000C206F" w:rsidRDefault="000C2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62943" w14:textId="77777777" w:rsidR="005960B8" w:rsidRDefault="005960B8" w:rsidP="00724C26">
      <w:pPr>
        <w:spacing w:after="0" w:line="240" w:lineRule="auto"/>
      </w:pPr>
      <w:r>
        <w:separator/>
      </w:r>
    </w:p>
  </w:footnote>
  <w:footnote w:type="continuationSeparator" w:id="0">
    <w:p w14:paraId="1B2D2A42" w14:textId="77777777" w:rsidR="005960B8" w:rsidRDefault="005960B8" w:rsidP="00724C26">
      <w:pPr>
        <w:spacing w:after="0" w:line="240" w:lineRule="auto"/>
      </w:pPr>
      <w:r>
        <w:continuationSeparator/>
      </w:r>
    </w:p>
  </w:footnote>
  <w:footnote w:type="continuationNotice" w:id="1">
    <w:p w14:paraId="532C122E" w14:textId="77777777" w:rsidR="005960B8" w:rsidRDefault="005960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A60CF" w14:textId="73DE7F46" w:rsidR="00750426" w:rsidRPr="00750426" w:rsidRDefault="00750426" w:rsidP="00750426">
    <w:pPr>
      <w:pStyle w:val="Header"/>
      <w:jc w:val="right"/>
      <w:rPr>
        <w:sz w:val="20"/>
      </w:rPr>
    </w:pPr>
    <w:r w:rsidRPr="00750426">
      <w:rPr>
        <w:sz w:val="20"/>
      </w:rPr>
      <w:t>Additional File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7E2"/>
    <w:multiLevelType w:val="hybridMultilevel"/>
    <w:tmpl w:val="7388AC66"/>
    <w:lvl w:ilvl="0" w:tplc="88280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C61800"/>
    <w:multiLevelType w:val="hybridMultilevel"/>
    <w:tmpl w:val="3D540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0006"/>
    <w:multiLevelType w:val="hybridMultilevel"/>
    <w:tmpl w:val="DF4C0A0C"/>
    <w:lvl w:ilvl="0" w:tplc="D966C6A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7602F"/>
    <w:multiLevelType w:val="hybridMultilevel"/>
    <w:tmpl w:val="EEA28516"/>
    <w:lvl w:ilvl="0" w:tplc="FFFFFFFF">
      <w:start w:val="1"/>
      <w:numFmt w:val="lowerRoman"/>
      <w:lvlText w:val="%1."/>
      <w:lvlJc w:val="left"/>
      <w:pPr>
        <w:ind w:left="1080" w:hanging="72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D08B3"/>
    <w:multiLevelType w:val="hybridMultilevel"/>
    <w:tmpl w:val="7ADE0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BC"/>
    <w:rsid w:val="00002658"/>
    <w:rsid w:val="000408B0"/>
    <w:rsid w:val="000848B4"/>
    <w:rsid w:val="000C206F"/>
    <w:rsid w:val="000D04E0"/>
    <w:rsid w:val="000F4C0B"/>
    <w:rsid w:val="001236C4"/>
    <w:rsid w:val="00134290"/>
    <w:rsid w:val="001465BD"/>
    <w:rsid w:val="00153516"/>
    <w:rsid w:val="001539C7"/>
    <w:rsid w:val="001562C4"/>
    <w:rsid w:val="00184939"/>
    <w:rsid w:val="00197529"/>
    <w:rsid w:val="001C381E"/>
    <w:rsid w:val="001C7621"/>
    <w:rsid w:val="00204B53"/>
    <w:rsid w:val="00210746"/>
    <w:rsid w:val="002227F9"/>
    <w:rsid w:val="00232AE3"/>
    <w:rsid w:val="00253B2F"/>
    <w:rsid w:val="00254527"/>
    <w:rsid w:val="00264AB8"/>
    <w:rsid w:val="0027185B"/>
    <w:rsid w:val="002A3CFD"/>
    <w:rsid w:val="002B3FE0"/>
    <w:rsid w:val="002B73DC"/>
    <w:rsid w:val="002F433D"/>
    <w:rsid w:val="00304D03"/>
    <w:rsid w:val="00306425"/>
    <w:rsid w:val="00390615"/>
    <w:rsid w:val="00392A03"/>
    <w:rsid w:val="003A68E1"/>
    <w:rsid w:val="003B459D"/>
    <w:rsid w:val="003C4D6D"/>
    <w:rsid w:val="003D1236"/>
    <w:rsid w:val="003F3FFB"/>
    <w:rsid w:val="003F5B9E"/>
    <w:rsid w:val="00425EC9"/>
    <w:rsid w:val="0043313C"/>
    <w:rsid w:val="00444CDA"/>
    <w:rsid w:val="00467208"/>
    <w:rsid w:val="00480B24"/>
    <w:rsid w:val="004B1448"/>
    <w:rsid w:val="004F0A51"/>
    <w:rsid w:val="004F323C"/>
    <w:rsid w:val="004F6EFE"/>
    <w:rsid w:val="005375A2"/>
    <w:rsid w:val="00542212"/>
    <w:rsid w:val="005960B8"/>
    <w:rsid w:val="005C5364"/>
    <w:rsid w:val="006533E3"/>
    <w:rsid w:val="00664D7C"/>
    <w:rsid w:val="00684706"/>
    <w:rsid w:val="006B4A58"/>
    <w:rsid w:val="006D180F"/>
    <w:rsid w:val="006F07CC"/>
    <w:rsid w:val="00715168"/>
    <w:rsid w:val="00724C26"/>
    <w:rsid w:val="0072689C"/>
    <w:rsid w:val="00750426"/>
    <w:rsid w:val="00773222"/>
    <w:rsid w:val="007766A9"/>
    <w:rsid w:val="00786B03"/>
    <w:rsid w:val="007A5970"/>
    <w:rsid w:val="007B045B"/>
    <w:rsid w:val="007C2FB4"/>
    <w:rsid w:val="007D43EC"/>
    <w:rsid w:val="007E219D"/>
    <w:rsid w:val="007E659A"/>
    <w:rsid w:val="008229A4"/>
    <w:rsid w:val="008260D1"/>
    <w:rsid w:val="008673BF"/>
    <w:rsid w:val="00872769"/>
    <w:rsid w:val="008745E1"/>
    <w:rsid w:val="00877BBF"/>
    <w:rsid w:val="0088120B"/>
    <w:rsid w:val="00890109"/>
    <w:rsid w:val="00890C3F"/>
    <w:rsid w:val="00895F09"/>
    <w:rsid w:val="008A5275"/>
    <w:rsid w:val="008A5E7D"/>
    <w:rsid w:val="008E78BC"/>
    <w:rsid w:val="00900640"/>
    <w:rsid w:val="009408D4"/>
    <w:rsid w:val="00954777"/>
    <w:rsid w:val="00962A98"/>
    <w:rsid w:val="00962FB8"/>
    <w:rsid w:val="00985D57"/>
    <w:rsid w:val="00987E87"/>
    <w:rsid w:val="009B5292"/>
    <w:rsid w:val="009C25E0"/>
    <w:rsid w:val="009C4D37"/>
    <w:rsid w:val="009D3EFF"/>
    <w:rsid w:val="009F0FBD"/>
    <w:rsid w:val="009F5839"/>
    <w:rsid w:val="00A07ACF"/>
    <w:rsid w:val="00A1159C"/>
    <w:rsid w:val="00A411D6"/>
    <w:rsid w:val="00A80F04"/>
    <w:rsid w:val="00AB102E"/>
    <w:rsid w:val="00AE2042"/>
    <w:rsid w:val="00AE3734"/>
    <w:rsid w:val="00AF192E"/>
    <w:rsid w:val="00B04BD1"/>
    <w:rsid w:val="00B11490"/>
    <w:rsid w:val="00B21CB4"/>
    <w:rsid w:val="00B52136"/>
    <w:rsid w:val="00B5626B"/>
    <w:rsid w:val="00B64FC1"/>
    <w:rsid w:val="00BB01E6"/>
    <w:rsid w:val="00BC575B"/>
    <w:rsid w:val="00BC5A8D"/>
    <w:rsid w:val="00BD1F1A"/>
    <w:rsid w:val="00BF3461"/>
    <w:rsid w:val="00C0660E"/>
    <w:rsid w:val="00C25EAB"/>
    <w:rsid w:val="00C30BE5"/>
    <w:rsid w:val="00C666E5"/>
    <w:rsid w:val="00CC3168"/>
    <w:rsid w:val="00CE6347"/>
    <w:rsid w:val="00D226DB"/>
    <w:rsid w:val="00D352E1"/>
    <w:rsid w:val="00D52976"/>
    <w:rsid w:val="00D73A72"/>
    <w:rsid w:val="00D84D6A"/>
    <w:rsid w:val="00D876A7"/>
    <w:rsid w:val="00DB5EE4"/>
    <w:rsid w:val="00DF0989"/>
    <w:rsid w:val="00DF1A09"/>
    <w:rsid w:val="00E361E3"/>
    <w:rsid w:val="00E4237E"/>
    <w:rsid w:val="00E466A3"/>
    <w:rsid w:val="00E55D9D"/>
    <w:rsid w:val="00F06A6D"/>
    <w:rsid w:val="00F11028"/>
    <w:rsid w:val="00F72071"/>
    <w:rsid w:val="00F847B0"/>
    <w:rsid w:val="00F906D0"/>
    <w:rsid w:val="00F918DC"/>
    <w:rsid w:val="00FA7675"/>
    <w:rsid w:val="00FB4E09"/>
    <w:rsid w:val="00FC5407"/>
    <w:rsid w:val="00FE3C2F"/>
    <w:rsid w:val="00FE49A0"/>
    <w:rsid w:val="02F03D23"/>
    <w:rsid w:val="02F76060"/>
    <w:rsid w:val="03AC595E"/>
    <w:rsid w:val="062F0122"/>
    <w:rsid w:val="06B02C99"/>
    <w:rsid w:val="07EDE941"/>
    <w:rsid w:val="0FC94BF2"/>
    <w:rsid w:val="135012A1"/>
    <w:rsid w:val="1571FA4D"/>
    <w:rsid w:val="1C495E08"/>
    <w:rsid w:val="2043CE21"/>
    <w:rsid w:val="20F5CC74"/>
    <w:rsid w:val="3294F6ED"/>
    <w:rsid w:val="32A39B37"/>
    <w:rsid w:val="3489E69A"/>
    <w:rsid w:val="3912DCBB"/>
    <w:rsid w:val="399B9111"/>
    <w:rsid w:val="3DAA0DC3"/>
    <w:rsid w:val="40BAA550"/>
    <w:rsid w:val="47DF98AC"/>
    <w:rsid w:val="4ACB1F42"/>
    <w:rsid w:val="53671A09"/>
    <w:rsid w:val="5DFF56CA"/>
    <w:rsid w:val="5F3F9890"/>
    <w:rsid w:val="639C5A7D"/>
    <w:rsid w:val="65645F12"/>
    <w:rsid w:val="6678025F"/>
    <w:rsid w:val="66FE9049"/>
    <w:rsid w:val="685FBFB9"/>
    <w:rsid w:val="6BAB5DD9"/>
    <w:rsid w:val="6D2C0D9F"/>
    <w:rsid w:val="724346C1"/>
    <w:rsid w:val="748CA99E"/>
    <w:rsid w:val="748F1216"/>
    <w:rsid w:val="771CA199"/>
    <w:rsid w:val="794EAB6E"/>
    <w:rsid w:val="7B288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CB331"/>
  <w15:chartTrackingRefBased/>
  <w15:docId w15:val="{A339D32A-31D4-4EC6-9111-B387A2C5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794EAB6E"/>
    <w:rPr>
      <w:rFonts w:eastAsia="PMingLiU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794EAB6E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794EAB6E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794EAB6E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794EAB6E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794EAB6E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794EAB6E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794EAB6E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794EAB6E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794EAB6E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794EA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794EAB6E"/>
    <w:rPr>
      <w:rFonts w:asciiTheme="minorHAnsi" w:eastAsia="PMingLiU" w:hAnsiTheme="minorHAnsi" w:cstheme="minorBidi"/>
      <w:noProof w:val="0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78BC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8E78BC"/>
    <w:rPr>
      <w:b/>
      <w:bCs/>
    </w:rPr>
  </w:style>
  <w:style w:type="paragraph" w:styleId="NormalWeb">
    <w:name w:val="Normal (Web)"/>
    <w:basedOn w:val="Normal"/>
    <w:uiPriority w:val="99"/>
    <w:unhideWhenUsed/>
    <w:rsid w:val="794EAB6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794EAB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794EAB6E"/>
    <w:rPr>
      <w:rFonts w:ascii="Segoe UI" w:eastAsia="PMingLiU" w:hAnsi="Segoe UI" w:cs="Segoe UI"/>
      <w:noProof w:val="0"/>
      <w:sz w:val="18"/>
      <w:szCs w:val="18"/>
      <w:lang w:val="en-GB" w:eastAsia="en-US"/>
    </w:rPr>
  </w:style>
  <w:style w:type="character" w:styleId="LineNumber">
    <w:name w:val="line number"/>
    <w:basedOn w:val="DefaultParagraphFont"/>
    <w:uiPriority w:val="99"/>
    <w:semiHidden/>
    <w:unhideWhenUsed/>
    <w:rsid w:val="008E78BC"/>
  </w:style>
  <w:style w:type="paragraph" w:styleId="Header">
    <w:name w:val="header"/>
    <w:basedOn w:val="Normal"/>
    <w:link w:val="HeaderChar"/>
    <w:uiPriority w:val="99"/>
    <w:unhideWhenUsed/>
    <w:rsid w:val="794EAB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794EAB6E"/>
    <w:rPr>
      <w:rFonts w:asciiTheme="minorHAnsi" w:eastAsia="PMingLiU" w:hAnsiTheme="minorHAnsi" w:cstheme="minorBidi"/>
      <w:noProof w:val="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794EAB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794EAB6E"/>
    <w:rPr>
      <w:rFonts w:asciiTheme="minorHAnsi" w:eastAsia="PMingLiU" w:hAnsiTheme="minorHAnsi" w:cstheme="minorBidi"/>
      <w:noProof w:val="0"/>
      <w:lang w:val="en-GB" w:eastAsia="en-US"/>
    </w:rPr>
  </w:style>
  <w:style w:type="table" w:styleId="TableGrid">
    <w:name w:val="Table Grid"/>
    <w:basedOn w:val="TableNormal"/>
    <w:uiPriority w:val="39"/>
    <w:rsid w:val="00444CDA"/>
    <w:pPr>
      <w:spacing w:after="0" w:line="240" w:lineRule="auto"/>
    </w:pPr>
    <w:rPr>
      <w:rFonts w:eastAsia="PMingLiU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562C4"/>
  </w:style>
  <w:style w:type="character" w:customStyle="1" w:styleId="eop">
    <w:name w:val="eop"/>
    <w:basedOn w:val="DefaultParagraphFont"/>
    <w:rsid w:val="001562C4"/>
  </w:style>
  <w:style w:type="paragraph" w:styleId="ListParagraph">
    <w:name w:val="List Paragraph"/>
    <w:basedOn w:val="Normal"/>
    <w:uiPriority w:val="34"/>
    <w:qFormat/>
    <w:rsid w:val="794EAB6E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HK" w:eastAsia="zh-TW"/>
    </w:rPr>
  </w:style>
  <w:style w:type="paragraph" w:customStyle="1" w:styleId="paragraph">
    <w:name w:val="paragraph"/>
    <w:basedOn w:val="Normal"/>
    <w:uiPriority w:val="1"/>
    <w:rsid w:val="794EAB6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794EA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794EAB6E"/>
    <w:rPr>
      <w:rFonts w:asciiTheme="minorHAnsi" w:eastAsia="PMingLiU" w:hAnsiTheme="minorHAnsi" w:cstheme="minorBidi"/>
      <w:b/>
      <w:bCs/>
      <w:noProof w:val="0"/>
      <w:sz w:val="2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794EAB6E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794EAB6E"/>
    <w:rPr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794EAB6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794EAB6E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794EAB6E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794EAB6E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794EAB6E"/>
    <w:rPr>
      <w:rFonts w:asciiTheme="majorHAnsi" w:eastAsiaTheme="majorEastAsia" w:hAnsiTheme="majorHAnsi" w:cstheme="majorBidi"/>
      <w:noProof w:val="0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794EAB6E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794EAB6E"/>
    <w:rPr>
      <w:rFonts w:asciiTheme="majorHAnsi" w:eastAsiaTheme="majorEastAsia" w:hAnsiTheme="majorHAnsi" w:cstheme="majorBidi"/>
      <w:noProof w:val="0"/>
      <w:color w:val="2E74B5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794EAB6E"/>
    <w:rPr>
      <w:rFonts w:asciiTheme="majorHAnsi" w:eastAsiaTheme="majorEastAsia" w:hAnsiTheme="majorHAnsi" w:cstheme="majorBidi"/>
      <w:noProof w:val="0"/>
      <w:color w:val="1F4D7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794EAB6E"/>
    <w:rPr>
      <w:rFonts w:asciiTheme="majorHAnsi" w:eastAsiaTheme="majorEastAsia" w:hAnsiTheme="majorHAnsi" w:cstheme="majorBidi"/>
      <w:i/>
      <w:iCs/>
      <w:noProof w:val="0"/>
      <w:color w:val="1F4D7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794EAB6E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794EAB6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794EAB6E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794EAB6E"/>
    <w:rPr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794EAB6E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794EAB6E"/>
    <w:rPr>
      <w:i/>
      <w:iCs/>
      <w:noProof w:val="0"/>
      <w:color w:val="5B9BD5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794EAB6E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794EAB6E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794EAB6E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794EAB6E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794EAB6E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794EAB6E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794EAB6E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794EAB6E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794EAB6E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794EAB6E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794EAB6E"/>
    <w:rPr>
      <w:noProof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794EAB6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794EAB6E"/>
    <w:rPr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BC282-7675-4112-ADA7-9E208EBB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UDM, HKU.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Ip</dc:creator>
  <cp:keywords/>
  <dc:description/>
  <cp:lastModifiedBy>April Ip</cp:lastModifiedBy>
  <cp:revision>18</cp:revision>
  <dcterms:created xsi:type="dcterms:W3CDTF">2022-05-06T02:34:00Z</dcterms:created>
  <dcterms:modified xsi:type="dcterms:W3CDTF">2022-05-16T03:32:00Z</dcterms:modified>
</cp:coreProperties>
</file>