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1"/>
          <w:lang w:val="en-US" w:eastAsia="zh-CN"/>
        </w:rPr>
        <w:t xml:space="preserve">Thermal decomposition mechanisms of energetic CL-20-based co-crystals: quantum molecular dynamics simulation </w:t>
      </w:r>
    </w:p>
    <w:p>
      <w:pPr>
        <w:widowControl/>
        <w:adjustRightInd w:val="0"/>
        <w:snapToGrid w:val="0"/>
        <w:spacing w:after="200" w:line="48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Li Tang</w:t>
      </w:r>
      <w:r>
        <w:rPr>
          <w:rStyle w:val="10"/>
          <w:rFonts w:ascii="Times New Roman" w:hAnsi="Times New Roman" w:eastAsia="宋体" w:cs="Times New Roman"/>
          <w:kern w:val="0"/>
          <w:sz w:val="24"/>
          <w:szCs w:val="24"/>
        </w:rPr>
        <w:footnoteReference w:id="0"/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·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Wei</w:t>
      </w:r>
      <w:bookmarkStart w:id="0" w:name="_GoBack"/>
      <w:bookmarkEnd w:id="0"/>
      <w:r>
        <w:rPr>
          <w:rFonts w:ascii="Times New Roman" w:hAnsi="Times New Roman" w:eastAsia="宋体" w:cs="Times New Roman"/>
          <w:kern w:val="0"/>
          <w:sz w:val="24"/>
          <w:szCs w:val="24"/>
        </w:rPr>
        <w:t>hua Zhu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vertAlign w:val="superscript"/>
          <w:lang w:val="en-US" w:eastAsia="zh-CN"/>
        </w:rPr>
        <w:t>1</w:t>
      </w:r>
    </w:p>
    <w:p>
      <w:pPr>
        <w:widowControl/>
        <w:adjustRightInd w:val="0"/>
        <w:snapToGrid w:val="0"/>
        <w:spacing w:after="200" w:line="220" w:lineRule="atLeast"/>
        <w:jc w:val="both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pStyle w:val="16"/>
        <w:jc w:val="both"/>
        <w:rPr>
          <w:bCs/>
          <w:szCs w:val="21"/>
        </w:rPr>
      </w:pPr>
    </w:p>
    <w:p>
      <w:pPr>
        <w:pStyle w:val="16"/>
        <w:ind w:firstLine="180" w:firstLineChars="100"/>
        <w:jc w:val="both"/>
        <w:rPr>
          <w:bCs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宋体" w:cs="Times New Roman"/>
          <w:bCs/>
          <w:kern w:val="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Cs/>
          <w:kern w:val="0"/>
          <w:szCs w:val="21"/>
          <w:lang w:eastAsia="zh-CN"/>
        </w:rPr>
        <w:drawing>
          <wp:inline distT="0" distB="0" distL="114300" distR="114300">
            <wp:extent cx="3973830" cy="1713865"/>
            <wp:effectExtent l="0" t="0" r="7620" b="635"/>
            <wp:docPr id="1" name="图片 1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ind w:firstLine="241" w:firstLineChars="1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Fig</w:t>
      </w:r>
      <w:r>
        <w:rPr>
          <w:rFonts w:hint="eastAsia"/>
          <w:b/>
          <w:bCs/>
          <w:sz w:val="24"/>
          <w:szCs w:val="24"/>
        </w:rPr>
        <w:t>. S1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Molecular conformations and crystal structures of (a) </w:t>
      </w:r>
      <w:r>
        <w:rPr>
          <w:i/>
          <w:sz w:val="24"/>
          <w:szCs w:val="24"/>
        </w:rPr>
        <w:t>β</w:t>
      </w:r>
      <w:r>
        <w:rPr>
          <w:sz w:val="24"/>
          <w:szCs w:val="24"/>
        </w:rPr>
        <w:t xml:space="preserve">-CL-20, (b) </w:t>
      </w:r>
      <w:r>
        <w:rPr>
          <w:i/>
          <w:sz w:val="24"/>
          <w:szCs w:val="24"/>
        </w:rPr>
        <w:t>γ</w:t>
      </w:r>
      <w:r>
        <w:rPr>
          <w:sz w:val="24"/>
          <w:szCs w:val="24"/>
        </w:rPr>
        <w:t xml:space="preserve">-CL-20 and (c) </w:t>
      </w:r>
      <w:r>
        <w:rPr>
          <w:i/>
          <w:sz w:val="24"/>
          <w:szCs w:val="24"/>
        </w:rPr>
        <w:t>ε</w:t>
      </w:r>
      <w:r>
        <w:rPr>
          <w:sz w:val="24"/>
          <w:szCs w:val="24"/>
        </w:rPr>
        <w:t>-CL-20</w:t>
      </w:r>
    </w:p>
    <w:p>
      <w:pPr>
        <w:pStyle w:val="16"/>
        <w:ind w:firstLine="240" w:firstLineChars="100"/>
        <w:jc w:val="center"/>
        <w:rPr>
          <w:sz w:val="24"/>
          <w:szCs w:val="24"/>
        </w:rPr>
      </w:pPr>
    </w:p>
    <w:p>
      <w:pPr>
        <w:pStyle w:val="16"/>
        <w:ind w:firstLine="240" w:firstLineChars="100"/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宋体" w:cs="Times New Roman"/>
          <w:bCs/>
          <w:kern w:val="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Cs/>
          <w:kern w:val="0"/>
          <w:szCs w:val="21"/>
          <w:lang w:eastAsia="zh-CN"/>
        </w:rPr>
        <w:drawing>
          <wp:inline distT="0" distB="0" distL="114300" distR="114300">
            <wp:extent cx="5088255" cy="2179955"/>
            <wp:effectExtent l="0" t="0" r="17145" b="10795"/>
            <wp:docPr id="2" name="图片 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ind w:firstLine="241" w:firstLineChars="1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Fig</w:t>
      </w:r>
      <w:r>
        <w:rPr>
          <w:rFonts w:hint="eastAsia"/>
          <w:b/>
          <w:bCs/>
          <w:sz w:val="24"/>
          <w:szCs w:val="24"/>
        </w:rPr>
        <w:t>. S2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Crystal structures and phases of CL-20 in CL-20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DNP and CL-20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DNG </w:t>
      </w:r>
      <w:r>
        <w:rPr>
          <w:rFonts w:hint="eastAsia"/>
          <w:sz w:val="24"/>
          <w:szCs w:val="24"/>
          <w:lang w:eastAsia="zh-CN"/>
        </w:rPr>
        <w:t>co-crystal</w:t>
      </w:r>
      <w:r>
        <w:rPr>
          <w:sz w:val="24"/>
          <w:szCs w:val="24"/>
        </w:rPr>
        <w:t>s</w:t>
      </w:r>
    </w:p>
    <w:p>
      <w:pPr>
        <w:pStyle w:val="16"/>
        <w:jc w:val="both"/>
        <w:rPr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16"/>
        <w:ind w:firstLine="241" w:firstLineChars="1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Table </w:t>
      </w:r>
      <w:r>
        <w:rPr>
          <w:rFonts w:hint="eastAsia"/>
          <w:b/>
          <w:bCs/>
          <w:sz w:val="24"/>
          <w:szCs w:val="24"/>
        </w:rPr>
        <w:t>S1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Bond type and bond cutoff radius in the fragment analysis of the DFTB-MD trajectory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972"/>
        <w:gridCol w:w="1972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Bond type</w:t>
            </w:r>
          </w:p>
        </w:tc>
        <w:tc>
          <w:tcPr>
            <w:tcW w:w="197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Cutoff radius(Å)</w:t>
            </w:r>
          </w:p>
        </w:tc>
        <w:tc>
          <w:tcPr>
            <w:tcW w:w="197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Bond type</w:t>
            </w:r>
          </w:p>
        </w:tc>
        <w:tc>
          <w:tcPr>
            <w:tcW w:w="230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Cutoff radius(Å)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2.31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O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1.63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2.15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2.20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7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1.11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2.17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bCs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adjustRightInd/>
        <w:snapToGrid w:val="0"/>
        <w:spacing w:after="0"/>
        <w:jc w:val="left"/>
        <w:rPr>
          <w:rStyle w:val="10"/>
        </w:rPr>
      </w:pPr>
    </w:p>
    <w:p>
      <w:pPr>
        <w:widowControl/>
        <w:adjustRightInd/>
        <w:snapToGrid/>
        <w:spacing w:after="0" w:line="480" w:lineRule="auto"/>
        <w:ind w:left="200" w:hanging="200" w:hangingChars="100"/>
        <w:jc w:val="left"/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</w:pPr>
      <w:r>
        <w:rPr>
          <w:rFonts w:hint="eastAsia" w:ascii="Times New Roman" w:hAnsi="Times New Roman" w:eastAsia="Calibri" w:cs="Times New Roman"/>
          <w:kern w:val="0"/>
          <w:sz w:val="20"/>
          <w:szCs w:val="20"/>
          <w:lang w:val="en-GB" w:eastAsia="en-US"/>
        </w:rPr>
        <w:t>C</w:t>
      </w:r>
      <w:r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  <w:t>orresponding author</w:t>
      </w:r>
      <w:r>
        <w:rPr>
          <w:rFonts w:hint="eastAsia" w:ascii="Times New Roman" w:hAnsi="Times New Roman" w:eastAsia="Calibri" w:cs="Times New Roman"/>
          <w:kern w:val="0"/>
          <w:sz w:val="20"/>
          <w:szCs w:val="20"/>
          <w:lang w:val="en-US" w:eastAsia="zh-CN"/>
        </w:rPr>
        <w:t xml:space="preserve">: </w:t>
      </w:r>
      <w:r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  <w:t>Wei</w:t>
      </w:r>
      <w:r>
        <w:rPr>
          <w:rFonts w:hint="eastAsia" w:ascii="Times New Roman" w:hAnsi="Times New Roman" w:eastAsia="Calibri" w:cs="Times New Roman"/>
          <w:kern w:val="0"/>
          <w:sz w:val="20"/>
          <w:szCs w:val="20"/>
          <w:lang w:val="en-US" w:eastAsia="zh-CN"/>
        </w:rPr>
        <w:t>-</w:t>
      </w:r>
      <w:r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  <w:t>hua Zhu</w:t>
      </w:r>
      <w:r>
        <w:rPr>
          <w:rFonts w:hint="eastAsia" w:ascii="Times New Roman" w:hAnsi="Times New Roman" w:eastAsia="Calibri" w:cs="Times New Roman"/>
          <w:kern w:val="0"/>
          <w:sz w:val="20"/>
          <w:szCs w:val="20"/>
          <w:lang w:val="en-US" w:eastAsia="zh-CN"/>
        </w:rPr>
        <w:t xml:space="preserve">, </w:t>
      </w:r>
      <w:r>
        <w:rPr>
          <w:rFonts w:hint="eastAsia" w:ascii="Times New Roman" w:hAnsi="Times New Roman" w:eastAsia="Calibri" w:cs="Times New Roman"/>
          <w:kern w:val="0"/>
          <w:sz w:val="20"/>
          <w:szCs w:val="20"/>
          <w:lang w:val="en-GB" w:eastAsia="en-US"/>
        </w:rPr>
        <w:t>zhuwh@njust.edu.cn</w:t>
      </w:r>
    </w:p>
    <w:p>
      <w:pPr>
        <w:widowControl/>
        <w:adjustRightInd/>
        <w:snapToGrid/>
        <w:spacing w:after="0" w:line="480" w:lineRule="auto"/>
        <w:ind w:left="200" w:hanging="200" w:hangingChars="100"/>
        <w:jc w:val="left"/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</w:pPr>
      <w:r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  <w:footnoteRef/>
      </w:r>
      <w:r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  <w:t xml:space="preserve"> Institute for Computation in Molecular and Materials Science, School of </w:t>
      </w:r>
      <w:r>
        <w:rPr>
          <w:rFonts w:hint="eastAsia" w:ascii="Times New Roman" w:hAnsi="Times New Roman" w:eastAsia="Calibri" w:cs="Times New Roman"/>
          <w:kern w:val="0"/>
          <w:sz w:val="20"/>
          <w:szCs w:val="20"/>
          <w:lang w:val="en-US" w:eastAsia="zh-CN"/>
        </w:rPr>
        <w:t xml:space="preserve">Chemistry and </w:t>
      </w:r>
      <w:r>
        <w:rPr>
          <w:rFonts w:ascii="Times New Roman" w:hAnsi="Times New Roman" w:eastAsia="Calibri" w:cs="Times New Roman"/>
          <w:kern w:val="0"/>
          <w:sz w:val="20"/>
          <w:szCs w:val="20"/>
          <w:lang w:val="en-GB" w:eastAsia="en-US"/>
        </w:rPr>
        <w:t>Chemical Engineering, Nanjing University of Science and Technology, Nanjing 210094, China</w:t>
      </w:r>
    </w:p>
    <w:p>
      <w:pPr>
        <w:pStyle w:val="5"/>
        <w:adjustRightInd/>
        <w:snapToGrid w:val="0"/>
        <w:spacing w:after="0"/>
        <w:jc w:val="left"/>
        <w:rPr>
          <w:rFonts w:hint="eastAsia"/>
          <w:lang w:val="en-US" w:eastAsia="zh-C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7"/>
    <w:rsid w:val="003E67A1"/>
    <w:rsid w:val="005E77C7"/>
    <w:rsid w:val="00955AA8"/>
    <w:rsid w:val="00975B8B"/>
    <w:rsid w:val="00A135AA"/>
    <w:rsid w:val="00A83ED9"/>
    <w:rsid w:val="00AC7297"/>
    <w:rsid w:val="00BA12EF"/>
    <w:rsid w:val="00D93BA4"/>
    <w:rsid w:val="00E12259"/>
    <w:rsid w:val="00FE471E"/>
    <w:rsid w:val="22D54CA4"/>
    <w:rsid w:val="2D322245"/>
    <w:rsid w:val="2EF0258A"/>
    <w:rsid w:val="385234F5"/>
    <w:rsid w:val="466D11C9"/>
    <w:rsid w:val="7A7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4">
    <w:name w:val="脚注文本 Char"/>
    <w:basedOn w:val="9"/>
    <w:link w:val="5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出段落1"/>
    <w:basedOn w:val="1"/>
    <w:link w:val="17"/>
    <w:qFormat/>
    <w:uiPriority w:val="99"/>
    <w:pPr>
      <w:widowControl/>
      <w:adjustRightInd w:val="0"/>
      <w:snapToGrid w:val="0"/>
      <w:spacing w:line="480" w:lineRule="auto"/>
    </w:pPr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列出段落1 Char"/>
    <w:link w:val="16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484</Characters>
  <Lines>5</Lines>
  <Paragraphs>1</Paragraphs>
  <TotalTime>0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2021-05-28T12:04:00Z</dcterms:created>
  <dc:creator>唐莉</dc:creator>
  <cp:lastModifiedBy>DELL</cp:lastModifiedBy>
  <dcterms:modified xsi:type="dcterms:W3CDTF">2022-05-09T12:32:56Z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288F745856F74B86926B2D61DE1E30B8</vt:lpwstr>
  </property>
</Properties>
</file>