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6FDD" w14:textId="77777777" w:rsidR="000709F6" w:rsidRPr="00B12AA8" w:rsidRDefault="000709F6" w:rsidP="00290641">
      <w:pPr>
        <w:tabs>
          <w:tab w:val="left" w:pos="1080"/>
        </w:tabs>
        <w:jc w:val="center"/>
        <w:rPr>
          <w:rFonts w:ascii="Times New Roman" w:hAnsi="Times New Roman" w:cs="Times New Roman"/>
          <w:b/>
          <w:bCs/>
          <w:color w:val="000000" w:themeColor="text1"/>
          <w:sz w:val="24"/>
          <w:szCs w:val="24"/>
        </w:rPr>
      </w:pPr>
      <w:r w:rsidRPr="00B12AA8">
        <w:rPr>
          <w:rFonts w:ascii="Times New Roman" w:hAnsi="Times New Roman" w:cs="Times New Roman"/>
          <w:b/>
          <w:bCs/>
          <w:color w:val="000000" w:themeColor="text1"/>
          <w:sz w:val="24"/>
          <w:szCs w:val="24"/>
        </w:rPr>
        <w:t xml:space="preserve">Statistical Analysis </w:t>
      </w:r>
      <w:r w:rsidRPr="00C32774">
        <w:rPr>
          <w:rFonts w:ascii="Times New Roman" w:hAnsi="Times New Roman" w:cs="Times New Roman"/>
          <w:b/>
          <w:bCs/>
          <w:color w:val="000000" w:themeColor="text1"/>
          <w:sz w:val="24"/>
          <w:szCs w:val="24"/>
        </w:rPr>
        <w:t>P</w:t>
      </w:r>
      <w:r>
        <w:rPr>
          <w:rFonts w:ascii="Times New Roman" w:hAnsi="Times New Roman" w:cs="Times New Roman"/>
          <w:b/>
          <w:bCs/>
          <w:color w:val="000000" w:themeColor="text1"/>
          <w:sz w:val="24"/>
          <w:szCs w:val="24"/>
        </w:rPr>
        <w:t xml:space="preserve">rotocol </w:t>
      </w:r>
      <w:r w:rsidRPr="0092090B">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March</w:t>
      </w:r>
      <w:r w:rsidRPr="0092090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11</w:t>
      </w:r>
      <w:r w:rsidRPr="0022109C">
        <w:rPr>
          <w:rFonts w:ascii="Times New Roman" w:hAnsi="Times New Roman" w:cs="Times New Roman"/>
          <w:b/>
          <w:bCs/>
          <w:color w:val="000000" w:themeColor="text1"/>
          <w:sz w:val="24"/>
          <w:szCs w:val="24"/>
          <w:vertAlign w:val="superscript"/>
        </w:rPr>
        <w:t>th</w:t>
      </w:r>
      <w:r w:rsidRPr="0092090B">
        <w:rPr>
          <w:rFonts w:ascii="Times New Roman" w:hAnsi="Times New Roman" w:cs="Times New Roman"/>
          <w:b/>
          <w:bCs/>
          <w:color w:val="000000" w:themeColor="text1"/>
          <w:sz w:val="24"/>
          <w:szCs w:val="24"/>
        </w:rPr>
        <w:t>, 202</w:t>
      </w:r>
      <w:r>
        <w:rPr>
          <w:rFonts w:ascii="Times New Roman" w:hAnsi="Times New Roman" w:cs="Times New Roman"/>
          <w:b/>
          <w:bCs/>
          <w:color w:val="000000" w:themeColor="text1"/>
          <w:sz w:val="24"/>
          <w:szCs w:val="24"/>
        </w:rPr>
        <w:t>1</w:t>
      </w:r>
      <w:r w:rsidRPr="0092090B">
        <w:rPr>
          <w:rFonts w:ascii="Times New Roman" w:hAnsi="Times New Roman" w:cs="Times New Roman"/>
          <w:b/>
          <w:bCs/>
          <w:color w:val="000000" w:themeColor="text1"/>
          <w:sz w:val="24"/>
          <w:szCs w:val="24"/>
        </w:rPr>
        <w:t>)</w:t>
      </w:r>
    </w:p>
    <w:p w14:paraId="21205B50" w14:textId="77777777" w:rsidR="000709F6" w:rsidRPr="002D7CB2" w:rsidRDefault="000709F6" w:rsidP="00114C94">
      <w:pPr>
        <w:tabs>
          <w:tab w:val="left" w:pos="1080"/>
        </w:tabs>
        <w:jc w:val="center"/>
        <w:rPr>
          <w:rFonts w:ascii="Times New Roman" w:hAnsi="Times New Roman" w:cs="Times New Roman"/>
          <w:b/>
          <w:bCs/>
          <w:color w:val="000000" w:themeColor="text1"/>
          <w:sz w:val="20"/>
          <w:szCs w:val="20"/>
          <w:lang w:eastAsia="zh-CN"/>
        </w:rPr>
      </w:pPr>
    </w:p>
    <w:p w14:paraId="715BC05C" w14:textId="77777777" w:rsidR="000709F6" w:rsidRPr="0076627F" w:rsidRDefault="000709F6" w:rsidP="0092090B">
      <w:pPr>
        <w:pStyle w:val="ListParagraph"/>
        <w:numPr>
          <w:ilvl w:val="0"/>
          <w:numId w:val="9"/>
        </w:numPr>
        <w:spacing w:after="20" w:line="240" w:lineRule="auto"/>
        <w:rPr>
          <w:rFonts w:ascii="Times New Roman" w:hAnsi="Times New Roman" w:cs="Times New Roman"/>
          <w:b/>
          <w:bCs/>
          <w:color w:val="000000" w:themeColor="text1"/>
          <w:sz w:val="20"/>
          <w:szCs w:val="20"/>
          <w:lang w:eastAsia="zh-CN"/>
        </w:rPr>
      </w:pPr>
      <w:r w:rsidRPr="0076627F">
        <w:rPr>
          <w:rFonts w:ascii="Times New Roman" w:hAnsi="Times New Roman" w:cs="Times New Roman"/>
          <w:b/>
          <w:bCs/>
          <w:color w:val="000000" w:themeColor="text1"/>
          <w:sz w:val="20"/>
          <w:szCs w:val="20"/>
          <w:lang w:eastAsia="zh-CN"/>
        </w:rPr>
        <w:t>Prepare data for analysis</w:t>
      </w:r>
    </w:p>
    <w:p w14:paraId="67EF8161" w14:textId="77777777" w:rsidR="000709F6" w:rsidRDefault="000709F6" w:rsidP="0092090B">
      <w:pPr>
        <w:pStyle w:val="ListParagraph"/>
        <w:numPr>
          <w:ilvl w:val="0"/>
          <w:numId w:val="10"/>
        </w:numPr>
        <w:spacing w:after="20" w:line="240" w:lineRule="auto"/>
        <w:rPr>
          <w:rFonts w:ascii="Times New Roman" w:hAnsi="Times New Roman" w:cs="Times New Roman"/>
          <w:color w:val="000000" w:themeColor="text1"/>
          <w:sz w:val="20"/>
          <w:szCs w:val="20"/>
        </w:rPr>
      </w:pPr>
      <w:r w:rsidRPr="0092090B">
        <w:rPr>
          <w:rFonts w:ascii="Times New Roman" w:hAnsi="Times New Roman" w:cs="Times New Roman"/>
          <w:color w:val="000000" w:themeColor="text1"/>
          <w:sz w:val="20"/>
          <w:szCs w:val="20"/>
        </w:rPr>
        <w:t xml:space="preserve">Include cohort and case-control studies with any type of effect estimate, i.e., </w:t>
      </w:r>
      <w:proofErr w:type="gramStart"/>
      <w:r w:rsidRPr="0092090B">
        <w:rPr>
          <w:rFonts w:ascii="Times New Roman" w:hAnsi="Times New Roman" w:cs="Times New Roman"/>
          <w:color w:val="000000" w:themeColor="text1"/>
          <w:sz w:val="20"/>
          <w:szCs w:val="20"/>
        </w:rPr>
        <w:t>maximally</w:t>
      </w:r>
      <w:r>
        <w:rPr>
          <w:rFonts w:ascii="Times New Roman" w:hAnsi="Times New Roman" w:cs="Times New Roman"/>
          <w:color w:val="000000" w:themeColor="text1"/>
          <w:sz w:val="20"/>
          <w:szCs w:val="20"/>
        </w:rPr>
        <w:t>-adjusted</w:t>
      </w:r>
      <w:proofErr w:type="gramEnd"/>
      <w:r>
        <w:rPr>
          <w:rFonts w:ascii="Times New Roman" w:hAnsi="Times New Roman" w:cs="Times New Roman"/>
          <w:color w:val="000000" w:themeColor="text1"/>
          <w:sz w:val="20"/>
          <w:szCs w:val="20"/>
        </w:rPr>
        <w:t xml:space="preserve"> </w:t>
      </w:r>
      <w:r w:rsidRPr="0092090B">
        <w:rPr>
          <w:rFonts w:ascii="Times New Roman" w:hAnsi="Times New Roman" w:cs="Times New Roman"/>
          <w:color w:val="000000" w:themeColor="text1"/>
          <w:sz w:val="20"/>
          <w:szCs w:val="20"/>
        </w:rPr>
        <w:t>hazard ratio (HR)/</w:t>
      </w:r>
      <w:r>
        <w:rPr>
          <w:rFonts w:ascii="Times New Roman" w:hAnsi="Times New Roman" w:cs="Times New Roman"/>
          <w:color w:val="000000" w:themeColor="text1"/>
          <w:sz w:val="20"/>
          <w:szCs w:val="20"/>
        </w:rPr>
        <w:t>risk ratio (</w:t>
      </w:r>
      <w:r w:rsidRPr="0092090B">
        <w:rPr>
          <w:rFonts w:ascii="Times New Roman" w:hAnsi="Times New Roman" w:cs="Times New Roman"/>
          <w:color w:val="000000" w:themeColor="text1"/>
          <w:sz w:val="20"/>
          <w:szCs w:val="20"/>
        </w:rPr>
        <w:t>RR</w:t>
      </w:r>
      <w:r>
        <w:rPr>
          <w:rFonts w:ascii="Times New Roman" w:hAnsi="Times New Roman" w:cs="Times New Roman"/>
          <w:color w:val="000000" w:themeColor="text1"/>
          <w:sz w:val="20"/>
          <w:szCs w:val="20"/>
        </w:rPr>
        <w:t>)/</w:t>
      </w:r>
      <w:r w:rsidRPr="0092090B">
        <w:rPr>
          <w:rFonts w:ascii="Times New Roman" w:hAnsi="Times New Roman" w:cs="Times New Roman"/>
          <w:color w:val="000000" w:themeColor="text1"/>
          <w:sz w:val="20"/>
          <w:szCs w:val="20"/>
        </w:rPr>
        <w:t>odds ratio (OR)/</w:t>
      </w:r>
      <w:r>
        <w:rPr>
          <w:rFonts w:ascii="Times New Roman" w:hAnsi="Times New Roman" w:cs="Times New Roman"/>
          <w:color w:val="000000" w:themeColor="text1"/>
          <w:sz w:val="20"/>
          <w:szCs w:val="20"/>
        </w:rPr>
        <w:t>mean difference (MD)</w:t>
      </w:r>
      <w:r w:rsidRPr="0092090B">
        <w:rPr>
          <w:rFonts w:ascii="Times New Roman" w:hAnsi="Times New Roman" w:cs="Times New Roman"/>
          <w:color w:val="000000" w:themeColor="text1"/>
          <w:sz w:val="20"/>
          <w:szCs w:val="20"/>
        </w:rPr>
        <w:t>.</w:t>
      </w:r>
    </w:p>
    <w:p w14:paraId="6A435F18" w14:textId="77777777" w:rsidR="000709F6" w:rsidRPr="00235988" w:rsidRDefault="000709F6" w:rsidP="00235988">
      <w:pPr>
        <w:pStyle w:val="ListParagraph"/>
        <w:numPr>
          <w:ilvl w:val="0"/>
          <w:numId w:val="10"/>
        </w:numPr>
        <w:spacing w:after="20" w:line="240" w:lineRule="auto"/>
        <w:rPr>
          <w:rFonts w:ascii="Times New Roman" w:hAnsi="Times New Roman" w:cs="Times New Roman"/>
          <w:color w:val="000000" w:themeColor="text1"/>
          <w:sz w:val="20"/>
          <w:szCs w:val="20"/>
        </w:rPr>
      </w:pPr>
      <w:r w:rsidRPr="0092090B">
        <w:rPr>
          <w:rFonts w:ascii="Times New Roman" w:hAnsi="Times New Roman" w:cs="Times New Roman"/>
          <w:color w:val="000000" w:themeColor="text1"/>
          <w:sz w:val="20"/>
          <w:szCs w:val="20"/>
        </w:rPr>
        <w:t>Exclude studies</w:t>
      </w:r>
      <w:r>
        <w:rPr>
          <w:rFonts w:ascii="Times New Roman" w:hAnsi="Times New Roman" w:cs="Times New Roman"/>
          <w:color w:val="000000" w:themeColor="text1"/>
          <w:sz w:val="20"/>
          <w:szCs w:val="20"/>
        </w:rPr>
        <w:t xml:space="preserve"> </w:t>
      </w:r>
      <w:r w:rsidRPr="0092090B">
        <w:rPr>
          <w:rFonts w:ascii="Times New Roman" w:hAnsi="Times New Roman" w:cs="Times New Roman"/>
          <w:color w:val="000000" w:themeColor="text1"/>
          <w:sz w:val="20"/>
          <w:szCs w:val="20"/>
        </w:rPr>
        <w:t xml:space="preserve">that reported only </w:t>
      </w:r>
      <w:r>
        <w:rPr>
          <w:rFonts w:ascii="Times New Roman" w:hAnsi="Times New Roman" w:cs="Times New Roman"/>
          <w:color w:val="000000" w:themeColor="text1"/>
          <w:sz w:val="20"/>
          <w:szCs w:val="20"/>
        </w:rPr>
        <w:t>crude</w:t>
      </w:r>
      <w:r w:rsidRPr="0092090B">
        <w:rPr>
          <w:rFonts w:ascii="Times New Roman" w:hAnsi="Times New Roman" w:cs="Times New Roman"/>
          <w:color w:val="000000" w:themeColor="text1"/>
          <w:sz w:val="20"/>
          <w:szCs w:val="20"/>
        </w:rPr>
        <w:t xml:space="preserve"> effect estimates.</w:t>
      </w:r>
    </w:p>
    <w:p w14:paraId="35A41B66" w14:textId="77777777" w:rsidR="000709F6" w:rsidRPr="0092090B" w:rsidRDefault="000709F6" w:rsidP="0092090B">
      <w:pPr>
        <w:pStyle w:val="ListParagraph"/>
        <w:numPr>
          <w:ilvl w:val="0"/>
          <w:numId w:val="10"/>
        </w:numPr>
        <w:spacing w:after="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To facilitate intuitive interpretation of results </w:t>
      </w:r>
      <w:r>
        <w:rPr>
          <w:rFonts w:ascii="Times New Roman" w:hAnsi="Times New Roman" w:cs="Times New Roman"/>
          <w:noProof/>
          <w:color w:val="000000" w:themeColor="text1"/>
          <w:sz w:val="20"/>
          <w:szCs w:val="20"/>
        </w:rPr>
        <w:t>[1,2]</w:t>
      </w:r>
      <w:r>
        <w:rPr>
          <w:rFonts w:ascii="Times New Roman" w:hAnsi="Times New Roman" w:cs="Times New Roman"/>
          <w:color w:val="000000" w:themeColor="text1"/>
          <w:sz w:val="20"/>
          <w:szCs w:val="20"/>
        </w:rPr>
        <w:t>, we will convert effect estimates on HR/OR scale to RR scale. W</w:t>
      </w:r>
      <w:r w:rsidRPr="0092090B">
        <w:rPr>
          <w:rFonts w:ascii="Times New Roman" w:hAnsi="Times New Roman" w:cs="Times New Roman"/>
          <w:color w:val="000000" w:themeColor="text1"/>
          <w:sz w:val="20"/>
          <w:szCs w:val="20"/>
        </w:rPr>
        <w:t xml:space="preserve">hen the outcome </w:t>
      </w:r>
      <w:r>
        <w:rPr>
          <w:rFonts w:ascii="Times New Roman" w:hAnsi="Times New Roman" w:cs="Times New Roman"/>
          <w:color w:val="000000" w:themeColor="text1"/>
          <w:sz w:val="20"/>
          <w:szCs w:val="20"/>
        </w:rPr>
        <w:t>is</w:t>
      </w:r>
      <w:r w:rsidRPr="0092090B">
        <w:rPr>
          <w:rFonts w:ascii="Times New Roman" w:hAnsi="Times New Roman" w:cs="Times New Roman"/>
          <w:color w:val="000000" w:themeColor="text1"/>
          <w:sz w:val="20"/>
          <w:szCs w:val="20"/>
        </w:rPr>
        <w:t xml:space="preserve"> relatively rare (</w:t>
      </w:r>
      <m:oMath>
        <m:r>
          <w:rPr>
            <w:rFonts w:ascii="Cambria Math" w:hAnsi="Cambria Math" w:cs="Times New Roman"/>
            <w:color w:val="000000" w:themeColor="text1"/>
            <w:sz w:val="20"/>
            <w:szCs w:val="20"/>
          </w:rPr>
          <m:t>&lt;</m:t>
        </m:r>
      </m:oMath>
      <w:r w:rsidRPr="0092090B">
        <w:rPr>
          <w:rFonts w:ascii="Times New Roman" w:hAnsi="Times New Roman" w:cs="Times New Roman"/>
          <w:color w:val="000000" w:themeColor="text1"/>
          <w:sz w:val="20"/>
          <w:szCs w:val="20"/>
        </w:rPr>
        <w:t xml:space="preserve"> 15% by the end of follow-up), </w:t>
      </w:r>
      <w:r>
        <w:rPr>
          <w:rFonts w:ascii="Times New Roman" w:hAnsi="Times New Roman" w:cs="Times New Roman"/>
          <w:color w:val="000000" w:themeColor="text1"/>
          <w:sz w:val="20"/>
          <w:szCs w:val="20"/>
        </w:rPr>
        <w:t xml:space="preserve">we </w:t>
      </w:r>
      <w:r w:rsidRPr="0092090B">
        <w:rPr>
          <w:rFonts w:ascii="Times New Roman" w:hAnsi="Times New Roman" w:cs="Times New Roman"/>
          <w:color w:val="000000" w:themeColor="text1"/>
          <w:sz w:val="20"/>
          <w:szCs w:val="20"/>
        </w:rPr>
        <w:t xml:space="preserve">approximately convert </w:t>
      </w:r>
      <w:r>
        <w:rPr>
          <w:rFonts w:ascii="Times New Roman" w:hAnsi="Times New Roman" w:cs="Times New Roman"/>
          <w:color w:val="000000" w:themeColor="text1"/>
          <w:sz w:val="20"/>
          <w:szCs w:val="20"/>
        </w:rPr>
        <w:t xml:space="preserve">HR/OR </w:t>
      </w:r>
      <w:r w:rsidRPr="0092090B">
        <w:rPr>
          <w:rFonts w:ascii="Times New Roman" w:hAnsi="Times New Roman" w:cs="Times New Roman"/>
          <w:color w:val="000000" w:themeColor="text1"/>
          <w:sz w:val="20"/>
          <w:szCs w:val="20"/>
        </w:rPr>
        <w:t>to RR using</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[3]</w:t>
      </w:r>
      <w:r w:rsidRPr="0092090B">
        <w:rPr>
          <w:rFonts w:ascii="Times New Roman" w:hAnsi="Times New Roman" w:cs="Times New Roman"/>
          <w:color w:val="000000" w:themeColor="text1"/>
          <w:sz w:val="20"/>
          <w:szCs w:val="20"/>
        </w:rPr>
        <w:t>:</w:t>
      </w:r>
    </w:p>
    <w:p w14:paraId="73BBDF4F" w14:textId="77777777" w:rsidR="000709F6" w:rsidRPr="0092090B" w:rsidRDefault="000709F6" w:rsidP="0092090B">
      <w:pPr>
        <w:pStyle w:val="ListParagraph"/>
        <w:spacing w:after="20" w:line="240" w:lineRule="auto"/>
        <w:rPr>
          <w:rFonts w:ascii="Times New Roman" w:eastAsiaTheme="minorEastAsia" w:hAnsi="Times New Roman" w:cs="Times New Roman"/>
          <w:color w:val="000000" w:themeColor="text1"/>
          <w:sz w:val="20"/>
          <w:szCs w:val="20"/>
        </w:rPr>
      </w:pPr>
    </w:p>
    <w:p w14:paraId="0972CFF1" w14:textId="77777777" w:rsidR="000709F6" w:rsidRPr="0092090B" w:rsidRDefault="000709F6" w:rsidP="0092090B">
      <w:pPr>
        <w:pStyle w:val="ListParagraph"/>
        <w:spacing w:after="20" w:line="240" w:lineRule="auto"/>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RR≈</m:t>
          </m:r>
          <m:r>
            <w:rPr>
              <w:rFonts w:ascii="Cambria Math" w:eastAsiaTheme="minorEastAsia" w:hAnsi="Cambria Math" w:cs="Times New Roman"/>
              <w:color w:val="000000" w:themeColor="text1"/>
              <w:sz w:val="20"/>
              <w:szCs w:val="20"/>
            </w:rPr>
            <m:t>HR or OR</m:t>
          </m:r>
        </m:oMath>
      </m:oMathPara>
    </w:p>
    <w:p w14:paraId="149FF5F1" w14:textId="77777777" w:rsidR="000709F6" w:rsidRPr="0092090B" w:rsidRDefault="000709F6" w:rsidP="0092090B">
      <w:pPr>
        <w:pStyle w:val="ListParagraph"/>
        <w:spacing w:after="20" w:line="240" w:lineRule="auto"/>
        <w:rPr>
          <w:rFonts w:ascii="Times New Roman" w:hAnsi="Times New Roman" w:cs="Times New Roman"/>
          <w:color w:val="000000" w:themeColor="text1"/>
          <w:sz w:val="20"/>
          <w:szCs w:val="20"/>
        </w:rPr>
      </w:pPr>
    </w:p>
    <w:p w14:paraId="57AAEA87" w14:textId="77777777" w:rsidR="000709F6" w:rsidRPr="0092090B" w:rsidRDefault="000709F6" w:rsidP="0092090B">
      <w:pPr>
        <w:pStyle w:val="ListParagraph"/>
        <w:spacing w:after="20" w:line="240" w:lineRule="auto"/>
        <w:rPr>
          <w:rFonts w:ascii="Times New Roman" w:hAnsi="Times New Roman" w:cs="Times New Roman"/>
          <w:color w:val="000000" w:themeColor="text1"/>
          <w:sz w:val="20"/>
          <w:szCs w:val="20"/>
        </w:rPr>
      </w:pPr>
      <w:r w:rsidRPr="0092090B">
        <w:rPr>
          <w:rFonts w:ascii="Times New Roman" w:hAnsi="Times New Roman" w:cs="Times New Roman"/>
          <w:color w:val="000000" w:themeColor="text1"/>
          <w:sz w:val="20"/>
          <w:szCs w:val="20"/>
        </w:rPr>
        <w:t xml:space="preserve">when the outcome </w:t>
      </w:r>
      <w:r>
        <w:rPr>
          <w:rFonts w:ascii="Times New Roman" w:hAnsi="Times New Roman" w:cs="Times New Roman"/>
          <w:color w:val="000000" w:themeColor="text1"/>
          <w:sz w:val="20"/>
          <w:szCs w:val="20"/>
        </w:rPr>
        <w:t>is</w:t>
      </w:r>
      <w:r w:rsidRPr="0092090B">
        <w:rPr>
          <w:rFonts w:ascii="Times New Roman" w:hAnsi="Times New Roman" w:cs="Times New Roman"/>
          <w:color w:val="000000" w:themeColor="text1"/>
          <w:sz w:val="20"/>
          <w:szCs w:val="20"/>
        </w:rPr>
        <w:t xml:space="preserve"> common (</w:t>
      </w:r>
      <m:oMath>
        <m:r>
          <w:rPr>
            <w:rFonts w:ascii="Cambria Math" w:hAnsi="Cambria Math" w:cs="Times New Roman"/>
            <w:color w:val="000000" w:themeColor="text1"/>
            <w:sz w:val="20"/>
            <w:szCs w:val="20"/>
          </w:rPr>
          <m:t>≥</m:t>
        </m:r>
      </m:oMath>
      <w:r w:rsidRPr="0092090B">
        <w:rPr>
          <w:rFonts w:ascii="Times New Roman" w:eastAsiaTheme="minorEastAsia" w:hAnsi="Times New Roman" w:cs="Times New Roman"/>
          <w:color w:val="000000" w:themeColor="text1"/>
          <w:sz w:val="20"/>
          <w:szCs w:val="20"/>
        </w:rPr>
        <w:t xml:space="preserve"> 15%</w:t>
      </w:r>
      <w:r w:rsidRPr="0092090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[2]</w:t>
      </w:r>
      <w:r w:rsidRPr="0092090B">
        <w:rPr>
          <w:rFonts w:ascii="Times New Roman" w:hAnsi="Times New Roman" w:cs="Times New Roman"/>
          <w:color w:val="000000" w:themeColor="text1"/>
          <w:sz w:val="20"/>
          <w:szCs w:val="20"/>
        </w:rPr>
        <w:t>:</w:t>
      </w:r>
    </w:p>
    <w:p w14:paraId="52F41DED" w14:textId="77777777" w:rsidR="000709F6" w:rsidRPr="0092090B" w:rsidRDefault="000709F6" w:rsidP="0092090B">
      <w:pPr>
        <w:pStyle w:val="ListParagraph"/>
        <w:spacing w:after="20" w:line="240" w:lineRule="auto"/>
        <w:rPr>
          <w:rFonts w:ascii="Times New Roman" w:hAnsi="Times New Roman" w:cs="Times New Roman"/>
          <w:color w:val="000000" w:themeColor="text1"/>
          <w:sz w:val="20"/>
          <w:szCs w:val="20"/>
        </w:rPr>
      </w:pPr>
    </w:p>
    <w:p w14:paraId="7A2CE19D" w14:textId="77777777" w:rsidR="000709F6" w:rsidRPr="0092090B" w:rsidRDefault="000709F6" w:rsidP="0092090B">
      <w:pPr>
        <w:pStyle w:val="ListParagraph"/>
        <w:spacing w:after="20" w:line="240" w:lineRule="auto"/>
        <w:rPr>
          <w:rFonts w:ascii="Times New Roman" w:eastAsiaTheme="minorEastAsia" w:hAnsi="Times New Roman" w:cs="Times New Roman"/>
          <w:color w:val="000000" w:themeColor="text1"/>
          <w:sz w:val="20"/>
          <w:szCs w:val="20"/>
        </w:rPr>
      </w:pPr>
      <m:oMathPara>
        <m:oMath>
          <m:r>
            <w:rPr>
              <w:rFonts w:ascii="Cambria Math" w:hAnsi="Cambria Math" w:cs="Times New Roman"/>
              <w:color w:val="000000" w:themeColor="text1"/>
              <w:sz w:val="20"/>
              <w:szCs w:val="20"/>
            </w:rPr>
            <m:t>RR≈</m:t>
          </m:r>
          <m:f>
            <m:fPr>
              <m:ctrlPr>
                <w:rPr>
                  <w:rFonts w:ascii="Cambria Math" w:eastAsiaTheme="minorEastAsia" w:hAnsi="Cambria Math" w:cs="Times New Roman"/>
                  <w:i/>
                  <w:color w:val="000000" w:themeColor="text1"/>
                  <w:sz w:val="20"/>
                  <w:szCs w:val="20"/>
                </w:rPr>
              </m:ctrlPr>
            </m:fPr>
            <m:num>
              <m:r>
                <w:rPr>
                  <w:rFonts w:ascii="Cambria Math" w:eastAsiaTheme="minorEastAsia" w:hAnsi="Cambria Math" w:cs="Times New Roman"/>
                  <w:color w:val="000000" w:themeColor="text1"/>
                  <w:sz w:val="20"/>
                  <w:szCs w:val="20"/>
                </w:rPr>
                <m:t>1-</m:t>
              </m:r>
              <m:sSup>
                <m:sSupPr>
                  <m:ctrlPr>
                    <w:rPr>
                      <w:rFonts w:ascii="Cambria Math" w:eastAsiaTheme="minorEastAsia" w:hAnsi="Cambria Math" w:cs="Times New Roman"/>
                      <w:i/>
                      <w:color w:val="000000" w:themeColor="text1"/>
                      <w:sz w:val="20"/>
                      <w:szCs w:val="20"/>
                    </w:rPr>
                  </m:ctrlPr>
                </m:sSupPr>
                <m:e>
                  <m:r>
                    <w:rPr>
                      <w:rFonts w:ascii="Cambria Math" w:eastAsiaTheme="minorEastAsia" w:hAnsi="Cambria Math" w:cs="Times New Roman"/>
                      <w:color w:val="000000" w:themeColor="text1"/>
                      <w:sz w:val="20"/>
                      <w:szCs w:val="20"/>
                    </w:rPr>
                    <m:t>0.5</m:t>
                  </m:r>
                </m:e>
                <m:sup>
                  <m:rad>
                    <m:radPr>
                      <m:degHide m:val="1"/>
                      <m:ctrlPr>
                        <w:rPr>
                          <w:rFonts w:ascii="Cambria Math" w:eastAsiaTheme="minorEastAsia" w:hAnsi="Cambria Math" w:cs="Times New Roman"/>
                          <w:i/>
                          <w:color w:val="000000" w:themeColor="text1"/>
                          <w:sz w:val="20"/>
                          <w:szCs w:val="20"/>
                        </w:rPr>
                      </m:ctrlPr>
                    </m:radPr>
                    <m:deg/>
                    <m:e>
                      <m:r>
                        <w:rPr>
                          <w:rFonts w:ascii="Cambria Math" w:eastAsiaTheme="minorEastAsia" w:hAnsi="Cambria Math" w:cs="Times New Roman"/>
                          <w:color w:val="000000" w:themeColor="text1"/>
                          <w:sz w:val="20"/>
                          <w:szCs w:val="20"/>
                        </w:rPr>
                        <m:t>HR</m:t>
                      </m:r>
                    </m:e>
                  </m:rad>
                </m:sup>
              </m:sSup>
            </m:num>
            <m:den>
              <m:r>
                <w:rPr>
                  <w:rFonts w:ascii="Cambria Math" w:eastAsiaTheme="minorEastAsia" w:hAnsi="Cambria Math" w:cs="Times New Roman"/>
                  <w:color w:val="000000" w:themeColor="text1"/>
                  <w:sz w:val="20"/>
                  <w:szCs w:val="20"/>
                </w:rPr>
                <m:t>1-</m:t>
              </m:r>
              <m:sSup>
                <m:sSupPr>
                  <m:ctrlPr>
                    <w:rPr>
                      <w:rFonts w:ascii="Cambria Math" w:eastAsiaTheme="minorEastAsia" w:hAnsi="Cambria Math" w:cs="Times New Roman"/>
                      <w:i/>
                      <w:color w:val="000000" w:themeColor="text1"/>
                      <w:sz w:val="20"/>
                      <w:szCs w:val="20"/>
                    </w:rPr>
                  </m:ctrlPr>
                </m:sSupPr>
                <m:e>
                  <m:r>
                    <w:rPr>
                      <w:rFonts w:ascii="Cambria Math" w:eastAsiaTheme="minorEastAsia" w:hAnsi="Cambria Math" w:cs="Times New Roman"/>
                      <w:color w:val="000000" w:themeColor="text1"/>
                      <w:sz w:val="20"/>
                      <w:szCs w:val="20"/>
                    </w:rPr>
                    <m:t>0.5</m:t>
                  </m:r>
                </m:e>
                <m:sup>
                  <m:rad>
                    <m:radPr>
                      <m:degHide m:val="1"/>
                      <m:ctrlPr>
                        <w:rPr>
                          <w:rFonts w:ascii="Cambria Math" w:eastAsiaTheme="minorEastAsia" w:hAnsi="Cambria Math" w:cs="Times New Roman"/>
                          <w:i/>
                          <w:color w:val="000000" w:themeColor="text1"/>
                          <w:sz w:val="20"/>
                          <w:szCs w:val="20"/>
                        </w:rPr>
                      </m:ctrlPr>
                    </m:radPr>
                    <m:deg/>
                    <m:e>
                      <m:f>
                        <m:fPr>
                          <m:ctrlPr>
                            <w:rPr>
                              <w:rFonts w:ascii="Cambria Math" w:eastAsiaTheme="minorEastAsia" w:hAnsi="Cambria Math" w:cs="Times New Roman"/>
                              <w:i/>
                              <w:color w:val="000000" w:themeColor="text1"/>
                              <w:sz w:val="20"/>
                              <w:szCs w:val="20"/>
                            </w:rPr>
                          </m:ctrlPr>
                        </m:fPr>
                        <m:num>
                          <m:r>
                            <w:rPr>
                              <w:rFonts w:ascii="Cambria Math" w:eastAsiaTheme="minorEastAsia" w:hAnsi="Cambria Math" w:cs="Times New Roman"/>
                              <w:color w:val="000000" w:themeColor="text1"/>
                              <w:sz w:val="20"/>
                              <w:szCs w:val="20"/>
                            </w:rPr>
                            <m:t>1</m:t>
                          </m:r>
                        </m:num>
                        <m:den>
                          <m:r>
                            <w:rPr>
                              <w:rFonts w:ascii="Cambria Math" w:eastAsiaTheme="minorEastAsia" w:hAnsi="Cambria Math" w:cs="Times New Roman"/>
                              <w:color w:val="000000" w:themeColor="text1"/>
                              <w:sz w:val="20"/>
                              <w:szCs w:val="20"/>
                            </w:rPr>
                            <m:t>HR</m:t>
                          </m:r>
                        </m:den>
                      </m:f>
                    </m:e>
                  </m:rad>
                </m:sup>
              </m:sSup>
            </m:den>
          </m:f>
          <m:r>
            <w:rPr>
              <w:rFonts w:ascii="Cambria Math" w:eastAsiaTheme="minorEastAsia" w:hAnsi="Cambria Math" w:cs="Times New Roman"/>
              <w:color w:val="000000" w:themeColor="text1"/>
              <w:sz w:val="20"/>
              <w:szCs w:val="20"/>
            </w:rPr>
            <m:t xml:space="preserve">or </m:t>
          </m:r>
          <m:rad>
            <m:radPr>
              <m:degHide m:val="1"/>
              <m:ctrlPr>
                <w:rPr>
                  <w:rFonts w:ascii="Cambria Math" w:eastAsiaTheme="minorEastAsia" w:hAnsi="Cambria Math" w:cs="Times New Roman"/>
                  <w:i/>
                  <w:color w:val="000000" w:themeColor="text1"/>
                  <w:sz w:val="20"/>
                  <w:szCs w:val="20"/>
                </w:rPr>
              </m:ctrlPr>
            </m:radPr>
            <m:deg/>
            <m:e>
              <m:r>
                <w:rPr>
                  <w:rFonts w:ascii="Cambria Math" w:eastAsiaTheme="minorEastAsia" w:hAnsi="Cambria Math" w:cs="Times New Roman"/>
                  <w:color w:val="000000" w:themeColor="text1"/>
                  <w:sz w:val="20"/>
                  <w:szCs w:val="20"/>
                </w:rPr>
                <m:t>OR</m:t>
              </m:r>
            </m:e>
          </m:rad>
        </m:oMath>
      </m:oMathPara>
    </w:p>
    <w:p w14:paraId="26D8400B" w14:textId="77777777" w:rsidR="000709F6" w:rsidRPr="0092090B" w:rsidRDefault="000709F6" w:rsidP="0092090B">
      <w:pPr>
        <w:pStyle w:val="ListParagraph"/>
        <w:spacing w:after="20" w:line="240" w:lineRule="auto"/>
        <w:rPr>
          <w:rFonts w:ascii="Times New Roman" w:eastAsiaTheme="minorEastAsia" w:hAnsi="Times New Roman" w:cs="Times New Roman"/>
          <w:color w:val="000000" w:themeColor="text1"/>
          <w:sz w:val="20"/>
          <w:szCs w:val="20"/>
        </w:rPr>
      </w:pPr>
    </w:p>
    <w:p w14:paraId="511DB126" w14:textId="77777777" w:rsidR="000709F6" w:rsidRPr="0092090B" w:rsidRDefault="000709F6" w:rsidP="0092090B">
      <w:pPr>
        <w:pStyle w:val="ListParagraph"/>
        <w:numPr>
          <w:ilvl w:val="0"/>
          <w:numId w:val="10"/>
        </w:numPr>
        <w:spacing w:after="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Finally, for binary outcomes, </w:t>
      </w:r>
      <w:r w:rsidRPr="0092090B">
        <w:rPr>
          <w:rFonts w:ascii="Times New Roman" w:hAnsi="Times New Roman" w:cs="Times New Roman"/>
          <w:color w:val="000000" w:themeColor="text1"/>
          <w:sz w:val="20"/>
          <w:szCs w:val="20"/>
          <w:lang w:eastAsia="zh-CN"/>
        </w:rPr>
        <w:t>log RR</w:t>
      </w:r>
      <w:r>
        <w:rPr>
          <w:rFonts w:ascii="Times New Roman" w:hAnsi="Times New Roman" w:cs="Times New Roman"/>
          <w:color w:val="000000" w:themeColor="text1"/>
          <w:sz w:val="20"/>
          <w:szCs w:val="20"/>
          <w:lang w:eastAsia="zh-CN"/>
        </w:rPr>
        <w:t>s</w:t>
      </w:r>
      <w:r w:rsidRPr="0092090B">
        <w:rPr>
          <w:rFonts w:ascii="Times New Roman" w:hAnsi="Times New Roman" w:cs="Times New Roman"/>
          <w:color w:val="000000" w:themeColor="text1"/>
          <w:sz w:val="20"/>
          <w:szCs w:val="20"/>
          <w:lang w:eastAsia="zh-CN"/>
        </w:rPr>
        <w:t xml:space="preserve"> and corresponding sampling variance</w:t>
      </w:r>
      <w:r>
        <w:rPr>
          <w:rFonts w:ascii="Times New Roman" w:hAnsi="Times New Roman" w:cs="Times New Roman"/>
          <w:color w:val="000000" w:themeColor="text1"/>
          <w:sz w:val="20"/>
          <w:szCs w:val="20"/>
          <w:lang w:eastAsia="zh-CN"/>
        </w:rPr>
        <w:t xml:space="preserve">s will be calculated for subsequent analyses; for continuous outcomes measured on MD scale, the effect estimates with </w:t>
      </w:r>
      <w:r w:rsidRPr="0092090B">
        <w:rPr>
          <w:rFonts w:ascii="Times New Roman" w:hAnsi="Times New Roman" w:cs="Times New Roman"/>
          <w:color w:val="000000" w:themeColor="text1"/>
          <w:sz w:val="20"/>
          <w:szCs w:val="20"/>
          <w:lang w:eastAsia="zh-CN"/>
        </w:rPr>
        <w:t xml:space="preserve">corresponding </w:t>
      </w:r>
      <w:r>
        <w:rPr>
          <w:rFonts w:ascii="Times New Roman" w:hAnsi="Times New Roman" w:cs="Times New Roman"/>
          <w:color w:val="000000" w:themeColor="text1"/>
          <w:sz w:val="20"/>
          <w:szCs w:val="20"/>
          <w:lang w:eastAsia="zh-CN"/>
        </w:rPr>
        <w:t>sampling variances will be used for analyses.</w:t>
      </w:r>
    </w:p>
    <w:p w14:paraId="7B21DFC2" w14:textId="77777777" w:rsidR="000709F6" w:rsidRPr="0092090B" w:rsidRDefault="000709F6" w:rsidP="0092090B">
      <w:pPr>
        <w:ind w:left="360"/>
        <w:rPr>
          <w:rFonts w:ascii="Times New Roman" w:hAnsi="Times New Roman" w:cs="Times New Roman"/>
          <w:color w:val="000000" w:themeColor="text1"/>
          <w:sz w:val="20"/>
          <w:szCs w:val="20"/>
        </w:rPr>
      </w:pPr>
    </w:p>
    <w:p w14:paraId="5D921753" w14:textId="77777777" w:rsidR="000709F6" w:rsidRPr="0092090B" w:rsidRDefault="000709F6" w:rsidP="0092090B">
      <w:pPr>
        <w:pStyle w:val="ListParagraph"/>
        <w:numPr>
          <w:ilvl w:val="0"/>
          <w:numId w:val="9"/>
        </w:numPr>
        <w:spacing w:after="2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Robust r</w:t>
      </w:r>
      <w:r w:rsidRPr="0092090B">
        <w:rPr>
          <w:rFonts w:ascii="Times New Roman" w:hAnsi="Times New Roman" w:cs="Times New Roman"/>
          <w:b/>
          <w:bCs/>
          <w:color w:val="000000" w:themeColor="text1"/>
          <w:sz w:val="20"/>
          <w:szCs w:val="20"/>
        </w:rPr>
        <w:t>andom-effects meta-analysis</w:t>
      </w:r>
    </w:p>
    <w:p w14:paraId="4895C31D" w14:textId="77777777" w:rsidR="000709F6" w:rsidRPr="0092090B" w:rsidRDefault="000709F6" w:rsidP="0092090B">
      <w:pPr>
        <w:pStyle w:val="ListParagraph"/>
        <w:spacing w:after="20" w:line="240" w:lineRule="auto"/>
        <w:ind w:left="360"/>
        <w:rPr>
          <w:rFonts w:ascii="Times New Roman" w:hAnsi="Times New Roman" w:cs="Times New Roman"/>
          <w:i/>
          <w:iCs/>
          <w:color w:val="000000" w:themeColor="text1"/>
          <w:sz w:val="20"/>
          <w:szCs w:val="20"/>
        </w:rPr>
      </w:pPr>
      <w:r>
        <w:rPr>
          <w:rFonts w:ascii="Times New Roman" w:hAnsi="Times New Roman" w:cs="Times New Roman"/>
          <w:color w:val="000000" w:themeColor="text1"/>
          <w:sz w:val="20"/>
          <w:szCs w:val="20"/>
        </w:rPr>
        <w:t>W</w:t>
      </w:r>
      <w:r w:rsidRPr="0092090B">
        <w:rPr>
          <w:rFonts w:ascii="Times New Roman" w:hAnsi="Times New Roman" w:cs="Times New Roman"/>
          <w:color w:val="000000" w:themeColor="text1"/>
          <w:sz w:val="20"/>
          <w:szCs w:val="20"/>
        </w:rPr>
        <w:t xml:space="preserve">e </w:t>
      </w:r>
      <w:r>
        <w:rPr>
          <w:rFonts w:ascii="Times New Roman" w:hAnsi="Times New Roman" w:cs="Times New Roman"/>
          <w:color w:val="000000" w:themeColor="text1"/>
          <w:sz w:val="20"/>
          <w:szCs w:val="20"/>
        </w:rPr>
        <w:t>will apply</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w:t>
      </w:r>
      <w:r w:rsidRPr="0092090B">
        <w:rPr>
          <w:rFonts w:ascii="Times New Roman" w:hAnsi="Times New Roman" w:cs="Times New Roman"/>
          <w:color w:val="000000" w:themeColor="text1"/>
          <w:sz w:val="20"/>
          <w:szCs w:val="20"/>
        </w:rPr>
        <w:t xml:space="preserve"> random-effects </w:t>
      </w:r>
      <w:r>
        <w:rPr>
          <w:rFonts w:ascii="Times New Roman" w:hAnsi="Times New Roman" w:cs="Times New Roman"/>
          <w:color w:val="000000" w:themeColor="text1"/>
          <w:sz w:val="20"/>
          <w:szCs w:val="20"/>
        </w:rPr>
        <w:t xml:space="preserve">meta-analysis </w:t>
      </w:r>
      <w:r w:rsidRPr="0092090B">
        <w:rPr>
          <w:rFonts w:ascii="Times New Roman" w:hAnsi="Times New Roman" w:cs="Times New Roman"/>
          <w:color w:val="000000" w:themeColor="text1"/>
          <w:sz w:val="20"/>
          <w:szCs w:val="20"/>
        </w:rPr>
        <w:t xml:space="preserve">model </w:t>
      </w:r>
      <w:r>
        <w:rPr>
          <w:rFonts w:ascii="Times New Roman" w:hAnsi="Times New Roman" w:cs="Times New Roman"/>
          <w:color w:val="000000" w:themeColor="text1"/>
          <w:sz w:val="20"/>
          <w:szCs w:val="20"/>
        </w:rPr>
        <w:t>throughout</w:t>
      </w:r>
      <w:r w:rsidRPr="0092090B">
        <w:rPr>
          <w:rFonts w:ascii="Times New Roman" w:hAnsi="Times New Roman" w:cs="Times New Roman"/>
          <w:color w:val="000000" w:themeColor="text1"/>
          <w:sz w:val="20"/>
          <w:szCs w:val="20"/>
        </w:rPr>
        <w:t xml:space="preserve"> th</w:t>
      </w:r>
      <w:r>
        <w:rPr>
          <w:rFonts w:ascii="Times New Roman" w:hAnsi="Times New Roman" w:cs="Times New Roman"/>
          <w:color w:val="000000" w:themeColor="text1"/>
          <w:sz w:val="20"/>
          <w:szCs w:val="20"/>
        </w:rPr>
        <w:t>is</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systematic</w:t>
      </w:r>
      <w:r w:rsidRPr="0092090B">
        <w:rPr>
          <w:rFonts w:ascii="Times New Roman" w:hAnsi="Times New Roman" w:cs="Times New Roman"/>
          <w:color w:val="000000" w:themeColor="text1"/>
          <w:sz w:val="20"/>
          <w:szCs w:val="20"/>
        </w:rPr>
        <w:t xml:space="preserve"> review.</w:t>
      </w:r>
      <w:r>
        <w:rPr>
          <w:rFonts w:ascii="Times New Roman" w:hAnsi="Times New Roman" w:cs="Times New Roman"/>
          <w:color w:val="000000" w:themeColor="text1"/>
          <w:sz w:val="20"/>
          <w:szCs w:val="20"/>
        </w:rPr>
        <w:t xml:space="preserve"> T</w:t>
      </w:r>
      <w:r w:rsidRPr="0092090B">
        <w:rPr>
          <w:rFonts w:ascii="Times New Roman" w:hAnsi="Times New Roman" w:cs="Times New Roman"/>
          <w:color w:val="000000" w:themeColor="text1"/>
          <w:sz w:val="20"/>
          <w:szCs w:val="20"/>
        </w:rPr>
        <w:t xml:space="preserve">he random-effects model assumes that there is a distribution of </w:t>
      </w:r>
      <w:r>
        <w:rPr>
          <w:rFonts w:ascii="Times New Roman" w:hAnsi="Times New Roman" w:cs="Times New Roman"/>
          <w:color w:val="000000" w:themeColor="text1"/>
          <w:sz w:val="20"/>
          <w:szCs w:val="20"/>
        </w:rPr>
        <w:t>population</w:t>
      </w:r>
      <w:r w:rsidRPr="0092090B">
        <w:rPr>
          <w:rFonts w:ascii="Times New Roman" w:hAnsi="Times New Roman" w:cs="Times New Roman"/>
          <w:color w:val="000000" w:themeColor="text1"/>
          <w:sz w:val="20"/>
          <w:szCs w:val="20"/>
        </w:rPr>
        <w:t xml:space="preserve"> effect sizes</w:t>
      </w:r>
      <w:r>
        <w:rPr>
          <w:rFonts w:ascii="Times New Roman" w:hAnsi="Times New Roman" w:cs="Times New Roman"/>
          <w:color w:val="000000" w:themeColor="text1"/>
          <w:sz w:val="20"/>
          <w:szCs w:val="20"/>
        </w:rPr>
        <w:t xml:space="preserve"> across studies </w:t>
      </w:r>
      <w:r>
        <w:rPr>
          <w:rFonts w:ascii="Times New Roman" w:hAnsi="Times New Roman" w:cs="Times New Roman"/>
          <w:noProof/>
          <w:color w:val="000000" w:themeColor="text1"/>
          <w:sz w:val="20"/>
          <w:szCs w:val="20"/>
        </w:rPr>
        <w:t>[4]</w:t>
      </w:r>
      <w:r>
        <w:rPr>
          <w:rFonts w:ascii="Times New Roman" w:hAnsi="Times New Roman" w:cs="Times New Roman"/>
          <w:color w:val="000000" w:themeColor="text1"/>
          <w:sz w:val="20"/>
          <w:szCs w:val="20"/>
        </w:rPr>
        <w:t>.</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Since </w:t>
      </w:r>
      <w:r w:rsidRPr="0092090B">
        <w:rPr>
          <w:rFonts w:ascii="Times New Roman" w:hAnsi="Times New Roman" w:cs="Times New Roman"/>
          <w:color w:val="000000" w:themeColor="text1"/>
          <w:sz w:val="20"/>
          <w:szCs w:val="20"/>
        </w:rPr>
        <w:t xml:space="preserve">studies </w:t>
      </w:r>
      <w:r>
        <w:rPr>
          <w:rFonts w:ascii="Times New Roman" w:hAnsi="Times New Roman" w:cs="Times New Roman"/>
          <w:color w:val="000000" w:themeColor="text1"/>
          <w:sz w:val="20"/>
          <w:szCs w:val="20"/>
        </w:rPr>
        <w:t xml:space="preserve">included </w:t>
      </w:r>
      <w:r w:rsidRPr="0092090B">
        <w:rPr>
          <w:rFonts w:ascii="Times New Roman" w:hAnsi="Times New Roman" w:cs="Times New Roman"/>
          <w:color w:val="000000" w:themeColor="text1"/>
          <w:sz w:val="20"/>
          <w:szCs w:val="20"/>
        </w:rPr>
        <w:t xml:space="preserve">in </w:t>
      </w:r>
      <w:r>
        <w:rPr>
          <w:rFonts w:ascii="Times New Roman" w:hAnsi="Times New Roman" w:cs="Times New Roman"/>
          <w:color w:val="000000" w:themeColor="text1"/>
          <w:sz w:val="20"/>
          <w:szCs w:val="20"/>
        </w:rPr>
        <w:t>this</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systematic review</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were</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collected</w:t>
      </w:r>
      <w:r w:rsidRPr="0092090B">
        <w:rPr>
          <w:rFonts w:ascii="Times New Roman" w:hAnsi="Times New Roman" w:cs="Times New Roman"/>
          <w:color w:val="000000" w:themeColor="text1"/>
          <w:sz w:val="20"/>
          <w:szCs w:val="20"/>
        </w:rPr>
        <w:t xml:space="preserve"> from published literature</w:t>
      </w:r>
      <w:r>
        <w:rPr>
          <w:rFonts w:ascii="Times New Roman" w:hAnsi="Times New Roman" w:cs="Times New Roman"/>
          <w:color w:val="000000" w:themeColor="text1"/>
          <w:sz w:val="20"/>
          <w:szCs w:val="20"/>
        </w:rPr>
        <w:t>,</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w:t>
      </w:r>
      <w:r w:rsidRPr="0092090B">
        <w:rPr>
          <w:rFonts w:ascii="Times New Roman" w:hAnsi="Times New Roman" w:cs="Times New Roman"/>
          <w:color w:val="000000" w:themeColor="text1"/>
          <w:sz w:val="20"/>
          <w:szCs w:val="20"/>
        </w:rPr>
        <w:t xml:space="preserve">he random-effects </w:t>
      </w:r>
      <w:r>
        <w:rPr>
          <w:rFonts w:ascii="Times New Roman" w:hAnsi="Times New Roman" w:cs="Times New Roman"/>
          <w:color w:val="000000" w:themeColor="text1"/>
          <w:sz w:val="20"/>
          <w:szCs w:val="20"/>
        </w:rPr>
        <w:t>model</w:t>
      </w:r>
      <w:r w:rsidRPr="0092090B">
        <w:rPr>
          <w:rFonts w:ascii="Times New Roman" w:hAnsi="Times New Roman" w:cs="Times New Roman"/>
          <w:color w:val="000000" w:themeColor="text1"/>
          <w:sz w:val="20"/>
          <w:szCs w:val="20"/>
        </w:rPr>
        <w:t xml:space="preserve"> is a more plausible match to the underlying effect distribution </w:t>
      </w:r>
      <w:r>
        <w:rPr>
          <w:rFonts w:ascii="Times New Roman" w:hAnsi="Times New Roman" w:cs="Times New Roman"/>
          <w:color w:val="000000" w:themeColor="text1"/>
          <w:sz w:val="20"/>
          <w:szCs w:val="20"/>
        </w:rPr>
        <w:t>compared to</w:t>
      </w:r>
      <w:r w:rsidRPr="0092090B">
        <w:rPr>
          <w:rFonts w:ascii="Times New Roman" w:hAnsi="Times New Roman" w:cs="Times New Roman"/>
          <w:color w:val="000000" w:themeColor="text1"/>
          <w:sz w:val="20"/>
          <w:szCs w:val="20"/>
        </w:rPr>
        <w:t xml:space="preserve"> the fixed-effect</w:t>
      </w:r>
      <w:r>
        <w:rPr>
          <w:rFonts w:ascii="Times New Roman" w:hAnsi="Times New Roman" w:cs="Times New Roman"/>
          <w:color w:val="000000" w:themeColor="text1"/>
          <w:sz w:val="20"/>
          <w:szCs w:val="20"/>
        </w:rPr>
        <w:t xml:space="preserve"> model </w:t>
      </w:r>
      <w:r>
        <w:rPr>
          <w:rFonts w:ascii="Times New Roman" w:hAnsi="Times New Roman" w:cs="Times New Roman"/>
          <w:noProof/>
          <w:color w:val="000000" w:themeColor="text1"/>
          <w:sz w:val="20"/>
          <w:szCs w:val="20"/>
        </w:rPr>
        <w:t>[5]</w:t>
      </w:r>
      <w:r>
        <w:rPr>
          <w:rFonts w:ascii="Times New Roman" w:hAnsi="Times New Roman" w:cs="Times New Roman"/>
          <w:color w:val="000000" w:themeColor="text1"/>
          <w:sz w:val="20"/>
          <w:szCs w:val="20"/>
        </w:rPr>
        <w:t>.</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Of note, </w:t>
      </w:r>
      <w:r w:rsidRPr="0092090B">
        <w:rPr>
          <w:rFonts w:ascii="Times New Roman" w:hAnsi="Times New Roman" w:cs="Times New Roman"/>
          <w:color w:val="000000" w:themeColor="text1"/>
          <w:sz w:val="20"/>
          <w:szCs w:val="20"/>
        </w:rPr>
        <w:t xml:space="preserve">the summary effect </w:t>
      </w:r>
      <w:r>
        <w:rPr>
          <w:rFonts w:ascii="Times New Roman" w:hAnsi="Times New Roman" w:cs="Times New Roman"/>
          <w:color w:val="000000" w:themeColor="text1"/>
          <w:sz w:val="20"/>
          <w:szCs w:val="20"/>
        </w:rPr>
        <w:t>u</w:t>
      </w:r>
      <w:r w:rsidRPr="0092090B">
        <w:rPr>
          <w:rFonts w:ascii="Times New Roman" w:hAnsi="Times New Roman" w:cs="Times New Roman"/>
          <w:color w:val="000000" w:themeColor="text1"/>
          <w:sz w:val="20"/>
          <w:szCs w:val="20"/>
        </w:rPr>
        <w:t xml:space="preserve">nder the random-effects </w:t>
      </w:r>
      <w:r>
        <w:rPr>
          <w:rFonts w:ascii="Times New Roman" w:hAnsi="Times New Roman" w:cs="Times New Roman"/>
          <w:color w:val="000000" w:themeColor="text1"/>
          <w:sz w:val="20"/>
          <w:szCs w:val="20"/>
        </w:rPr>
        <w:t xml:space="preserve">model </w:t>
      </w:r>
      <w:r w:rsidRPr="0092090B">
        <w:rPr>
          <w:rFonts w:ascii="Times New Roman" w:hAnsi="Times New Roman" w:cs="Times New Roman"/>
          <w:color w:val="000000" w:themeColor="text1"/>
          <w:sz w:val="20"/>
          <w:szCs w:val="20"/>
        </w:rPr>
        <w:t>is an estimate of the</w:t>
      </w:r>
      <w:r w:rsidRPr="0092090B">
        <w:rPr>
          <w:rFonts w:ascii="Times New Roman" w:hAnsi="Times New Roman" w:cs="Times New Roman"/>
          <w:b/>
          <w:bCs/>
          <w:color w:val="000000" w:themeColor="text1"/>
          <w:sz w:val="20"/>
          <w:szCs w:val="20"/>
        </w:rPr>
        <w:t xml:space="preserve"> </w:t>
      </w:r>
      <w:r w:rsidRPr="00CF28ED">
        <w:rPr>
          <w:rFonts w:ascii="Times New Roman" w:hAnsi="Times New Roman" w:cs="Times New Roman"/>
          <w:color w:val="000000" w:themeColor="text1"/>
          <w:sz w:val="20"/>
          <w:szCs w:val="20"/>
        </w:rPr>
        <w:t>mean</w:t>
      </w:r>
      <w:r w:rsidRPr="0092090B">
        <w:rPr>
          <w:rFonts w:ascii="Times New Roman" w:hAnsi="Times New Roman" w:cs="Times New Roman"/>
          <w:b/>
          <w:bCs/>
          <w:color w:val="000000" w:themeColor="text1"/>
          <w:sz w:val="20"/>
          <w:szCs w:val="20"/>
        </w:rPr>
        <w:t xml:space="preserve"> </w:t>
      </w:r>
      <w:r w:rsidRPr="0092090B">
        <w:rPr>
          <w:rFonts w:ascii="Times New Roman" w:hAnsi="Times New Roman" w:cs="Times New Roman"/>
          <w:color w:val="000000" w:themeColor="text1"/>
          <w:sz w:val="20"/>
          <w:szCs w:val="20"/>
        </w:rPr>
        <w:t xml:space="preserve">of a distribution of </w:t>
      </w:r>
      <w:r>
        <w:rPr>
          <w:rFonts w:ascii="Times New Roman" w:hAnsi="Times New Roman" w:cs="Times New Roman"/>
          <w:color w:val="000000" w:themeColor="text1"/>
          <w:sz w:val="20"/>
          <w:szCs w:val="20"/>
        </w:rPr>
        <w:t>population</w:t>
      </w:r>
      <w:r w:rsidRPr="0092090B">
        <w:rPr>
          <w:rFonts w:ascii="Times New Roman" w:hAnsi="Times New Roman" w:cs="Times New Roman"/>
          <w:color w:val="000000" w:themeColor="text1"/>
          <w:sz w:val="20"/>
          <w:szCs w:val="20"/>
        </w:rPr>
        <w:t xml:space="preserve"> effects</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[5]</w:t>
      </w:r>
      <w:r>
        <w:rPr>
          <w:rFonts w:ascii="Times New Roman" w:hAnsi="Times New Roman" w:cs="Times New Roman"/>
          <w:color w:val="000000" w:themeColor="text1"/>
          <w:sz w:val="20"/>
          <w:szCs w:val="20"/>
        </w:rPr>
        <w:t>.</w:t>
      </w:r>
    </w:p>
    <w:p w14:paraId="346B01F5" w14:textId="77777777" w:rsidR="000709F6" w:rsidRPr="0092090B" w:rsidRDefault="000709F6" w:rsidP="0092090B">
      <w:pPr>
        <w:pStyle w:val="ListParagraph"/>
        <w:spacing w:after="20" w:line="240" w:lineRule="auto"/>
        <w:ind w:left="360"/>
        <w:rPr>
          <w:rFonts w:ascii="Times New Roman" w:hAnsi="Times New Roman" w:cs="Times New Roman"/>
          <w:color w:val="000000" w:themeColor="text1"/>
          <w:sz w:val="20"/>
          <w:szCs w:val="20"/>
        </w:rPr>
      </w:pPr>
    </w:p>
    <w:p w14:paraId="0836E65B" w14:textId="77777777" w:rsidR="000709F6" w:rsidRPr="0092090B" w:rsidRDefault="000709F6" w:rsidP="0092090B">
      <w:pPr>
        <w:pStyle w:val="ListParagraph"/>
        <w:spacing w:after="20" w:line="240" w:lineRule="auto"/>
        <w:ind w:left="360"/>
        <w:rPr>
          <w:rFonts w:ascii="Times New Roman" w:hAnsi="Times New Roman" w:cs="Times New Roman"/>
          <w:color w:val="000000" w:themeColor="text1"/>
          <w:sz w:val="20"/>
          <w:szCs w:val="20"/>
        </w:rPr>
      </w:pPr>
      <w:r w:rsidRPr="0092090B">
        <w:rPr>
          <w:rFonts w:ascii="Times New Roman" w:hAnsi="Times New Roman" w:cs="Times New Roman"/>
          <w:color w:val="000000" w:themeColor="text1"/>
          <w:sz w:val="20"/>
          <w:szCs w:val="20"/>
        </w:rPr>
        <w:t xml:space="preserve">We </w:t>
      </w:r>
      <w:r>
        <w:rPr>
          <w:rFonts w:ascii="Times New Roman" w:hAnsi="Times New Roman" w:cs="Times New Roman"/>
          <w:color w:val="000000" w:themeColor="text1"/>
          <w:sz w:val="20"/>
          <w:szCs w:val="20"/>
        </w:rPr>
        <w:t>will use</w:t>
      </w:r>
      <w:r w:rsidRPr="0092090B">
        <w:rPr>
          <w:rFonts w:ascii="Times New Roman" w:hAnsi="Times New Roman" w:cs="Times New Roman"/>
          <w:color w:val="000000" w:themeColor="text1"/>
          <w:sz w:val="20"/>
          <w:szCs w:val="20"/>
        </w:rPr>
        <w:t xml:space="preserve"> the robust variance estimation (RVE) method</w:t>
      </w:r>
      <w:r>
        <w:rPr>
          <w:rFonts w:ascii="Times New Roman" w:hAnsi="Times New Roman" w:cs="Times New Roman"/>
          <w:color w:val="000000" w:themeColor="text1"/>
          <w:sz w:val="20"/>
          <w:szCs w:val="20"/>
        </w:rPr>
        <w:t xml:space="preserve"> </w:t>
      </w:r>
      <w:r w:rsidRPr="0092090B">
        <w:rPr>
          <w:rFonts w:ascii="Times New Roman" w:hAnsi="Times New Roman" w:cs="Times New Roman"/>
          <w:color w:val="000000" w:themeColor="text1"/>
          <w:sz w:val="20"/>
          <w:szCs w:val="20"/>
        </w:rPr>
        <w:t>with random-effects weights for meta-analysis</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[6,7]</w:t>
      </w:r>
      <w:r>
        <w:rPr>
          <w:rFonts w:ascii="Times New Roman" w:hAnsi="Times New Roman" w:cs="Times New Roman"/>
          <w:color w:val="000000" w:themeColor="text1"/>
          <w:sz w:val="20"/>
          <w:szCs w:val="20"/>
        </w:rPr>
        <w:t xml:space="preserve">. </w:t>
      </w:r>
      <w:r w:rsidRPr="0092090B">
        <w:rPr>
          <w:rFonts w:ascii="Times New Roman" w:hAnsi="Times New Roman" w:cs="Times New Roman"/>
          <w:color w:val="000000" w:themeColor="text1"/>
          <w:sz w:val="20"/>
          <w:szCs w:val="20"/>
        </w:rPr>
        <w:t xml:space="preserve">Compared </w:t>
      </w:r>
      <w:r>
        <w:rPr>
          <w:rFonts w:ascii="Times New Roman" w:hAnsi="Times New Roman" w:cs="Times New Roman"/>
          <w:color w:val="000000" w:themeColor="text1"/>
          <w:sz w:val="20"/>
          <w:szCs w:val="20"/>
        </w:rPr>
        <w:t>with</w:t>
      </w:r>
      <w:r w:rsidRPr="0092090B">
        <w:rPr>
          <w:rFonts w:ascii="Times New Roman" w:hAnsi="Times New Roman" w:cs="Times New Roman"/>
          <w:color w:val="000000" w:themeColor="text1"/>
          <w:sz w:val="20"/>
          <w:szCs w:val="20"/>
        </w:rPr>
        <w:t xml:space="preserve"> the conventional random-effects model with a normality assumption</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[4]</w:t>
      </w:r>
      <w:r>
        <w:rPr>
          <w:rFonts w:ascii="Times New Roman" w:hAnsi="Times New Roman" w:cs="Times New Roman"/>
          <w:color w:val="000000" w:themeColor="text1"/>
          <w:sz w:val="20"/>
          <w:szCs w:val="20"/>
        </w:rPr>
        <w:t>,</w:t>
      </w:r>
      <w:r w:rsidRPr="0092090B">
        <w:rPr>
          <w:rFonts w:ascii="Times New Roman" w:hAnsi="Times New Roman" w:cs="Times New Roman"/>
          <w:color w:val="000000" w:themeColor="text1"/>
          <w:sz w:val="20"/>
          <w:szCs w:val="20"/>
        </w:rPr>
        <w:t xml:space="preserve"> the RVE method has the following advantages:</w:t>
      </w:r>
    </w:p>
    <w:p w14:paraId="3D2FD613" w14:textId="77777777" w:rsidR="000709F6" w:rsidRPr="0092090B" w:rsidRDefault="000709F6" w:rsidP="0092090B">
      <w:pPr>
        <w:pStyle w:val="ListParagraph"/>
        <w:spacing w:after="20" w:line="240" w:lineRule="auto"/>
        <w:ind w:left="360"/>
        <w:rPr>
          <w:rFonts w:ascii="Times New Roman" w:hAnsi="Times New Roman" w:cs="Times New Roman"/>
          <w:b/>
          <w:bCs/>
          <w:color w:val="000000" w:themeColor="text1"/>
          <w:sz w:val="20"/>
          <w:szCs w:val="20"/>
        </w:rPr>
      </w:pPr>
    </w:p>
    <w:p w14:paraId="6F346666" w14:textId="77777777" w:rsidR="000709F6" w:rsidRPr="0092090B" w:rsidRDefault="000709F6" w:rsidP="0092090B">
      <w:pPr>
        <w:pStyle w:val="ListParagraph"/>
        <w:numPr>
          <w:ilvl w:val="0"/>
          <w:numId w:val="13"/>
        </w:numPr>
        <w:spacing w:after="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It</w:t>
      </w:r>
      <w:r w:rsidRPr="009209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imposes</w:t>
      </w:r>
      <w:r w:rsidRPr="0092090B">
        <w:rPr>
          <w:rFonts w:ascii="Times New Roman" w:hAnsi="Times New Roman" w:cs="Times New Roman"/>
          <w:color w:val="000000" w:themeColor="text1"/>
          <w:sz w:val="20"/>
          <w:szCs w:val="20"/>
        </w:rPr>
        <w:t xml:space="preserve"> no distributional assumptions on the population effects.</w:t>
      </w:r>
    </w:p>
    <w:p w14:paraId="48494C8B" w14:textId="77777777" w:rsidR="000709F6" w:rsidRPr="0092090B" w:rsidRDefault="000709F6" w:rsidP="0092090B">
      <w:pPr>
        <w:pStyle w:val="ListParagraph"/>
        <w:numPr>
          <w:ilvl w:val="0"/>
          <w:numId w:val="13"/>
        </w:numPr>
        <w:spacing w:after="20" w:line="240" w:lineRule="auto"/>
        <w:rPr>
          <w:rFonts w:ascii="Times New Roman" w:hAnsi="Times New Roman" w:cs="Times New Roman"/>
          <w:color w:val="000000" w:themeColor="text1"/>
          <w:sz w:val="20"/>
          <w:szCs w:val="20"/>
        </w:rPr>
      </w:pPr>
      <w:r w:rsidRPr="0092090B">
        <w:rPr>
          <w:rFonts w:ascii="Times New Roman" w:hAnsi="Times New Roman" w:cs="Times New Roman"/>
          <w:color w:val="000000" w:themeColor="text1"/>
          <w:sz w:val="20"/>
          <w:szCs w:val="20"/>
        </w:rPr>
        <w:t>With small-sample adjustments</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[8]</w:t>
      </w:r>
      <w:r>
        <w:rPr>
          <w:rFonts w:ascii="Times New Roman" w:hAnsi="Times New Roman" w:cs="Times New Roman"/>
          <w:color w:val="000000" w:themeColor="text1"/>
          <w:sz w:val="20"/>
          <w:szCs w:val="20"/>
        </w:rPr>
        <w:t>, RVE method</w:t>
      </w:r>
      <w:r w:rsidRPr="0092090B">
        <w:rPr>
          <w:rFonts w:ascii="Times New Roman" w:hAnsi="Times New Roman" w:cs="Times New Roman"/>
          <w:color w:val="000000" w:themeColor="text1"/>
          <w:sz w:val="20"/>
          <w:szCs w:val="20"/>
        </w:rPr>
        <w:t xml:space="preserve"> can</w:t>
      </w:r>
      <w:r>
        <w:rPr>
          <w:rFonts w:ascii="Times New Roman" w:hAnsi="Times New Roman" w:cs="Times New Roman"/>
          <w:color w:val="000000" w:themeColor="text1"/>
          <w:sz w:val="20"/>
          <w:szCs w:val="20"/>
        </w:rPr>
        <w:t xml:space="preserve"> be effectively used to make inferences even </w:t>
      </w:r>
      <w:r w:rsidRPr="0092090B">
        <w:rPr>
          <w:rFonts w:ascii="Times New Roman" w:hAnsi="Times New Roman" w:cs="Times New Roman"/>
          <w:color w:val="000000" w:themeColor="text1"/>
          <w:sz w:val="20"/>
          <w:szCs w:val="20"/>
        </w:rPr>
        <w:t>in meta-analyses with a small number of studies.</w:t>
      </w:r>
    </w:p>
    <w:p w14:paraId="3F0A4324" w14:textId="77777777" w:rsidR="000709F6" w:rsidRPr="0092090B" w:rsidRDefault="000709F6" w:rsidP="0092090B">
      <w:pPr>
        <w:pStyle w:val="ListParagraph"/>
        <w:numPr>
          <w:ilvl w:val="0"/>
          <w:numId w:val="13"/>
        </w:numPr>
        <w:spacing w:after="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RVE method</w:t>
      </w:r>
      <w:r w:rsidRPr="0092090B">
        <w:rPr>
          <w:rFonts w:ascii="Times New Roman" w:hAnsi="Times New Roman" w:cs="Times New Roman"/>
          <w:color w:val="000000" w:themeColor="text1"/>
          <w:sz w:val="20"/>
          <w:szCs w:val="20"/>
        </w:rPr>
        <w:t xml:space="preserve"> can accommodate dependence among </w:t>
      </w:r>
      <w:r>
        <w:rPr>
          <w:rFonts w:ascii="Times New Roman" w:hAnsi="Times New Roman" w:cs="Times New Roman"/>
          <w:color w:val="000000" w:themeColor="text1"/>
          <w:sz w:val="20"/>
          <w:szCs w:val="20"/>
        </w:rPr>
        <w:t>effect</w:t>
      </w:r>
      <w:r w:rsidRPr="0092090B">
        <w:rPr>
          <w:rFonts w:ascii="Times New Roman" w:hAnsi="Times New Roman" w:cs="Times New Roman"/>
          <w:color w:val="000000" w:themeColor="text1"/>
          <w:sz w:val="20"/>
          <w:szCs w:val="20"/>
        </w:rPr>
        <w:t xml:space="preserve"> estimates</w:t>
      </w:r>
      <w:r>
        <w:rPr>
          <w:rFonts w:ascii="Times New Roman" w:hAnsi="Times New Roman" w:cs="Times New Roman"/>
          <w:color w:val="000000" w:themeColor="text1"/>
          <w:sz w:val="20"/>
          <w:szCs w:val="20"/>
        </w:rPr>
        <w:t xml:space="preserve"> (e.g., multiple estimates based on the same individuals at different time points, multiple estimates computed using a common control group)</w:t>
      </w:r>
      <w:r w:rsidRPr="0092090B">
        <w:rPr>
          <w:rFonts w:ascii="Times New Roman" w:hAnsi="Times New Roman" w:cs="Times New Roman"/>
          <w:color w:val="000000" w:themeColor="text1"/>
          <w:sz w:val="20"/>
          <w:szCs w:val="20"/>
        </w:rPr>
        <w:t xml:space="preserve">, without requiring knowledge of the </w:t>
      </w:r>
      <w:r>
        <w:rPr>
          <w:rFonts w:ascii="Times New Roman" w:hAnsi="Times New Roman" w:cs="Times New Roman"/>
          <w:color w:val="000000" w:themeColor="text1"/>
          <w:sz w:val="20"/>
          <w:szCs w:val="20"/>
        </w:rPr>
        <w:t>dependence structure</w:t>
      </w:r>
      <w:r w:rsidRPr="0092090B">
        <w:rPr>
          <w:rFonts w:ascii="Times New Roman" w:hAnsi="Times New Roman" w:cs="Times New Roman"/>
          <w:color w:val="000000" w:themeColor="text1"/>
          <w:sz w:val="20"/>
          <w:szCs w:val="20"/>
        </w:rPr>
        <w:t>.</w:t>
      </w:r>
    </w:p>
    <w:p w14:paraId="07BEA355" w14:textId="77777777" w:rsidR="000709F6" w:rsidRPr="0092090B" w:rsidRDefault="000709F6" w:rsidP="0092090B">
      <w:pPr>
        <w:pStyle w:val="ListParagraph"/>
        <w:spacing w:after="20" w:line="240" w:lineRule="auto"/>
        <w:ind w:left="360"/>
        <w:rPr>
          <w:rFonts w:ascii="Times New Roman" w:eastAsia="Microsoft YaHei" w:hAnsi="Times New Roman" w:cs="Times New Roman"/>
          <w:color w:val="000000" w:themeColor="text1"/>
          <w:sz w:val="20"/>
          <w:szCs w:val="20"/>
          <w:lang w:eastAsia="zh-CN"/>
        </w:rPr>
      </w:pPr>
    </w:p>
    <w:p w14:paraId="378CB2E5" w14:textId="77777777" w:rsidR="000709F6" w:rsidRPr="0092090B" w:rsidRDefault="000709F6" w:rsidP="0092090B">
      <w:pPr>
        <w:pStyle w:val="ListParagraph"/>
        <w:numPr>
          <w:ilvl w:val="0"/>
          <w:numId w:val="9"/>
        </w:numPr>
        <w:spacing w:after="20" w:line="240" w:lineRule="auto"/>
        <w:rPr>
          <w:rFonts w:ascii="Times New Roman" w:eastAsia="Microsoft YaHei" w:hAnsi="Times New Roman" w:cs="Times New Roman"/>
          <w:b/>
          <w:bCs/>
          <w:color w:val="000000" w:themeColor="text1"/>
          <w:sz w:val="20"/>
          <w:szCs w:val="20"/>
          <w:lang w:eastAsia="zh-CN"/>
        </w:rPr>
      </w:pPr>
      <w:r>
        <w:rPr>
          <w:rFonts w:ascii="Times New Roman" w:eastAsia="Microsoft YaHei" w:hAnsi="Times New Roman" w:cs="Times New Roman"/>
          <w:b/>
          <w:bCs/>
          <w:color w:val="000000" w:themeColor="text1"/>
          <w:sz w:val="20"/>
          <w:szCs w:val="20"/>
          <w:lang w:eastAsia="zh-CN"/>
        </w:rPr>
        <w:t>Predictive distribution</w:t>
      </w:r>
    </w:p>
    <w:p w14:paraId="2BB7CBD1" w14:textId="77777777" w:rsidR="000709F6" w:rsidRPr="003837AB" w:rsidRDefault="000709F6" w:rsidP="003837AB">
      <w:pPr>
        <w:pStyle w:val="ListParagraph"/>
        <w:spacing w:after="20" w:line="240" w:lineRule="auto"/>
        <w:ind w:left="360"/>
        <w:rPr>
          <w:rFonts w:ascii="Times New Roman" w:hAnsi="Times New Roman" w:cs="Times New Roman"/>
          <w:color w:val="000000" w:themeColor="text1"/>
          <w:sz w:val="20"/>
          <w:szCs w:val="20"/>
        </w:rPr>
      </w:pPr>
      <w:r w:rsidRPr="00E66DEE">
        <w:rPr>
          <w:rFonts w:ascii="Times New Roman" w:hAnsi="Times New Roman" w:cs="Times New Roman"/>
          <w:color w:val="000000" w:themeColor="text1"/>
          <w:sz w:val="20"/>
          <w:szCs w:val="20"/>
        </w:rPr>
        <w:t xml:space="preserve">In presence of effect heterogeneity, the random-effects summary estimate and its confidence interval are usually insufficient to summarize the whole body of evidence, because they only represent an estimate of the </w:t>
      </w:r>
      <w:r>
        <w:rPr>
          <w:rFonts w:ascii="Times New Roman" w:hAnsi="Times New Roman" w:cs="Times New Roman"/>
          <w:color w:val="000000" w:themeColor="text1"/>
          <w:sz w:val="20"/>
          <w:szCs w:val="20"/>
        </w:rPr>
        <w:t>mean</w:t>
      </w:r>
      <w:r w:rsidRPr="00E66DEE">
        <w:rPr>
          <w:rFonts w:ascii="Times New Roman" w:hAnsi="Times New Roman" w:cs="Times New Roman"/>
          <w:color w:val="000000" w:themeColor="text1"/>
          <w:sz w:val="20"/>
          <w:szCs w:val="20"/>
        </w:rPr>
        <w:t xml:space="preserve"> effect and its precision</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[4]</w:t>
      </w:r>
      <w:r>
        <w:rPr>
          <w:rFonts w:ascii="Times New Roman" w:hAnsi="Times New Roman" w:cs="Times New Roman"/>
          <w:color w:val="000000" w:themeColor="text1"/>
          <w:sz w:val="20"/>
          <w:szCs w:val="20"/>
        </w:rPr>
        <w:t>.</w:t>
      </w:r>
      <w:r w:rsidRPr="00E66DEE">
        <w:rPr>
          <w:rFonts w:ascii="Times New Roman" w:hAnsi="Times New Roman" w:cs="Times New Roman"/>
          <w:color w:val="000000" w:themeColor="text1"/>
          <w:sz w:val="20"/>
          <w:szCs w:val="20"/>
        </w:rPr>
        <w:t xml:space="preserve"> </w:t>
      </w:r>
      <w:r w:rsidRPr="003837AB">
        <w:rPr>
          <w:rFonts w:ascii="Times New Roman" w:hAnsi="Times New Roman" w:cs="Times New Roman"/>
          <w:color w:val="000000" w:themeColor="text1"/>
          <w:sz w:val="20"/>
          <w:szCs w:val="20"/>
        </w:rPr>
        <w:t>The</w:t>
      </w:r>
      <w:r w:rsidRPr="003837AB">
        <w:rPr>
          <w:rFonts w:ascii="Times New Roman" w:hAnsi="Times New Roman" w:cs="Times New Roman"/>
          <w:b/>
          <w:bCs/>
          <w:color w:val="000000" w:themeColor="text1"/>
          <w:sz w:val="20"/>
          <w:szCs w:val="20"/>
        </w:rPr>
        <w:t xml:space="preserve"> </w:t>
      </w:r>
      <w:r w:rsidRPr="003837AB">
        <w:rPr>
          <w:rFonts w:ascii="Times New Roman" w:hAnsi="Times New Roman" w:cs="Times New Roman"/>
          <w:color w:val="000000" w:themeColor="text1"/>
          <w:sz w:val="20"/>
          <w:szCs w:val="20"/>
        </w:rPr>
        <w:t>predictive distribution</w:t>
      </w:r>
      <w:r>
        <w:rPr>
          <w:rFonts w:ascii="Times New Roman" w:hAnsi="Times New Roman" w:cs="Times New Roman"/>
          <w:color w:val="000000" w:themeColor="text1"/>
          <w:sz w:val="20"/>
          <w:szCs w:val="20"/>
        </w:rPr>
        <w:t xml:space="preserve"> can </w:t>
      </w:r>
      <w:r w:rsidRPr="003837AB">
        <w:rPr>
          <w:rFonts w:ascii="Times New Roman" w:hAnsi="Times New Roman" w:cs="Times New Roman"/>
          <w:color w:val="000000" w:themeColor="text1"/>
          <w:sz w:val="20"/>
          <w:szCs w:val="20"/>
        </w:rPr>
        <w:t xml:space="preserve">describe how the </w:t>
      </w:r>
      <w:r>
        <w:rPr>
          <w:rFonts w:ascii="Times New Roman" w:hAnsi="Times New Roman" w:cs="Times New Roman"/>
          <w:color w:val="000000" w:themeColor="text1"/>
          <w:sz w:val="20"/>
          <w:szCs w:val="20"/>
        </w:rPr>
        <w:t>population</w:t>
      </w:r>
      <w:r w:rsidRPr="003837AB">
        <w:rPr>
          <w:rFonts w:ascii="Times New Roman" w:hAnsi="Times New Roman" w:cs="Times New Roman"/>
          <w:color w:val="000000" w:themeColor="text1"/>
          <w:sz w:val="20"/>
          <w:szCs w:val="20"/>
        </w:rPr>
        <w:t xml:space="preserve"> effect</w:t>
      </w:r>
      <w:r>
        <w:rPr>
          <w:rFonts w:ascii="Times New Roman" w:hAnsi="Times New Roman" w:cs="Times New Roman"/>
          <w:color w:val="000000" w:themeColor="text1"/>
          <w:sz w:val="20"/>
          <w:szCs w:val="20"/>
        </w:rPr>
        <w:t xml:space="preserve"> sizes</w:t>
      </w:r>
      <w:r w:rsidRPr="003837AB">
        <w:rPr>
          <w:rFonts w:ascii="Times New Roman" w:hAnsi="Times New Roman" w:cs="Times New Roman"/>
          <w:color w:val="000000" w:themeColor="text1"/>
          <w:sz w:val="20"/>
          <w:szCs w:val="20"/>
        </w:rPr>
        <w:t xml:space="preserve"> are distributed around the </w:t>
      </w:r>
      <w:r>
        <w:rPr>
          <w:rFonts w:ascii="Times New Roman" w:hAnsi="Times New Roman" w:cs="Times New Roman"/>
          <w:color w:val="000000" w:themeColor="text1"/>
          <w:sz w:val="20"/>
          <w:szCs w:val="20"/>
        </w:rPr>
        <w:t>mean</w:t>
      </w:r>
      <w:r w:rsidRPr="003837AB">
        <w:rPr>
          <w:rFonts w:ascii="Times New Roman" w:hAnsi="Times New Roman" w:cs="Times New Roman"/>
          <w:color w:val="000000" w:themeColor="text1"/>
          <w:sz w:val="20"/>
          <w:szCs w:val="20"/>
        </w:rPr>
        <w:t xml:space="preserve"> effect</w:t>
      </w:r>
      <w:r>
        <w:rPr>
          <w:rFonts w:ascii="Times New Roman" w:hAnsi="Times New Roman" w:cs="Times New Roman"/>
          <w:color w:val="000000" w:themeColor="text1"/>
          <w:sz w:val="20"/>
          <w:szCs w:val="20"/>
        </w:rPr>
        <w:t xml:space="preserve"> size </w:t>
      </w:r>
      <w:r>
        <w:rPr>
          <w:rFonts w:ascii="Times New Roman" w:hAnsi="Times New Roman" w:cs="Times New Roman"/>
          <w:noProof/>
          <w:color w:val="000000" w:themeColor="text1"/>
          <w:sz w:val="20"/>
          <w:szCs w:val="20"/>
        </w:rPr>
        <w:t>[4]</w:t>
      </w:r>
      <w:r>
        <w:rPr>
          <w:rFonts w:ascii="Times New Roman" w:hAnsi="Times New Roman" w:cs="Times New Roman"/>
          <w:color w:val="000000" w:themeColor="text1"/>
          <w:sz w:val="20"/>
          <w:szCs w:val="20"/>
        </w:rPr>
        <w:t>.</w:t>
      </w:r>
      <w:r w:rsidRPr="003837A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We plan to </w:t>
      </w:r>
      <w:r w:rsidRPr="003837AB">
        <w:rPr>
          <w:rFonts w:ascii="Times New Roman" w:hAnsi="Times New Roman" w:cs="Times New Roman"/>
          <w:color w:val="000000" w:themeColor="text1"/>
          <w:sz w:val="20"/>
          <w:szCs w:val="20"/>
        </w:rPr>
        <w:t xml:space="preserve">characterize this </w:t>
      </w:r>
      <w:r>
        <w:rPr>
          <w:rFonts w:ascii="Times New Roman" w:hAnsi="Times New Roman" w:cs="Times New Roman"/>
          <w:color w:val="000000" w:themeColor="text1"/>
          <w:sz w:val="20"/>
          <w:szCs w:val="20"/>
        </w:rPr>
        <w:t>effect</w:t>
      </w:r>
      <w:r w:rsidRPr="003837AB">
        <w:rPr>
          <w:rFonts w:ascii="Times New Roman" w:hAnsi="Times New Roman" w:cs="Times New Roman"/>
          <w:color w:val="000000" w:themeColor="text1"/>
          <w:sz w:val="20"/>
          <w:szCs w:val="20"/>
        </w:rPr>
        <w:t xml:space="preserve"> distribution by using three recently proposed metrics (see below)</w:t>
      </w:r>
      <w:r>
        <w:rPr>
          <w:rFonts w:ascii="Times New Roman" w:hAnsi="Times New Roman" w:cs="Times New Roman"/>
          <w:color w:val="000000" w:themeColor="text1"/>
          <w:sz w:val="20"/>
          <w:szCs w:val="20"/>
        </w:rPr>
        <w:t>, i</w:t>
      </w:r>
      <w:r w:rsidRPr="003837AB">
        <w:rPr>
          <w:rFonts w:ascii="Times New Roman" w:hAnsi="Times New Roman" w:cs="Times New Roman"/>
          <w:color w:val="000000" w:themeColor="text1"/>
          <w:sz w:val="20"/>
          <w:szCs w:val="20"/>
        </w:rPr>
        <w:t>n addition to the heterogeneity estimate. These new metrics use “calibrated” estimates</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[9]</w:t>
      </w:r>
      <w:r w:rsidRPr="003837AB">
        <w:rPr>
          <w:rFonts w:ascii="Times New Roman" w:hAnsi="Times New Roman" w:cs="Times New Roman"/>
          <w:color w:val="000000" w:themeColor="text1"/>
          <w:sz w:val="20"/>
          <w:szCs w:val="20"/>
        </w:rPr>
        <w:t xml:space="preserve"> without </w:t>
      </w:r>
      <w:r>
        <w:rPr>
          <w:rFonts w:ascii="Times New Roman" w:hAnsi="Times New Roman" w:cs="Times New Roman"/>
          <w:color w:val="000000" w:themeColor="text1"/>
          <w:sz w:val="20"/>
          <w:szCs w:val="20"/>
        </w:rPr>
        <w:t>making</w:t>
      </w:r>
      <w:r w:rsidRPr="003837AB">
        <w:rPr>
          <w:rFonts w:ascii="Times New Roman" w:hAnsi="Times New Roman" w:cs="Times New Roman"/>
          <w:color w:val="000000" w:themeColor="text1"/>
          <w:sz w:val="20"/>
          <w:szCs w:val="20"/>
        </w:rPr>
        <w:t xml:space="preserve"> any distributional assumptions. Based on simulation results</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[10]</w:t>
      </w:r>
      <w:r>
        <w:rPr>
          <w:rFonts w:ascii="Times New Roman" w:hAnsi="Times New Roman" w:cs="Times New Roman"/>
          <w:color w:val="000000" w:themeColor="text1"/>
          <w:sz w:val="20"/>
          <w:szCs w:val="20"/>
        </w:rPr>
        <w:t>,</w:t>
      </w:r>
      <w:r w:rsidRPr="003837AB">
        <w:rPr>
          <w:rFonts w:ascii="Times New Roman" w:hAnsi="Times New Roman" w:cs="Times New Roman"/>
          <w:color w:val="000000" w:themeColor="text1"/>
          <w:sz w:val="20"/>
          <w:szCs w:val="20"/>
        </w:rPr>
        <w:t xml:space="preserve"> they are recommended for use in meta-analyses of </w:t>
      </w:r>
      <m:oMath>
        <m:r>
          <w:rPr>
            <w:rFonts w:ascii="Cambria Math" w:hAnsi="Cambria Math" w:cs="Times New Roman"/>
            <w:color w:val="000000" w:themeColor="text1"/>
            <w:sz w:val="20"/>
            <w:szCs w:val="20"/>
          </w:rPr>
          <m:t>≥</m:t>
        </m:r>
      </m:oMath>
      <w:r w:rsidRPr="003837AB">
        <w:rPr>
          <w:rFonts w:ascii="Times New Roman" w:eastAsiaTheme="minorEastAsia" w:hAnsi="Times New Roman" w:cs="Times New Roman"/>
          <w:color w:val="000000" w:themeColor="text1"/>
          <w:sz w:val="20"/>
          <w:szCs w:val="20"/>
        </w:rPr>
        <w:t xml:space="preserve"> 10 studies.</w:t>
      </w:r>
    </w:p>
    <w:p w14:paraId="4512D57C" w14:textId="77777777" w:rsidR="000709F6" w:rsidRPr="0092090B" w:rsidRDefault="000709F6" w:rsidP="0092090B">
      <w:pPr>
        <w:pStyle w:val="ListParagraph"/>
        <w:spacing w:after="20" w:line="240" w:lineRule="auto"/>
        <w:ind w:left="360"/>
        <w:rPr>
          <w:rFonts w:ascii="Times New Roman" w:hAnsi="Times New Roman" w:cs="Times New Roman"/>
          <w:color w:val="000000" w:themeColor="text1"/>
          <w:sz w:val="20"/>
          <w:szCs w:val="20"/>
        </w:rPr>
      </w:pPr>
    </w:p>
    <w:p w14:paraId="7E94D79A" w14:textId="77777777" w:rsidR="000709F6" w:rsidRPr="0092090B" w:rsidRDefault="000709F6" w:rsidP="0092090B">
      <w:pPr>
        <w:pStyle w:val="ListParagraph"/>
        <w:numPr>
          <w:ilvl w:val="1"/>
          <w:numId w:val="14"/>
        </w:numPr>
        <w:spacing w:after="20" w:line="240" w:lineRule="auto"/>
        <w:rPr>
          <w:rFonts w:ascii="Times New Roman" w:eastAsia="Microsoft YaHei" w:hAnsi="Times New Roman" w:cs="Times New Roman"/>
          <w:color w:val="000000" w:themeColor="text1"/>
          <w:sz w:val="20"/>
          <w:szCs w:val="20"/>
          <w:lang w:eastAsia="zh-CN"/>
        </w:rPr>
      </w:pPr>
      <w:r w:rsidRPr="0092090B">
        <w:rPr>
          <w:rFonts w:ascii="Times New Roman" w:eastAsiaTheme="minorEastAsia" w:hAnsi="Times New Roman" w:cs="Times New Roman"/>
          <w:b/>
          <w:bCs/>
          <w:color w:val="000000" w:themeColor="text1"/>
          <w:sz w:val="20"/>
          <w:szCs w:val="20"/>
        </w:rPr>
        <w:t>Tau (</w:t>
      </w:r>
      <m:oMath>
        <m:r>
          <m:rPr>
            <m:sty m:val="bi"/>
          </m:rPr>
          <w:rPr>
            <w:rFonts w:ascii="Cambria Math" w:eastAsiaTheme="minorEastAsia" w:hAnsi="Cambria Math" w:cs="Times New Roman"/>
            <w:color w:val="000000" w:themeColor="text1"/>
            <w:sz w:val="20"/>
            <w:szCs w:val="20"/>
          </w:rPr>
          <m:t>T</m:t>
        </m:r>
      </m:oMath>
      <w:r w:rsidRPr="0092090B">
        <w:rPr>
          <w:rFonts w:ascii="Times New Roman" w:eastAsiaTheme="minorEastAsia" w:hAnsi="Times New Roman" w:cs="Times New Roman"/>
          <w:b/>
          <w:bCs/>
          <w:color w:val="000000" w:themeColor="text1"/>
          <w:sz w:val="20"/>
          <w:szCs w:val="20"/>
        </w:rPr>
        <w:t>)</w:t>
      </w:r>
      <w:r w:rsidRPr="0092090B">
        <w:rPr>
          <w:rFonts w:ascii="Times New Roman" w:eastAsia="Microsoft YaHei" w:hAnsi="Times New Roman" w:cs="Times New Roman"/>
          <w:color w:val="000000" w:themeColor="text1"/>
          <w:sz w:val="20"/>
          <w:szCs w:val="20"/>
        </w:rPr>
        <w:t xml:space="preserve">––the estimate of the standard deviation of </w:t>
      </w:r>
      <w:r>
        <w:rPr>
          <w:rFonts w:ascii="Times New Roman" w:eastAsia="Microsoft YaHei" w:hAnsi="Times New Roman" w:cs="Times New Roman"/>
          <w:color w:val="000000" w:themeColor="text1"/>
          <w:sz w:val="20"/>
          <w:szCs w:val="20"/>
        </w:rPr>
        <w:t>population</w:t>
      </w:r>
      <w:r w:rsidRPr="0092090B">
        <w:rPr>
          <w:rFonts w:ascii="Times New Roman" w:eastAsia="Microsoft YaHei" w:hAnsi="Times New Roman" w:cs="Times New Roman"/>
          <w:color w:val="000000" w:themeColor="text1"/>
          <w:sz w:val="20"/>
          <w:szCs w:val="20"/>
        </w:rPr>
        <w:t xml:space="preserve"> effect sizes</w:t>
      </w:r>
      <w:r>
        <w:rPr>
          <w:rFonts w:ascii="Times New Roman" w:eastAsia="Microsoft YaHei" w:hAnsi="Times New Roman" w:cs="Times New Roman"/>
          <w:color w:val="000000" w:themeColor="text1"/>
          <w:sz w:val="20"/>
          <w:szCs w:val="20"/>
        </w:rPr>
        <w:t xml:space="preserve"> </w:t>
      </w:r>
      <w:r>
        <w:rPr>
          <w:rFonts w:ascii="Times New Roman" w:eastAsia="Microsoft YaHei" w:hAnsi="Times New Roman" w:cs="Times New Roman"/>
          <w:noProof/>
          <w:color w:val="000000" w:themeColor="text1"/>
          <w:sz w:val="20"/>
          <w:szCs w:val="20"/>
        </w:rPr>
        <w:t>[</w:t>
      </w:r>
      <w:proofErr w:type="gramStart"/>
      <w:r>
        <w:rPr>
          <w:rFonts w:ascii="Times New Roman" w:eastAsia="Microsoft YaHei" w:hAnsi="Times New Roman" w:cs="Times New Roman"/>
          <w:noProof/>
          <w:color w:val="000000" w:themeColor="text1"/>
          <w:sz w:val="20"/>
          <w:szCs w:val="20"/>
        </w:rPr>
        <w:t>11]</w:t>
      </w:r>
      <w:r w:rsidRPr="0092090B">
        <w:rPr>
          <w:rFonts w:ascii="Times New Roman" w:eastAsia="Microsoft YaHei" w:hAnsi="Times New Roman" w:cs="Times New Roman"/>
          <w:color w:val="000000" w:themeColor="text1"/>
          <w:sz w:val="20"/>
          <w:szCs w:val="20"/>
        </w:rPr>
        <w:t>––</w:t>
      </w:r>
      <w:proofErr w:type="gramEnd"/>
      <w:r w:rsidRPr="0092090B">
        <w:rPr>
          <w:rFonts w:ascii="Times New Roman" w:eastAsia="Microsoft YaHei" w:hAnsi="Times New Roman" w:cs="Times New Roman"/>
          <w:color w:val="000000" w:themeColor="text1"/>
          <w:sz w:val="20"/>
          <w:szCs w:val="20"/>
        </w:rPr>
        <w:t>it quantifies the absolute amount of heterogeneity.</w:t>
      </w:r>
    </w:p>
    <w:p w14:paraId="2F201BD1" w14:textId="77777777" w:rsidR="000709F6" w:rsidRPr="0092090B" w:rsidRDefault="000709F6" w:rsidP="0092090B">
      <w:pPr>
        <w:pStyle w:val="ListParagraph"/>
        <w:numPr>
          <w:ilvl w:val="1"/>
          <w:numId w:val="14"/>
        </w:numPr>
        <w:spacing w:after="20" w:line="240" w:lineRule="auto"/>
        <w:rPr>
          <w:rFonts w:ascii="Times New Roman" w:eastAsia="Microsoft YaHei" w:hAnsi="Times New Roman" w:cs="Times New Roman"/>
          <w:color w:val="000000" w:themeColor="text1"/>
          <w:sz w:val="20"/>
          <w:szCs w:val="20"/>
          <w:lang w:eastAsia="zh-CN"/>
        </w:rPr>
      </w:pPr>
      <w:r w:rsidRPr="0092090B">
        <w:rPr>
          <w:rFonts w:ascii="Times New Roman" w:hAnsi="Times New Roman" w:cs="Times New Roman"/>
          <w:b/>
          <w:bCs/>
          <w:color w:val="000000" w:themeColor="text1"/>
          <w:sz w:val="20"/>
          <w:szCs w:val="20"/>
          <w:lang w:eastAsia="zh-CN"/>
        </w:rPr>
        <w:t>95% prediction interval</w:t>
      </w:r>
      <w:r w:rsidRPr="0092090B">
        <w:rPr>
          <w:rFonts w:ascii="Times New Roman" w:hAnsi="Times New Roman" w:cs="Times New Roman"/>
          <w:color w:val="000000" w:themeColor="text1"/>
          <w:sz w:val="20"/>
          <w:szCs w:val="20"/>
          <w:lang w:eastAsia="zh-CN"/>
        </w:rPr>
        <w:t xml:space="preserve">––estimation of </w:t>
      </w:r>
      <w:r w:rsidRPr="0092090B">
        <w:rPr>
          <w:rFonts w:ascii="Times New Roman" w:hAnsi="Times New Roman" w:cs="Times New Roman"/>
          <w:color w:val="000000" w:themeColor="text1"/>
          <w:sz w:val="20"/>
          <w:szCs w:val="20"/>
        </w:rPr>
        <w:t>the middle 95% area of the effect distribution</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w:t>
      </w:r>
      <w:proofErr w:type="gramStart"/>
      <w:r>
        <w:rPr>
          <w:rFonts w:ascii="Times New Roman" w:hAnsi="Times New Roman" w:cs="Times New Roman"/>
          <w:noProof/>
          <w:color w:val="000000" w:themeColor="text1"/>
          <w:sz w:val="20"/>
          <w:szCs w:val="20"/>
        </w:rPr>
        <w:t>9]</w:t>
      </w:r>
      <w:r w:rsidRPr="0092090B">
        <w:rPr>
          <w:rFonts w:ascii="Times New Roman" w:hAnsi="Times New Roman" w:cs="Times New Roman"/>
          <w:color w:val="000000" w:themeColor="text1"/>
          <w:sz w:val="20"/>
          <w:szCs w:val="20"/>
        </w:rPr>
        <w:t>––</w:t>
      </w:r>
      <w:proofErr w:type="gramEnd"/>
      <w:r w:rsidRPr="0092090B">
        <w:rPr>
          <w:rFonts w:ascii="Times New Roman" w:hAnsi="Times New Roman" w:cs="Times New Roman"/>
          <w:color w:val="000000" w:themeColor="text1"/>
          <w:sz w:val="20"/>
          <w:szCs w:val="20"/>
        </w:rPr>
        <w:t xml:space="preserve">it predicts with 95% confidence the </w:t>
      </w:r>
      <w:r>
        <w:rPr>
          <w:rFonts w:ascii="Times New Roman" w:hAnsi="Times New Roman" w:cs="Times New Roman"/>
          <w:color w:val="000000" w:themeColor="text1"/>
          <w:sz w:val="20"/>
          <w:szCs w:val="20"/>
        </w:rPr>
        <w:t>population</w:t>
      </w:r>
      <w:r w:rsidRPr="0092090B">
        <w:rPr>
          <w:rFonts w:ascii="Times New Roman" w:hAnsi="Times New Roman" w:cs="Times New Roman"/>
          <w:color w:val="000000" w:themeColor="text1"/>
          <w:sz w:val="20"/>
          <w:szCs w:val="20"/>
        </w:rPr>
        <w:t xml:space="preserve"> effect in a new study that is similar to the studies in the meta-analysis.</w:t>
      </w:r>
    </w:p>
    <w:p w14:paraId="7DD7F7EA" w14:textId="77777777" w:rsidR="000709F6" w:rsidRPr="0092090B" w:rsidRDefault="00E81E6B" w:rsidP="0092090B">
      <w:pPr>
        <w:pStyle w:val="ListParagraph"/>
        <w:numPr>
          <w:ilvl w:val="1"/>
          <w:numId w:val="14"/>
        </w:numPr>
        <w:spacing w:after="20" w:line="240" w:lineRule="auto"/>
        <w:rPr>
          <w:rFonts w:ascii="Times New Roman" w:eastAsia="Microsoft YaHei" w:hAnsi="Times New Roman" w:cs="Times New Roman"/>
          <w:color w:val="000000" w:themeColor="text1"/>
          <w:sz w:val="20"/>
          <w:szCs w:val="20"/>
          <w:lang w:eastAsia="zh-CN"/>
        </w:rPr>
      </w:pPr>
      <m:oMath>
        <m:acc>
          <m:accPr>
            <m:ctrlPr>
              <w:rPr>
                <w:rFonts w:ascii="Cambria Math" w:eastAsiaTheme="minorEastAsia" w:hAnsi="Cambria Math" w:cs="Times New Roman"/>
                <w:b/>
                <w:bCs/>
                <w:i/>
                <w:color w:val="000000" w:themeColor="text1"/>
                <w:sz w:val="20"/>
                <w:szCs w:val="20"/>
              </w:rPr>
            </m:ctrlPr>
          </m:accPr>
          <m:e>
            <m:r>
              <m:rPr>
                <m:sty m:val="bi"/>
              </m:rPr>
              <w:rPr>
                <w:rFonts w:ascii="Cambria Math" w:eastAsiaTheme="minorEastAsia" w:hAnsi="Cambria Math" w:cs="Times New Roman"/>
                <w:color w:val="000000" w:themeColor="text1"/>
                <w:sz w:val="20"/>
                <w:szCs w:val="20"/>
              </w:rPr>
              <m:t>P</m:t>
            </m:r>
          </m:e>
        </m:acc>
        <m:d>
          <m:dPr>
            <m:ctrlPr>
              <w:rPr>
                <w:rFonts w:ascii="Cambria Math" w:eastAsiaTheme="minorEastAsia" w:hAnsi="Cambria Math" w:cs="Times New Roman"/>
                <w:b/>
                <w:bCs/>
                <w:i/>
                <w:color w:val="000000" w:themeColor="text1"/>
                <w:sz w:val="20"/>
                <w:szCs w:val="20"/>
              </w:rPr>
            </m:ctrlPr>
          </m:dPr>
          <m:e>
            <m:r>
              <m:rPr>
                <m:sty m:val="bi"/>
              </m:rPr>
              <w:rPr>
                <w:rFonts w:ascii="Cambria Math" w:eastAsiaTheme="minorEastAsia" w:hAnsi="Cambria Math" w:cs="Times New Roman"/>
                <w:color w:val="000000" w:themeColor="text1"/>
                <w:sz w:val="20"/>
                <w:szCs w:val="20"/>
              </w:rPr>
              <m:t>θ&lt;q</m:t>
            </m:r>
          </m:e>
        </m:d>
      </m:oMath>
      <w:r w:rsidR="000709F6" w:rsidRPr="0092090B">
        <w:rPr>
          <w:rFonts w:ascii="Times New Roman" w:hAnsi="Times New Roman" w:cs="Times New Roman"/>
          <w:color w:val="000000" w:themeColor="text1"/>
          <w:sz w:val="20"/>
          <w:szCs w:val="20"/>
          <w:lang w:eastAsia="zh-CN"/>
        </w:rPr>
        <w:t xml:space="preserve">––estimation of </w:t>
      </w:r>
      <w:r w:rsidR="000709F6" w:rsidRPr="0092090B">
        <w:rPr>
          <w:rFonts w:ascii="Times New Roman" w:eastAsiaTheme="minorEastAsia" w:hAnsi="Times New Roman" w:cs="Times New Roman"/>
          <w:color w:val="000000" w:themeColor="text1"/>
          <w:sz w:val="20"/>
          <w:szCs w:val="20"/>
        </w:rPr>
        <w:t>the lower tail of the effect distribution</w:t>
      </w:r>
      <w:r w:rsidR="000709F6">
        <w:rPr>
          <w:rFonts w:ascii="Times New Roman" w:eastAsiaTheme="minorEastAsia" w:hAnsi="Times New Roman" w:cs="Times New Roman"/>
          <w:color w:val="000000" w:themeColor="text1"/>
          <w:sz w:val="20"/>
          <w:szCs w:val="20"/>
        </w:rPr>
        <w:t xml:space="preserve"> </w:t>
      </w:r>
      <w:r w:rsidR="000709F6">
        <w:rPr>
          <w:rFonts w:ascii="Times New Roman" w:eastAsiaTheme="minorEastAsia" w:hAnsi="Times New Roman" w:cs="Times New Roman"/>
          <w:noProof/>
          <w:color w:val="000000" w:themeColor="text1"/>
          <w:sz w:val="20"/>
          <w:szCs w:val="20"/>
        </w:rPr>
        <w:t>[10,</w:t>
      </w:r>
      <w:proofErr w:type="gramStart"/>
      <w:r w:rsidR="000709F6">
        <w:rPr>
          <w:rFonts w:ascii="Times New Roman" w:eastAsiaTheme="minorEastAsia" w:hAnsi="Times New Roman" w:cs="Times New Roman"/>
          <w:noProof/>
          <w:color w:val="000000" w:themeColor="text1"/>
          <w:sz w:val="20"/>
          <w:szCs w:val="20"/>
        </w:rPr>
        <w:t>12]</w:t>
      </w:r>
      <w:r w:rsidR="000709F6" w:rsidRPr="0092090B">
        <w:rPr>
          <w:rFonts w:ascii="Times New Roman" w:eastAsiaTheme="minorEastAsia" w:hAnsi="Times New Roman" w:cs="Times New Roman"/>
          <w:color w:val="000000" w:themeColor="text1"/>
          <w:sz w:val="20"/>
          <w:szCs w:val="20"/>
        </w:rPr>
        <w:t>––</w:t>
      </w:r>
      <w:proofErr w:type="gramEnd"/>
      <w:r w:rsidR="000709F6" w:rsidRPr="0092090B">
        <w:rPr>
          <w:rFonts w:ascii="Times New Roman" w:eastAsiaTheme="minorEastAsia" w:hAnsi="Times New Roman" w:cs="Times New Roman"/>
          <w:color w:val="000000" w:themeColor="text1"/>
          <w:sz w:val="20"/>
          <w:szCs w:val="20"/>
        </w:rPr>
        <w:t xml:space="preserve">it estimates the </w:t>
      </w:r>
      <w:r w:rsidR="000709F6" w:rsidRPr="0092090B">
        <w:rPr>
          <w:rFonts w:ascii="Times New Roman" w:hAnsi="Times New Roman" w:cs="Times New Roman"/>
          <w:color w:val="000000" w:themeColor="text1"/>
          <w:sz w:val="20"/>
          <w:szCs w:val="20"/>
          <w:lang w:eastAsia="zh-CN"/>
        </w:rPr>
        <w:t xml:space="preserve">proportion of </w:t>
      </w:r>
      <w:r w:rsidR="000709F6">
        <w:rPr>
          <w:rFonts w:ascii="Times New Roman" w:hAnsi="Times New Roman" w:cs="Times New Roman"/>
          <w:color w:val="000000" w:themeColor="text1"/>
          <w:sz w:val="20"/>
          <w:szCs w:val="20"/>
          <w:lang w:eastAsia="zh-CN"/>
        </w:rPr>
        <w:t>population</w:t>
      </w:r>
      <w:r w:rsidR="000709F6" w:rsidRPr="0092090B">
        <w:rPr>
          <w:rFonts w:ascii="Times New Roman" w:eastAsiaTheme="minorEastAsia" w:hAnsi="Times New Roman" w:cs="Times New Roman"/>
          <w:color w:val="000000" w:themeColor="text1"/>
          <w:sz w:val="20"/>
          <w:szCs w:val="20"/>
        </w:rPr>
        <w:t xml:space="preserve"> </w:t>
      </w:r>
      <w:r w:rsidR="000709F6" w:rsidRPr="0092090B">
        <w:rPr>
          <w:rFonts w:ascii="Times New Roman" w:hAnsi="Times New Roman" w:cs="Times New Roman"/>
          <w:color w:val="000000" w:themeColor="text1"/>
          <w:sz w:val="20"/>
          <w:szCs w:val="20"/>
          <w:lang w:eastAsia="zh-CN"/>
        </w:rPr>
        <w:t>effects (</w:t>
      </w:r>
      <m:oMath>
        <m:r>
          <w:rPr>
            <w:rFonts w:ascii="Cambria Math" w:eastAsiaTheme="minorEastAsia" w:hAnsi="Cambria Math" w:cs="Times New Roman"/>
            <w:color w:val="000000" w:themeColor="text1"/>
            <w:sz w:val="20"/>
            <w:szCs w:val="20"/>
          </w:rPr>
          <m:t>θ</m:t>
        </m:r>
      </m:oMath>
      <w:r w:rsidR="000709F6" w:rsidRPr="0092090B">
        <w:rPr>
          <w:rFonts w:ascii="Times New Roman" w:eastAsiaTheme="minorEastAsia" w:hAnsi="Times New Roman" w:cs="Times New Roman"/>
          <w:color w:val="000000" w:themeColor="text1"/>
          <w:sz w:val="20"/>
          <w:szCs w:val="20"/>
        </w:rPr>
        <w:t>)</w:t>
      </w:r>
      <w:r w:rsidR="000709F6" w:rsidRPr="0092090B">
        <w:rPr>
          <w:rFonts w:ascii="Times New Roman" w:hAnsi="Times New Roman" w:cs="Times New Roman"/>
          <w:color w:val="000000" w:themeColor="text1"/>
          <w:sz w:val="20"/>
          <w:szCs w:val="20"/>
          <w:lang w:eastAsia="zh-CN"/>
        </w:rPr>
        <w:t xml:space="preserve"> below a threshold </w:t>
      </w:r>
      <w:r w:rsidR="000709F6" w:rsidRPr="0092090B">
        <w:rPr>
          <w:rFonts w:ascii="Times New Roman" w:eastAsiaTheme="minorEastAsia" w:hAnsi="Times New Roman" w:cs="Times New Roman"/>
          <w:color w:val="000000" w:themeColor="text1"/>
          <w:sz w:val="20"/>
          <w:szCs w:val="20"/>
        </w:rPr>
        <w:t>(</w:t>
      </w:r>
      <m:oMath>
        <m:r>
          <w:rPr>
            <w:rFonts w:ascii="Cambria Math" w:eastAsiaTheme="minorEastAsia" w:hAnsi="Cambria Math" w:cs="Times New Roman"/>
            <w:color w:val="000000" w:themeColor="text1"/>
            <w:sz w:val="20"/>
            <w:szCs w:val="20"/>
          </w:rPr>
          <m:t>q</m:t>
        </m:r>
      </m:oMath>
      <w:r w:rsidR="000709F6" w:rsidRPr="0092090B">
        <w:rPr>
          <w:rFonts w:ascii="Times New Roman" w:eastAsiaTheme="minorEastAsia" w:hAnsi="Times New Roman" w:cs="Times New Roman"/>
          <w:color w:val="000000" w:themeColor="text1"/>
          <w:sz w:val="20"/>
          <w:szCs w:val="20"/>
        </w:rPr>
        <w:t xml:space="preserve">) </w:t>
      </w:r>
      <w:r w:rsidR="000709F6" w:rsidRPr="0092090B">
        <w:rPr>
          <w:rFonts w:ascii="Times New Roman" w:hAnsi="Times New Roman" w:cs="Times New Roman"/>
          <w:color w:val="000000" w:themeColor="text1"/>
          <w:sz w:val="20"/>
          <w:szCs w:val="20"/>
          <w:lang w:eastAsia="zh-CN"/>
        </w:rPr>
        <w:t>of scientific importanc</w:t>
      </w:r>
      <w:r w:rsidR="000709F6" w:rsidRPr="0092090B">
        <w:rPr>
          <w:rFonts w:ascii="Times New Roman" w:eastAsiaTheme="minorEastAsia" w:hAnsi="Times New Roman" w:cs="Times New Roman"/>
          <w:color w:val="000000" w:themeColor="text1"/>
          <w:sz w:val="20"/>
          <w:szCs w:val="20"/>
        </w:rPr>
        <w:t xml:space="preserve">e. </w:t>
      </w:r>
      <m:oMath>
        <m:r>
          <w:rPr>
            <w:rFonts w:ascii="Cambria Math" w:eastAsiaTheme="minorEastAsia" w:hAnsi="Cambria Math" w:cs="Times New Roman"/>
            <w:color w:val="000000" w:themeColor="text1"/>
            <w:sz w:val="20"/>
            <w:szCs w:val="20"/>
          </w:rPr>
          <m:t>q</m:t>
        </m:r>
      </m:oMath>
      <w:r w:rsidR="000709F6" w:rsidRPr="0092090B">
        <w:rPr>
          <w:rFonts w:ascii="Times New Roman" w:eastAsiaTheme="minorEastAsia" w:hAnsi="Times New Roman" w:cs="Times New Roman"/>
          <w:color w:val="000000" w:themeColor="text1"/>
          <w:sz w:val="20"/>
          <w:szCs w:val="20"/>
        </w:rPr>
        <w:t xml:space="preserve"> is defined as follows: for </w:t>
      </w:r>
      <w:r w:rsidR="000709F6" w:rsidRPr="0092090B">
        <w:rPr>
          <w:rFonts w:ascii="Times New Roman" w:eastAsiaTheme="minorEastAsia" w:hAnsi="Times New Roman" w:cs="Times New Roman"/>
          <w:color w:val="000000" w:themeColor="text1"/>
          <w:sz w:val="20"/>
          <w:szCs w:val="20"/>
          <w:lang w:eastAsia="zh-CN"/>
        </w:rPr>
        <w:t xml:space="preserve">outcome measured as MD, </w:t>
      </w:r>
      <m:oMath>
        <m:r>
          <w:rPr>
            <w:rFonts w:ascii="Cambria Math" w:eastAsiaTheme="minorEastAsia" w:hAnsi="Cambria Math" w:cs="Times New Roman"/>
            <w:color w:val="000000" w:themeColor="text1"/>
            <w:sz w:val="20"/>
            <w:szCs w:val="20"/>
            <w:lang w:eastAsia="zh-CN"/>
          </w:rPr>
          <m:t>q</m:t>
        </m:r>
      </m:oMath>
      <w:r w:rsidR="000709F6" w:rsidRPr="0092090B">
        <w:rPr>
          <w:rFonts w:ascii="Times New Roman" w:eastAsiaTheme="minorEastAsia" w:hAnsi="Times New Roman" w:cs="Times New Roman"/>
          <w:color w:val="000000" w:themeColor="text1"/>
          <w:sz w:val="20"/>
          <w:szCs w:val="20"/>
          <w:lang w:eastAsia="zh-CN"/>
        </w:rPr>
        <w:t xml:space="preserve"> = 0; for RR, </w:t>
      </w:r>
      <m:oMath>
        <m:r>
          <w:rPr>
            <w:rFonts w:ascii="Cambria Math" w:eastAsiaTheme="minorEastAsia" w:hAnsi="Cambria Math" w:cs="Times New Roman"/>
            <w:color w:val="000000" w:themeColor="text1"/>
            <w:sz w:val="20"/>
            <w:szCs w:val="20"/>
            <w:lang w:eastAsia="zh-CN"/>
          </w:rPr>
          <m:t>q</m:t>
        </m:r>
      </m:oMath>
      <w:r w:rsidR="000709F6" w:rsidRPr="0092090B">
        <w:rPr>
          <w:rFonts w:ascii="Times New Roman" w:eastAsiaTheme="minorEastAsia" w:hAnsi="Times New Roman" w:cs="Times New Roman"/>
          <w:color w:val="000000" w:themeColor="text1"/>
          <w:sz w:val="20"/>
          <w:szCs w:val="20"/>
          <w:lang w:eastAsia="zh-CN"/>
        </w:rPr>
        <w:t xml:space="preserve"> = 0.9 or 1.0.</w:t>
      </w:r>
    </w:p>
    <w:p w14:paraId="614EC7CA" w14:textId="77777777" w:rsidR="000709F6" w:rsidRPr="0092090B" w:rsidRDefault="00E81E6B" w:rsidP="0092090B">
      <w:pPr>
        <w:pStyle w:val="ListParagraph"/>
        <w:numPr>
          <w:ilvl w:val="1"/>
          <w:numId w:val="14"/>
        </w:numPr>
        <w:spacing w:after="20" w:line="240" w:lineRule="auto"/>
        <w:rPr>
          <w:rFonts w:ascii="Times New Roman" w:eastAsia="Microsoft YaHei" w:hAnsi="Times New Roman" w:cs="Times New Roman"/>
          <w:color w:val="000000" w:themeColor="text1"/>
          <w:sz w:val="20"/>
          <w:szCs w:val="20"/>
          <w:lang w:eastAsia="zh-CN"/>
        </w:rPr>
      </w:pPr>
      <m:oMath>
        <m:acc>
          <m:accPr>
            <m:ctrlPr>
              <w:rPr>
                <w:rFonts w:ascii="Cambria Math" w:eastAsiaTheme="minorEastAsia" w:hAnsi="Cambria Math" w:cs="Times New Roman"/>
                <w:b/>
                <w:bCs/>
                <w:i/>
                <w:color w:val="000000" w:themeColor="text1"/>
                <w:sz w:val="20"/>
                <w:szCs w:val="20"/>
              </w:rPr>
            </m:ctrlPr>
          </m:accPr>
          <m:e>
            <m:r>
              <m:rPr>
                <m:sty m:val="bi"/>
              </m:rPr>
              <w:rPr>
                <w:rFonts w:ascii="Cambria Math" w:eastAsiaTheme="minorEastAsia" w:hAnsi="Cambria Math" w:cs="Times New Roman"/>
                <w:color w:val="000000" w:themeColor="text1"/>
                <w:sz w:val="20"/>
                <w:szCs w:val="20"/>
              </w:rPr>
              <m:t>P</m:t>
            </m:r>
          </m:e>
        </m:acc>
        <m:d>
          <m:dPr>
            <m:ctrlPr>
              <w:rPr>
                <w:rFonts w:ascii="Cambria Math" w:eastAsiaTheme="minorEastAsia" w:hAnsi="Cambria Math" w:cs="Times New Roman"/>
                <w:b/>
                <w:bCs/>
                <w:i/>
                <w:color w:val="000000" w:themeColor="text1"/>
                <w:sz w:val="20"/>
                <w:szCs w:val="20"/>
              </w:rPr>
            </m:ctrlPr>
          </m:dPr>
          <m:e>
            <m:r>
              <m:rPr>
                <m:sty m:val="bi"/>
              </m:rPr>
              <w:rPr>
                <w:rFonts w:ascii="Cambria Math" w:eastAsiaTheme="minorEastAsia" w:hAnsi="Cambria Math" w:cs="Times New Roman"/>
                <w:color w:val="000000" w:themeColor="text1"/>
                <w:sz w:val="20"/>
                <w:szCs w:val="20"/>
              </w:rPr>
              <m:t>θ&gt;</m:t>
            </m:r>
            <m:sSup>
              <m:sSupPr>
                <m:ctrlPr>
                  <w:rPr>
                    <w:rFonts w:ascii="Cambria Math" w:eastAsiaTheme="minorEastAsia" w:hAnsi="Cambria Math" w:cs="Times New Roman"/>
                    <w:b/>
                    <w:bCs/>
                    <w:i/>
                    <w:color w:val="000000" w:themeColor="text1"/>
                    <w:sz w:val="20"/>
                    <w:szCs w:val="20"/>
                  </w:rPr>
                </m:ctrlPr>
              </m:sSupPr>
              <m:e>
                <m:r>
                  <m:rPr>
                    <m:sty m:val="bi"/>
                  </m:rPr>
                  <w:rPr>
                    <w:rFonts w:ascii="Cambria Math" w:eastAsiaTheme="minorEastAsia" w:hAnsi="Cambria Math" w:cs="Times New Roman"/>
                    <w:color w:val="000000" w:themeColor="text1"/>
                    <w:sz w:val="20"/>
                    <w:szCs w:val="20"/>
                  </w:rPr>
                  <m:t>q</m:t>
                </m:r>
              </m:e>
              <m:sup>
                <m:r>
                  <m:rPr>
                    <m:sty m:val="bi"/>
                  </m:rPr>
                  <w:rPr>
                    <w:rFonts w:ascii="Cambria Math" w:eastAsiaTheme="minorEastAsia" w:hAnsi="Cambria Math" w:cs="Times New Roman"/>
                    <w:color w:val="000000" w:themeColor="text1"/>
                    <w:sz w:val="20"/>
                    <w:szCs w:val="20"/>
                  </w:rPr>
                  <m:t>*</m:t>
                </m:r>
              </m:sup>
            </m:sSup>
          </m:e>
        </m:d>
      </m:oMath>
      <w:r w:rsidR="000709F6" w:rsidRPr="0092090B">
        <w:rPr>
          <w:rFonts w:ascii="Times New Roman" w:eastAsiaTheme="minorEastAsia" w:hAnsi="Times New Roman" w:cs="Times New Roman"/>
          <w:color w:val="000000" w:themeColor="text1"/>
          <w:sz w:val="20"/>
          <w:szCs w:val="20"/>
        </w:rPr>
        <w:t>––estimation of the upper tail of the effect distribution</w:t>
      </w:r>
      <w:r w:rsidR="000709F6">
        <w:rPr>
          <w:rFonts w:ascii="Times New Roman" w:eastAsiaTheme="minorEastAsia" w:hAnsi="Times New Roman" w:cs="Times New Roman"/>
          <w:color w:val="000000" w:themeColor="text1"/>
          <w:sz w:val="20"/>
          <w:szCs w:val="20"/>
        </w:rPr>
        <w:t xml:space="preserve"> </w:t>
      </w:r>
      <w:r w:rsidR="000709F6">
        <w:rPr>
          <w:rFonts w:ascii="Times New Roman" w:eastAsiaTheme="minorEastAsia" w:hAnsi="Times New Roman" w:cs="Times New Roman"/>
          <w:noProof/>
          <w:color w:val="000000" w:themeColor="text1"/>
          <w:sz w:val="20"/>
          <w:szCs w:val="20"/>
        </w:rPr>
        <w:t>[10,</w:t>
      </w:r>
      <w:proofErr w:type="gramStart"/>
      <w:r w:rsidR="000709F6">
        <w:rPr>
          <w:rFonts w:ascii="Times New Roman" w:eastAsiaTheme="minorEastAsia" w:hAnsi="Times New Roman" w:cs="Times New Roman"/>
          <w:noProof/>
          <w:color w:val="000000" w:themeColor="text1"/>
          <w:sz w:val="20"/>
          <w:szCs w:val="20"/>
        </w:rPr>
        <w:t>12]</w:t>
      </w:r>
      <w:r w:rsidR="000709F6" w:rsidRPr="0092090B">
        <w:rPr>
          <w:rFonts w:ascii="Times New Roman" w:eastAsiaTheme="minorEastAsia" w:hAnsi="Times New Roman" w:cs="Times New Roman"/>
          <w:color w:val="000000" w:themeColor="text1"/>
          <w:sz w:val="20"/>
          <w:szCs w:val="20"/>
        </w:rPr>
        <w:t>––</w:t>
      </w:r>
      <w:proofErr w:type="gramEnd"/>
      <w:r w:rsidR="000709F6" w:rsidRPr="0092090B">
        <w:rPr>
          <w:rFonts w:ascii="Times New Roman" w:eastAsiaTheme="minorEastAsia" w:hAnsi="Times New Roman" w:cs="Times New Roman"/>
          <w:color w:val="000000" w:themeColor="text1"/>
          <w:sz w:val="20"/>
          <w:szCs w:val="20"/>
        </w:rPr>
        <w:t>it estimates the p</w:t>
      </w:r>
      <w:r w:rsidR="000709F6" w:rsidRPr="0092090B">
        <w:rPr>
          <w:rFonts w:ascii="Times New Roman" w:hAnsi="Times New Roman" w:cs="Times New Roman"/>
          <w:color w:val="000000" w:themeColor="text1"/>
          <w:sz w:val="20"/>
          <w:szCs w:val="20"/>
          <w:lang w:eastAsia="zh-CN"/>
        </w:rPr>
        <w:t xml:space="preserve">roportion of </w:t>
      </w:r>
      <w:r w:rsidR="000709F6">
        <w:rPr>
          <w:rFonts w:ascii="Times New Roman" w:hAnsi="Times New Roman" w:cs="Times New Roman"/>
          <w:color w:val="000000" w:themeColor="text1"/>
          <w:sz w:val="20"/>
          <w:szCs w:val="20"/>
          <w:lang w:eastAsia="zh-CN"/>
        </w:rPr>
        <w:t>population</w:t>
      </w:r>
      <w:r w:rsidR="000709F6" w:rsidRPr="0092090B">
        <w:rPr>
          <w:rFonts w:ascii="Times New Roman" w:hAnsi="Times New Roman" w:cs="Times New Roman"/>
          <w:color w:val="000000" w:themeColor="text1"/>
          <w:sz w:val="20"/>
          <w:szCs w:val="20"/>
          <w:lang w:eastAsia="zh-CN"/>
        </w:rPr>
        <w:t xml:space="preserve"> effects (</w:t>
      </w:r>
      <m:oMath>
        <m:r>
          <w:rPr>
            <w:rFonts w:ascii="Cambria Math" w:eastAsiaTheme="minorEastAsia" w:hAnsi="Cambria Math" w:cs="Times New Roman"/>
            <w:color w:val="000000" w:themeColor="text1"/>
            <w:sz w:val="20"/>
            <w:szCs w:val="20"/>
          </w:rPr>
          <m:t>θ</m:t>
        </m:r>
      </m:oMath>
      <w:r w:rsidR="000709F6" w:rsidRPr="0092090B">
        <w:rPr>
          <w:rFonts w:ascii="Times New Roman" w:eastAsiaTheme="minorEastAsia" w:hAnsi="Times New Roman" w:cs="Times New Roman"/>
          <w:color w:val="000000" w:themeColor="text1"/>
          <w:sz w:val="20"/>
          <w:szCs w:val="20"/>
        </w:rPr>
        <w:t>)</w:t>
      </w:r>
      <w:r w:rsidR="000709F6" w:rsidRPr="0092090B">
        <w:rPr>
          <w:rFonts w:ascii="Times New Roman" w:hAnsi="Times New Roman" w:cs="Times New Roman"/>
          <w:color w:val="000000" w:themeColor="text1"/>
          <w:sz w:val="20"/>
          <w:szCs w:val="20"/>
          <w:lang w:eastAsia="zh-CN"/>
        </w:rPr>
        <w:t xml:space="preserve"> above a threshold </w:t>
      </w:r>
      <w:r w:rsidR="000709F6" w:rsidRPr="0092090B">
        <w:rPr>
          <w:rFonts w:ascii="Times New Roman" w:eastAsiaTheme="minorEastAsia" w:hAnsi="Times New Roman" w:cs="Times New Roman"/>
          <w:color w:val="000000" w:themeColor="text1"/>
          <w:sz w:val="20"/>
          <w:szCs w:val="20"/>
        </w:rPr>
        <w:t>(</w:t>
      </w:r>
      <m:oMath>
        <m:sSup>
          <m:sSupPr>
            <m:ctrlPr>
              <w:rPr>
                <w:rFonts w:ascii="Cambria Math" w:eastAsiaTheme="minorEastAsia" w:hAnsi="Cambria Math" w:cs="Times New Roman"/>
                <w:i/>
                <w:color w:val="000000" w:themeColor="text1"/>
                <w:sz w:val="20"/>
                <w:szCs w:val="20"/>
              </w:rPr>
            </m:ctrlPr>
          </m:sSupPr>
          <m:e>
            <m:r>
              <w:rPr>
                <w:rFonts w:ascii="Cambria Math" w:eastAsiaTheme="minorEastAsia" w:hAnsi="Cambria Math" w:cs="Times New Roman"/>
                <w:color w:val="000000" w:themeColor="text1"/>
                <w:sz w:val="20"/>
                <w:szCs w:val="20"/>
              </w:rPr>
              <m:t>q</m:t>
            </m:r>
          </m:e>
          <m:sup>
            <m:r>
              <w:rPr>
                <w:rFonts w:ascii="Cambria Math" w:eastAsiaTheme="minorEastAsia" w:hAnsi="Cambria Math" w:cs="Times New Roman"/>
                <w:color w:val="000000" w:themeColor="text1"/>
                <w:sz w:val="20"/>
                <w:szCs w:val="20"/>
              </w:rPr>
              <m:t>*</m:t>
            </m:r>
          </m:sup>
        </m:sSup>
      </m:oMath>
      <w:r w:rsidR="000709F6" w:rsidRPr="0092090B">
        <w:rPr>
          <w:rFonts w:ascii="Times New Roman" w:eastAsiaTheme="minorEastAsia" w:hAnsi="Times New Roman" w:cs="Times New Roman"/>
          <w:color w:val="000000" w:themeColor="text1"/>
          <w:sz w:val="20"/>
          <w:szCs w:val="20"/>
        </w:rPr>
        <w:t>)</w:t>
      </w:r>
      <w:r w:rsidR="000709F6" w:rsidRPr="0092090B">
        <w:rPr>
          <w:rFonts w:ascii="Times New Roman" w:hAnsi="Times New Roman" w:cs="Times New Roman"/>
          <w:color w:val="000000" w:themeColor="text1"/>
          <w:sz w:val="20"/>
          <w:szCs w:val="20"/>
          <w:lang w:eastAsia="zh-CN"/>
        </w:rPr>
        <w:t xml:space="preserve"> of scientific importanc</w:t>
      </w:r>
      <w:r w:rsidR="000709F6" w:rsidRPr="0092090B">
        <w:rPr>
          <w:rFonts w:ascii="Times New Roman" w:eastAsiaTheme="minorEastAsia" w:hAnsi="Times New Roman" w:cs="Times New Roman"/>
          <w:color w:val="000000" w:themeColor="text1"/>
          <w:sz w:val="20"/>
          <w:szCs w:val="20"/>
        </w:rPr>
        <w:t xml:space="preserve">e. </w:t>
      </w:r>
      <m:oMath>
        <m:sSup>
          <m:sSupPr>
            <m:ctrlPr>
              <w:rPr>
                <w:rFonts w:ascii="Cambria Math" w:eastAsiaTheme="minorEastAsia" w:hAnsi="Cambria Math" w:cs="Times New Roman"/>
                <w:i/>
                <w:color w:val="000000" w:themeColor="text1"/>
                <w:sz w:val="20"/>
                <w:szCs w:val="20"/>
              </w:rPr>
            </m:ctrlPr>
          </m:sSupPr>
          <m:e>
            <m:r>
              <w:rPr>
                <w:rFonts w:ascii="Cambria Math" w:eastAsiaTheme="minorEastAsia" w:hAnsi="Cambria Math" w:cs="Times New Roman"/>
                <w:color w:val="000000" w:themeColor="text1"/>
                <w:sz w:val="20"/>
                <w:szCs w:val="20"/>
              </w:rPr>
              <m:t>q</m:t>
            </m:r>
          </m:e>
          <m:sup>
            <m:r>
              <w:rPr>
                <w:rFonts w:ascii="Cambria Math" w:eastAsiaTheme="minorEastAsia" w:hAnsi="Cambria Math" w:cs="Times New Roman"/>
                <w:color w:val="000000" w:themeColor="text1"/>
                <w:sz w:val="20"/>
                <w:szCs w:val="20"/>
              </w:rPr>
              <m:t>*</m:t>
            </m:r>
          </m:sup>
        </m:sSup>
      </m:oMath>
      <w:r w:rsidR="000709F6" w:rsidRPr="0092090B">
        <w:rPr>
          <w:rFonts w:ascii="Times New Roman" w:eastAsiaTheme="minorEastAsia" w:hAnsi="Times New Roman" w:cs="Times New Roman"/>
          <w:color w:val="000000" w:themeColor="text1"/>
          <w:sz w:val="20"/>
          <w:szCs w:val="20"/>
        </w:rPr>
        <w:t xml:space="preserve"> is defined as follows: for </w:t>
      </w:r>
      <w:r w:rsidR="000709F6" w:rsidRPr="0092090B">
        <w:rPr>
          <w:rFonts w:ascii="Times New Roman" w:eastAsiaTheme="minorEastAsia" w:hAnsi="Times New Roman" w:cs="Times New Roman"/>
          <w:color w:val="000000" w:themeColor="text1"/>
          <w:sz w:val="20"/>
          <w:szCs w:val="20"/>
          <w:lang w:eastAsia="zh-CN"/>
        </w:rPr>
        <w:t xml:space="preserve">outcome measured as MD, </w:t>
      </w:r>
      <m:oMath>
        <m:sSup>
          <m:sSupPr>
            <m:ctrlPr>
              <w:rPr>
                <w:rFonts w:ascii="Cambria Math" w:eastAsiaTheme="minorEastAsia" w:hAnsi="Cambria Math" w:cs="Times New Roman"/>
                <w:i/>
                <w:color w:val="000000" w:themeColor="text1"/>
                <w:sz w:val="20"/>
                <w:szCs w:val="20"/>
                <w:lang w:eastAsia="zh-CN"/>
              </w:rPr>
            </m:ctrlPr>
          </m:sSupPr>
          <m:e>
            <m:r>
              <w:rPr>
                <w:rFonts w:ascii="Cambria Math" w:eastAsiaTheme="minorEastAsia" w:hAnsi="Cambria Math" w:cs="Times New Roman"/>
                <w:color w:val="000000" w:themeColor="text1"/>
                <w:sz w:val="20"/>
                <w:szCs w:val="20"/>
                <w:lang w:eastAsia="zh-CN"/>
              </w:rPr>
              <m:t>q</m:t>
            </m:r>
          </m:e>
          <m:sup>
            <m:r>
              <w:rPr>
                <w:rFonts w:ascii="Cambria Math" w:eastAsiaTheme="minorEastAsia" w:hAnsi="Cambria Math" w:cs="Times New Roman"/>
                <w:color w:val="000000" w:themeColor="text1"/>
                <w:sz w:val="20"/>
                <w:szCs w:val="20"/>
                <w:lang w:eastAsia="zh-CN"/>
              </w:rPr>
              <m:t>*</m:t>
            </m:r>
          </m:sup>
        </m:sSup>
      </m:oMath>
      <w:r w:rsidR="000709F6" w:rsidRPr="0092090B">
        <w:rPr>
          <w:rFonts w:ascii="Times New Roman" w:eastAsiaTheme="minorEastAsia" w:hAnsi="Times New Roman" w:cs="Times New Roman"/>
          <w:color w:val="000000" w:themeColor="text1"/>
          <w:sz w:val="20"/>
          <w:szCs w:val="20"/>
          <w:lang w:eastAsia="zh-CN"/>
        </w:rPr>
        <w:t xml:space="preserve"> = 0; for RR, </w:t>
      </w:r>
      <m:oMath>
        <m:sSup>
          <m:sSupPr>
            <m:ctrlPr>
              <w:rPr>
                <w:rFonts w:ascii="Cambria Math" w:eastAsiaTheme="minorEastAsia" w:hAnsi="Cambria Math" w:cs="Times New Roman"/>
                <w:i/>
                <w:color w:val="000000" w:themeColor="text1"/>
                <w:sz w:val="20"/>
                <w:szCs w:val="20"/>
                <w:lang w:eastAsia="zh-CN"/>
              </w:rPr>
            </m:ctrlPr>
          </m:sSupPr>
          <m:e>
            <m:r>
              <w:rPr>
                <w:rFonts w:ascii="Cambria Math" w:eastAsiaTheme="minorEastAsia" w:hAnsi="Cambria Math" w:cs="Times New Roman"/>
                <w:color w:val="000000" w:themeColor="text1"/>
                <w:sz w:val="20"/>
                <w:szCs w:val="20"/>
                <w:lang w:eastAsia="zh-CN"/>
              </w:rPr>
              <m:t>q</m:t>
            </m:r>
          </m:e>
          <m:sup>
            <m:r>
              <w:rPr>
                <w:rFonts w:ascii="Cambria Math" w:eastAsiaTheme="minorEastAsia" w:hAnsi="Cambria Math" w:cs="Times New Roman"/>
                <w:color w:val="000000" w:themeColor="text1"/>
                <w:sz w:val="20"/>
                <w:szCs w:val="20"/>
                <w:lang w:eastAsia="zh-CN"/>
              </w:rPr>
              <m:t>*</m:t>
            </m:r>
          </m:sup>
        </m:sSup>
      </m:oMath>
      <w:r w:rsidR="000709F6" w:rsidRPr="0092090B">
        <w:rPr>
          <w:rFonts w:ascii="Times New Roman" w:eastAsiaTheme="minorEastAsia" w:hAnsi="Times New Roman" w:cs="Times New Roman"/>
          <w:color w:val="000000" w:themeColor="text1"/>
          <w:sz w:val="20"/>
          <w:szCs w:val="20"/>
          <w:lang w:eastAsia="zh-CN"/>
        </w:rPr>
        <w:t xml:space="preserve"> = 1.0 or 1.1.</w:t>
      </w:r>
    </w:p>
    <w:p w14:paraId="26536CEC" w14:textId="77777777" w:rsidR="000709F6" w:rsidRPr="0092090B" w:rsidRDefault="000709F6" w:rsidP="0092090B">
      <w:pPr>
        <w:ind w:left="360"/>
        <w:rPr>
          <w:rFonts w:ascii="Times New Roman" w:eastAsia="Microsoft YaHei" w:hAnsi="Times New Roman" w:cs="Times New Roman"/>
          <w:color w:val="000000" w:themeColor="text1"/>
          <w:sz w:val="20"/>
          <w:szCs w:val="20"/>
          <w:lang w:eastAsia="zh-CN"/>
        </w:rPr>
      </w:pPr>
    </w:p>
    <w:p w14:paraId="698659B9" w14:textId="77777777" w:rsidR="000709F6" w:rsidRPr="0092090B" w:rsidRDefault="000709F6" w:rsidP="0092090B">
      <w:pPr>
        <w:pStyle w:val="ListParagraph"/>
        <w:numPr>
          <w:ilvl w:val="0"/>
          <w:numId w:val="14"/>
        </w:numPr>
        <w:spacing w:after="20" w:line="240" w:lineRule="auto"/>
        <w:rPr>
          <w:rFonts w:ascii="Times New Roman" w:eastAsia="Microsoft YaHei" w:hAnsi="Times New Roman" w:cs="Times New Roman"/>
          <w:b/>
          <w:bCs/>
          <w:color w:val="000000" w:themeColor="text1"/>
          <w:sz w:val="20"/>
          <w:szCs w:val="20"/>
          <w:lang w:eastAsia="zh-CN"/>
        </w:rPr>
      </w:pPr>
      <w:r>
        <w:rPr>
          <w:rFonts w:ascii="Times New Roman" w:hAnsi="Times New Roman" w:cs="Times New Roman"/>
          <w:b/>
          <w:bCs/>
          <w:color w:val="000000" w:themeColor="text1"/>
          <w:sz w:val="20"/>
          <w:szCs w:val="20"/>
          <w:lang w:eastAsia="zh-CN"/>
        </w:rPr>
        <w:t>S</w:t>
      </w:r>
      <w:r w:rsidRPr="0092090B">
        <w:rPr>
          <w:rFonts w:ascii="Times New Roman" w:hAnsi="Times New Roman" w:cs="Times New Roman"/>
          <w:b/>
          <w:bCs/>
          <w:color w:val="000000" w:themeColor="text1"/>
          <w:sz w:val="20"/>
          <w:szCs w:val="20"/>
          <w:lang w:eastAsia="zh-CN"/>
        </w:rPr>
        <w:t>mall-study effects</w:t>
      </w:r>
    </w:p>
    <w:p w14:paraId="622CECB1" w14:textId="77777777" w:rsidR="000709F6" w:rsidRPr="000A384B" w:rsidRDefault="000709F6" w:rsidP="000A384B">
      <w:pPr>
        <w:pStyle w:val="ListParagraph"/>
        <w:spacing w:after="20" w:line="240" w:lineRule="auto"/>
        <w:ind w:left="360"/>
        <w:rPr>
          <w:rFonts w:ascii="Times New Roman" w:hAnsi="Times New Roman" w:cs="Times New Roman"/>
          <w:color w:val="000000" w:themeColor="text1"/>
          <w:sz w:val="20"/>
          <w:szCs w:val="20"/>
          <w:lang w:eastAsia="zh-CN"/>
        </w:rPr>
      </w:pPr>
      <w:r w:rsidRPr="0092090B">
        <w:rPr>
          <w:rFonts w:ascii="Times New Roman" w:hAnsi="Times New Roman" w:cs="Times New Roman"/>
          <w:color w:val="000000" w:themeColor="text1"/>
          <w:sz w:val="20"/>
          <w:szCs w:val="20"/>
          <w:lang w:eastAsia="zh-CN"/>
        </w:rPr>
        <w:t xml:space="preserve">Small-study effects describe the tendency for smaller studies in a meta-analysis to show </w:t>
      </w:r>
      <w:r>
        <w:rPr>
          <w:rFonts w:ascii="Times New Roman" w:hAnsi="Times New Roman" w:cs="Times New Roman"/>
          <w:color w:val="000000" w:themeColor="text1"/>
          <w:sz w:val="20"/>
          <w:szCs w:val="20"/>
          <w:lang w:eastAsia="zh-CN"/>
        </w:rPr>
        <w:t>more pronounced</w:t>
      </w:r>
      <w:r w:rsidRPr="0092090B">
        <w:rPr>
          <w:rFonts w:ascii="Times New Roman" w:hAnsi="Times New Roman" w:cs="Times New Roman"/>
          <w:color w:val="000000" w:themeColor="text1"/>
          <w:sz w:val="20"/>
          <w:szCs w:val="20"/>
          <w:lang w:eastAsia="zh-CN"/>
        </w:rPr>
        <w:t xml:space="preserve"> effects</w:t>
      </w:r>
      <w:r>
        <w:rPr>
          <w:rFonts w:ascii="Times New Roman" w:hAnsi="Times New Roman" w:cs="Times New Roman"/>
          <w:color w:val="000000" w:themeColor="text1"/>
          <w:sz w:val="20"/>
          <w:szCs w:val="20"/>
          <w:lang w:eastAsia="zh-CN"/>
        </w:rPr>
        <w:t xml:space="preserve"> than larger studies </w:t>
      </w:r>
      <w:r>
        <w:rPr>
          <w:rFonts w:ascii="Times New Roman" w:hAnsi="Times New Roman" w:cs="Times New Roman"/>
          <w:noProof/>
          <w:color w:val="000000" w:themeColor="text1"/>
          <w:sz w:val="20"/>
          <w:szCs w:val="20"/>
          <w:lang w:eastAsia="zh-CN"/>
        </w:rPr>
        <w:t>[13]</w:t>
      </w:r>
      <w:r>
        <w:rPr>
          <w:rFonts w:ascii="Times New Roman" w:hAnsi="Times New Roman" w:cs="Times New Roman"/>
          <w:color w:val="000000" w:themeColor="text1"/>
          <w:sz w:val="20"/>
          <w:szCs w:val="20"/>
          <w:lang w:eastAsia="zh-CN"/>
        </w:rPr>
        <w:t>.</w:t>
      </w:r>
      <w:r w:rsidRPr="0092090B">
        <w:rPr>
          <w:rFonts w:ascii="Times New Roman" w:hAnsi="Times New Roman" w:cs="Times New Roman"/>
          <w:color w:val="000000" w:themeColor="text1"/>
          <w:sz w:val="20"/>
          <w:szCs w:val="20"/>
          <w:lang w:eastAsia="zh-CN"/>
        </w:rPr>
        <w:t xml:space="preserve"> Possible causes include </w:t>
      </w:r>
      <w:r>
        <w:rPr>
          <w:rFonts w:ascii="Times New Roman" w:eastAsia="Microsoft YaHei" w:hAnsi="Times New Roman" w:cs="Times New Roman"/>
          <w:color w:val="000000" w:themeColor="text1"/>
          <w:sz w:val="20"/>
          <w:szCs w:val="20"/>
          <w:lang w:eastAsia="zh-CN"/>
        </w:rPr>
        <w:t>publication</w:t>
      </w:r>
      <w:r w:rsidRPr="0092090B">
        <w:rPr>
          <w:rFonts w:ascii="Times New Roman" w:eastAsia="Microsoft YaHei" w:hAnsi="Times New Roman" w:cs="Times New Roman"/>
          <w:color w:val="000000" w:themeColor="text1"/>
          <w:sz w:val="20"/>
          <w:szCs w:val="20"/>
          <w:lang w:eastAsia="zh-CN"/>
        </w:rPr>
        <w:t xml:space="preserve"> </w:t>
      </w:r>
      <w:r w:rsidRPr="0092090B">
        <w:rPr>
          <w:rFonts w:ascii="Times New Roman" w:hAnsi="Times New Roman" w:cs="Times New Roman"/>
          <w:color w:val="000000" w:themeColor="text1"/>
          <w:sz w:val="20"/>
          <w:szCs w:val="20"/>
          <w:lang w:eastAsia="zh-CN"/>
        </w:rPr>
        <w:t>bias, true heterogeneity</w:t>
      </w:r>
      <w:r>
        <w:rPr>
          <w:rFonts w:ascii="Times New Roman" w:hAnsi="Times New Roman" w:cs="Times New Roman"/>
          <w:color w:val="000000" w:themeColor="text1"/>
          <w:sz w:val="20"/>
          <w:szCs w:val="20"/>
          <w:lang w:eastAsia="zh-CN"/>
        </w:rPr>
        <w:t>, data irregularities</w:t>
      </w:r>
      <w:r w:rsidRPr="000A384B">
        <w:rPr>
          <w:rFonts w:ascii="Times New Roman" w:hAnsi="Times New Roman" w:cs="Times New Roman"/>
          <w:color w:val="000000" w:themeColor="text1"/>
          <w:sz w:val="20"/>
          <w:szCs w:val="20"/>
          <w:lang w:eastAsia="zh-CN"/>
        </w:rPr>
        <w:t xml:space="preserve">, </w:t>
      </w:r>
      <w:proofErr w:type="spellStart"/>
      <w:r w:rsidRPr="000A384B">
        <w:rPr>
          <w:rFonts w:ascii="Times New Roman" w:hAnsi="Times New Roman" w:cs="Times New Roman"/>
          <w:color w:val="000000" w:themeColor="text1"/>
          <w:sz w:val="20"/>
          <w:szCs w:val="20"/>
          <w:lang w:eastAsia="zh-CN"/>
        </w:rPr>
        <w:t>etc</w:t>
      </w:r>
      <w:proofErr w:type="spellEnd"/>
      <w:r>
        <w:rPr>
          <w:rFonts w:ascii="Times New Roman" w:hAnsi="Times New Roman" w:cs="Times New Roman"/>
          <w:color w:val="000000" w:themeColor="text1"/>
          <w:sz w:val="20"/>
          <w:szCs w:val="20"/>
          <w:lang w:eastAsia="zh-CN"/>
        </w:rPr>
        <w:t xml:space="preserve"> </w:t>
      </w:r>
      <w:r>
        <w:rPr>
          <w:rFonts w:ascii="Times New Roman" w:hAnsi="Times New Roman" w:cs="Times New Roman"/>
          <w:noProof/>
          <w:color w:val="000000" w:themeColor="text1"/>
          <w:sz w:val="20"/>
          <w:szCs w:val="20"/>
          <w:lang w:eastAsia="zh-CN"/>
        </w:rPr>
        <w:t>[14]</w:t>
      </w:r>
      <w:r>
        <w:rPr>
          <w:rFonts w:ascii="Times New Roman" w:hAnsi="Times New Roman" w:cs="Times New Roman"/>
          <w:color w:val="000000" w:themeColor="text1"/>
          <w:sz w:val="20"/>
          <w:szCs w:val="20"/>
          <w:lang w:eastAsia="zh-CN"/>
        </w:rPr>
        <w:t>.</w:t>
      </w:r>
      <w:r w:rsidRPr="000A384B">
        <w:rPr>
          <w:rFonts w:ascii="Times New Roman" w:hAnsi="Times New Roman" w:cs="Times New Roman"/>
          <w:color w:val="000000" w:themeColor="text1"/>
          <w:sz w:val="20"/>
          <w:szCs w:val="20"/>
          <w:lang w:eastAsia="zh-CN"/>
        </w:rPr>
        <w:t xml:space="preserve"> </w:t>
      </w:r>
      <w:r>
        <w:rPr>
          <w:rFonts w:ascii="Times New Roman" w:hAnsi="Times New Roman" w:cs="Times New Roman"/>
          <w:color w:val="000000" w:themeColor="text1"/>
          <w:sz w:val="20"/>
          <w:szCs w:val="20"/>
          <w:lang w:eastAsia="zh-CN"/>
        </w:rPr>
        <w:t>We plan to use a</w:t>
      </w:r>
      <w:r w:rsidRPr="000A384B">
        <w:rPr>
          <w:rFonts w:ascii="Times New Roman" w:hAnsi="Times New Roman" w:cs="Times New Roman"/>
          <w:color w:val="000000" w:themeColor="text1"/>
          <w:sz w:val="20"/>
          <w:szCs w:val="20"/>
          <w:lang w:eastAsia="zh-CN"/>
        </w:rPr>
        <w:t xml:space="preserve"> random-effects Egger’s regression</w:t>
      </w:r>
      <w:r>
        <w:rPr>
          <w:rFonts w:ascii="Times New Roman" w:hAnsi="Times New Roman" w:cs="Times New Roman"/>
          <w:color w:val="000000" w:themeColor="text1"/>
          <w:sz w:val="20"/>
          <w:szCs w:val="20"/>
          <w:lang w:eastAsia="zh-CN"/>
        </w:rPr>
        <w:t xml:space="preserve"> </w:t>
      </w:r>
      <w:r w:rsidRPr="000A384B">
        <w:rPr>
          <w:rFonts w:ascii="Times New Roman" w:hAnsi="Times New Roman" w:cs="Times New Roman"/>
          <w:color w:val="000000" w:themeColor="text1"/>
          <w:sz w:val="20"/>
          <w:szCs w:val="20"/>
          <w:lang w:eastAsia="zh-CN"/>
        </w:rPr>
        <w:t xml:space="preserve">to examine whether there </w:t>
      </w:r>
      <w:r>
        <w:rPr>
          <w:rFonts w:ascii="Times New Roman" w:hAnsi="Times New Roman" w:cs="Times New Roman"/>
          <w:color w:val="000000" w:themeColor="text1"/>
          <w:sz w:val="20"/>
          <w:szCs w:val="20"/>
          <w:lang w:eastAsia="zh-CN"/>
        </w:rPr>
        <w:t>is</w:t>
      </w:r>
      <w:r w:rsidRPr="000A384B">
        <w:rPr>
          <w:rFonts w:ascii="Times New Roman" w:hAnsi="Times New Roman" w:cs="Times New Roman"/>
          <w:color w:val="000000" w:themeColor="text1"/>
          <w:sz w:val="20"/>
          <w:szCs w:val="20"/>
          <w:lang w:eastAsia="zh-CN"/>
        </w:rPr>
        <w:t xml:space="preserve"> indication</w:t>
      </w:r>
      <w:r>
        <w:rPr>
          <w:rFonts w:ascii="Times New Roman" w:hAnsi="Times New Roman" w:cs="Times New Roman"/>
          <w:color w:val="000000" w:themeColor="text1"/>
          <w:sz w:val="20"/>
          <w:szCs w:val="20"/>
          <w:lang w:eastAsia="zh-CN"/>
        </w:rPr>
        <w:t xml:space="preserve"> </w:t>
      </w:r>
      <w:r w:rsidRPr="000A384B">
        <w:rPr>
          <w:rFonts w:ascii="Times New Roman" w:hAnsi="Times New Roman" w:cs="Times New Roman"/>
          <w:color w:val="000000" w:themeColor="text1"/>
          <w:sz w:val="20"/>
          <w:szCs w:val="20"/>
          <w:lang w:eastAsia="zh-CN"/>
        </w:rPr>
        <w:t>of small-study effects</w:t>
      </w:r>
      <w:r>
        <w:rPr>
          <w:rFonts w:ascii="Times New Roman" w:hAnsi="Times New Roman" w:cs="Times New Roman"/>
          <w:color w:val="000000" w:themeColor="text1"/>
          <w:sz w:val="20"/>
          <w:szCs w:val="20"/>
          <w:lang w:eastAsia="zh-CN"/>
        </w:rPr>
        <w:t xml:space="preserve"> </w:t>
      </w:r>
      <w:r>
        <w:rPr>
          <w:rFonts w:ascii="Times New Roman" w:hAnsi="Times New Roman" w:cs="Times New Roman"/>
          <w:noProof/>
          <w:color w:val="000000" w:themeColor="text1"/>
          <w:sz w:val="20"/>
          <w:szCs w:val="20"/>
          <w:lang w:eastAsia="zh-CN"/>
        </w:rPr>
        <w:t>[14]</w:t>
      </w:r>
      <w:r>
        <w:rPr>
          <w:rFonts w:ascii="Times New Roman" w:hAnsi="Times New Roman" w:cs="Times New Roman"/>
          <w:color w:val="000000" w:themeColor="text1"/>
          <w:sz w:val="20"/>
          <w:szCs w:val="20"/>
          <w:lang w:eastAsia="zh-CN"/>
        </w:rPr>
        <w:t>.</w:t>
      </w:r>
      <w:r w:rsidRPr="000A384B">
        <w:rPr>
          <w:rFonts w:ascii="Times New Roman" w:hAnsi="Times New Roman" w:cs="Times New Roman"/>
          <w:color w:val="000000" w:themeColor="text1"/>
          <w:sz w:val="20"/>
          <w:szCs w:val="20"/>
          <w:lang w:eastAsia="zh-CN"/>
        </w:rPr>
        <w:t xml:space="preserve"> Egger’s regression </w:t>
      </w:r>
      <w:r>
        <w:rPr>
          <w:rFonts w:ascii="Times New Roman" w:hAnsi="Times New Roman" w:cs="Times New Roman"/>
          <w:color w:val="000000" w:themeColor="text1"/>
          <w:sz w:val="20"/>
          <w:szCs w:val="20"/>
          <w:lang w:eastAsia="zh-CN"/>
        </w:rPr>
        <w:t>is</w:t>
      </w:r>
      <w:r w:rsidRPr="000A384B">
        <w:rPr>
          <w:rFonts w:ascii="Times New Roman" w:hAnsi="Times New Roman" w:cs="Times New Roman"/>
          <w:color w:val="000000" w:themeColor="text1"/>
          <w:sz w:val="20"/>
          <w:szCs w:val="20"/>
          <w:lang w:eastAsia="zh-CN"/>
        </w:rPr>
        <w:t xml:space="preserve"> recommended </w:t>
      </w:r>
      <w:r>
        <w:rPr>
          <w:rFonts w:ascii="Times New Roman" w:hAnsi="Times New Roman" w:cs="Times New Roman"/>
          <w:color w:val="000000" w:themeColor="text1"/>
          <w:sz w:val="20"/>
          <w:szCs w:val="20"/>
          <w:lang w:eastAsia="zh-CN"/>
        </w:rPr>
        <w:t xml:space="preserve">for use </w:t>
      </w:r>
      <w:r w:rsidRPr="000A384B">
        <w:rPr>
          <w:rFonts w:ascii="Times New Roman" w:hAnsi="Times New Roman" w:cs="Times New Roman"/>
          <w:color w:val="000000" w:themeColor="text1"/>
          <w:sz w:val="20"/>
          <w:szCs w:val="20"/>
          <w:lang w:eastAsia="zh-CN"/>
        </w:rPr>
        <w:t xml:space="preserve">in </w:t>
      </w:r>
      <w:r w:rsidRPr="000A384B">
        <w:rPr>
          <w:rFonts w:ascii="Times New Roman" w:hAnsi="Times New Roman" w:cs="Times New Roman"/>
          <w:color w:val="000000" w:themeColor="text1"/>
          <w:sz w:val="20"/>
          <w:szCs w:val="20"/>
        </w:rPr>
        <w:t xml:space="preserve">meta-analyses of </w:t>
      </w:r>
      <m:oMath>
        <m:r>
          <w:rPr>
            <w:rFonts w:ascii="Cambria Math" w:hAnsi="Cambria Math" w:cs="Times New Roman"/>
            <w:color w:val="000000" w:themeColor="text1"/>
            <w:sz w:val="20"/>
            <w:szCs w:val="20"/>
          </w:rPr>
          <m:t>≥</m:t>
        </m:r>
      </m:oMath>
      <w:r w:rsidRPr="000A384B">
        <w:rPr>
          <w:rFonts w:ascii="Times New Roman" w:eastAsiaTheme="minorEastAsia" w:hAnsi="Times New Roman" w:cs="Times New Roman"/>
          <w:color w:val="000000" w:themeColor="text1"/>
          <w:sz w:val="20"/>
          <w:szCs w:val="20"/>
        </w:rPr>
        <w:t xml:space="preserve"> 10 studies</w:t>
      </w:r>
      <w:r>
        <w:rPr>
          <w:rFonts w:ascii="Times New Roman" w:eastAsiaTheme="minorEastAsia" w:hAnsi="Times New Roman" w:cs="Times New Roman"/>
          <w:color w:val="000000" w:themeColor="text1"/>
          <w:sz w:val="20"/>
          <w:szCs w:val="20"/>
        </w:rPr>
        <w:t xml:space="preserve"> </w:t>
      </w:r>
      <w:r>
        <w:rPr>
          <w:rFonts w:ascii="Times New Roman" w:eastAsiaTheme="minorEastAsia" w:hAnsi="Times New Roman" w:cs="Times New Roman"/>
          <w:noProof/>
          <w:color w:val="000000" w:themeColor="text1"/>
          <w:sz w:val="20"/>
          <w:szCs w:val="20"/>
        </w:rPr>
        <w:t>[15]</w:t>
      </w:r>
      <w:r>
        <w:rPr>
          <w:rFonts w:ascii="Times New Roman" w:eastAsiaTheme="minorEastAsia" w:hAnsi="Times New Roman" w:cs="Times New Roman"/>
          <w:color w:val="000000" w:themeColor="text1"/>
          <w:sz w:val="20"/>
          <w:szCs w:val="20"/>
        </w:rPr>
        <w:t>.</w:t>
      </w:r>
    </w:p>
    <w:p w14:paraId="70811E03" w14:textId="77777777" w:rsidR="000709F6" w:rsidRPr="0092090B" w:rsidRDefault="000709F6" w:rsidP="0092090B">
      <w:pPr>
        <w:pStyle w:val="ListParagraph"/>
        <w:spacing w:after="20" w:line="240" w:lineRule="auto"/>
        <w:ind w:left="360"/>
        <w:rPr>
          <w:rFonts w:ascii="Times New Roman" w:hAnsi="Times New Roman" w:cs="Times New Roman"/>
          <w:color w:val="000000" w:themeColor="text1"/>
          <w:sz w:val="20"/>
          <w:szCs w:val="20"/>
          <w:lang w:eastAsia="zh-CN"/>
        </w:rPr>
      </w:pPr>
    </w:p>
    <w:p w14:paraId="24693F85" w14:textId="77777777" w:rsidR="000709F6" w:rsidRPr="00E33356" w:rsidRDefault="000709F6" w:rsidP="00E33356">
      <w:pPr>
        <w:pStyle w:val="ListParagraph"/>
        <w:numPr>
          <w:ilvl w:val="0"/>
          <w:numId w:val="8"/>
        </w:numPr>
        <w:spacing w:after="20" w:line="240" w:lineRule="auto"/>
        <w:rPr>
          <w:rFonts w:ascii="Times New Roman" w:eastAsia="Microsoft YaHei" w:hAnsi="Times New Roman" w:cs="Times New Roman"/>
          <w:color w:val="000000" w:themeColor="text1"/>
          <w:sz w:val="20"/>
          <w:szCs w:val="20"/>
          <w:lang w:eastAsia="zh-CN"/>
        </w:rPr>
      </w:pPr>
      <w:r w:rsidRPr="0092090B">
        <w:rPr>
          <w:rFonts w:ascii="Times New Roman" w:hAnsi="Times New Roman" w:cs="Times New Roman"/>
          <w:color w:val="000000" w:themeColor="text1"/>
          <w:sz w:val="20"/>
          <w:szCs w:val="20"/>
          <w:lang w:eastAsia="zh-CN"/>
        </w:rPr>
        <w:t>Indication of small-study effects</w:t>
      </w:r>
      <w:r>
        <w:rPr>
          <w:rFonts w:ascii="Times New Roman" w:hAnsi="Times New Roman" w:cs="Times New Roman"/>
          <w:color w:val="000000" w:themeColor="text1"/>
          <w:sz w:val="20"/>
          <w:szCs w:val="20"/>
          <w:lang w:eastAsia="zh-CN"/>
        </w:rPr>
        <w:t xml:space="preserve"> </w:t>
      </w:r>
      <w:r>
        <w:rPr>
          <w:rFonts w:ascii="Times New Roman" w:hAnsi="Times New Roman" w:cs="Times New Roman"/>
          <w:noProof/>
          <w:color w:val="000000" w:themeColor="text1"/>
          <w:sz w:val="20"/>
          <w:szCs w:val="20"/>
          <w:lang w:eastAsia="zh-CN"/>
        </w:rPr>
        <w:t>[14]</w:t>
      </w:r>
      <w:r w:rsidRPr="0092090B">
        <w:rPr>
          <w:rFonts w:ascii="Times New Roman" w:hAnsi="Times New Roman" w:cs="Times New Roman"/>
          <w:color w:val="000000" w:themeColor="text1"/>
          <w:sz w:val="20"/>
          <w:szCs w:val="20"/>
          <w:lang w:eastAsia="zh-CN"/>
        </w:rPr>
        <w:t>: “</w:t>
      </w:r>
      <m:oMath>
        <m:r>
          <w:rPr>
            <w:rFonts w:ascii="Cambria Math" w:hAnsi="Cambria Math" w:cs="Times New Roman"/>
            <w:color w:val="000000" w:themeColor="text1"/>
            <w:sz w:val="20"/>
            <w:szCs w:val="20"/>
            <w:lang w:eastAsia="zh-CN"/>
          </w:rPr>
          <m:t>P&lt;</m:t>
        </m:r>
      </m:oMath>
      <w:r w:rsidRPr="00FB48C4">
        <w:rPr>
          <w:rFonts w:ascii="Times New Roman" w:eastAsiaTheme="minorEastAsia" w:hAnsi="Times New Roman" w:cs="Times New Roman"/>
          <w:bCs/>
          <w:color w:val="000000" w:themeColor="text1"/>
          <w:sz w:val="20"/>
          <w:szCs w:val="20"/>
          <w:lang w:eastAsia="zh-CN"/>
        </w:rPr>
        <w:t xml:space="preserve"> 0.10</w:t>
      </w:r>
      <w:r w:rsidRPr="0092090B">
        <w:rPr>
          <w:rFonts w:ascii="Times New Roman" w:eastAsiaTheme="minorEastAsia" w:hAnsi="Times New Roman" w:cs="Times New Roman"/>
          <w:b/>
          <w:bCs/>
          <w:color w:val="000000" w:themeColor="text1"/>
          <w:sz w:val="20"/>
          <w:szCs w:val="20"/>
          <w:lang w:eastAsia="zh-CN"/>
        </w:rPr>
        <w:t xml:space="preserve"> </w:t>
      </w:r>
      <w:r w:rsidRPr="0092090B">
        <w:rPr>
          <w:rFonts w:ascii="Times New Roman" w:eastAsiaTheme="minorEastAsia" w:hAnsi="Times New Roman" w:cs="Times New Roman"/>
          <w:color w:val="000000" w:themeColor="text1"/>
          <w:sz w:val="20"/>
          <w:szCs w:val="20"/>
          <w:lang w:eastAsia="zh-CN"/>
        </w:rPr>
        <w:t xml:space="preserve">(two-sided) </w:t>
      </w:r>
      <w:r w:rsidRPr="0092090B">
        <w:rPr>
          <w:rFonts w:ascii="Times New Roman" w:hAnsi="Times New Roman" w:cs="Times New Roman"/>
          <w:color w:val="000000" w:themeColor="text1"/>
          <w:sz w:val="20"/>
          <w:szCs w:val="20"/>
          <w:lang w:eastAsia="zh-CN"/>
        </w:rPr>
        <w:t xml:space="preserve">of Egger’s regression” plus “the random-effects summary estimate being larger than the point estimate of the </w:t>
      </w:r>
      <w:r>
        <w:rPr>
          <w:rFonts w:ascii="Times New Roman" w:hAnsi="Times New Roman" w:cs="Times New Roman"/>
          <w:color w:val="000000" w:themeColor="text1"/>
          <w:sz w:val="20"/>
          <w:szCs w:val="20"/>
          <w:lang w:eastAsia="zh-CN"/>
        </w:rPr>
        <w:t xml:space="preserve">most precise study </w:t>
      </w:r>
      <w:r w:rsidRPr="00E33356">
        <w:rPr>
          <w:rFonts w:ascii="Times New Roman" w:hAnsi="Times New Roman" w:cs="Times New Roman"/>
          <w:color w:val="000000" w:themeColor="text1"/>
          <w:sz w:val="20"/>
          <w:szCs w:val="20"/>
          <w:lang w:eastAsia="zh-CN"/>
        </w:rPr>
        <w:t>(the study with the smallest standard error) in the meta-analysis”.</w:t>
      </w:r>
    </w:p>
    <w:p w14:paraId="74B6907A" w14:textId="77777777" w:rsidR="000709F6" w:rsidRPr="0092090B" w:rsidRDefault="000709F6" w:rsidP="0092090B">
      <w:pPr>
        <w:ind w:left="360"/>
        <w:rPr>
          <w:rFonts w:ascii="Times New Roman" w:eastAsia="Microsoft YaHei" w:hAnsi="Times New Roman" w:cs="Times New Roman"/>
          <w:color w:val="000000" w:themeColor="text1"/>
          <w:sz w:val="20"/>
          <w:szCs w:val="20"/>
          <w:lang w:eastAsia="zh-CN"/>
        </w:rPr>
      </w:pPr>
    </w:p>
    <w:p w14:paraId="1AD19D3F" w14:textId="77777777" w:rsidR="000709F6" w:rsidRPr="001A7225" w:rsidRDefault="000709F6" w:rsidP="0092090B">
      <w:pPr>
        <w:pStyle w:val="ListParagraph"/>
        <w:numPr>
          <w:ilvl w:val="0"/>
          <w:numId w:val="14"/>
        </w:numPr>
        <w:spacing w:after="20" w:line="240" w:lineRule="auto"/>
        <w:rPr>
          <w:rFonts w:ascii="Times New Roman" w:eastAsia="Microsoft YaHei" w:hAnsi="Times New Roman" w:cs="Times New Roman"/>
          <w:b/>
          <w:bCs/>
          <w:color w:val="000000" w:themeColor="text1"/>
          <w:sz w:val="20"/>
          <w:szCs w:val="20"/>
          <w:lang w:eastAsia="zh-CN"/>
        </w:rPr>
      </w:pPr>
      <w:r w:rsidRPr="001A7225">
        <w:rPr>
          <w:rFonts w:ascii="Times New Roman" w:eastAsia="Microsoft YaHei" w:hAnsi="Times New Roman" w:cs="Times New Roman"/>
          <w:b/>
          <w:bCs/>
          <w:color w:val="000000" w:themeColor="text1"/>
          <w:sz w:val="20"/>
          <w:szCs w:val="20"/>
          <w:lang w:eastAsia="zh-CN"/>
        </w:rPr>
        <w:t>Publication bias</w:t>
      </w:r>
    </w:p>
    <w:p w14:paraId="768A365A" w14:textId="77777777" w:rsidR="000709F6" w:rsidRPr="000821F6" w:rsidRDefault="000709F6" w:rsidP="000821F6">
      <w:pPr>
        <w:pStyle w:val="ListParagraph"/>
        <w:spacing w:after="20" w:line="240" w:lineRule="auto"/>
        <w:ind w:left="357"/>
        <w:rPr>
          <w:rFonts w:ascii="Times New Roman" w:eastAsia="Microsoft YaHei" w:hAnsi="Times New Roman" w:cs="Times New Roman"/>
          <w:color w:val="000000" w:themeColor="text1"/>
          <w:sz w:val="20"/>
          <w:szCs w:val="20"/>
          <w:lang w:eastAsia="zh-CN"/>
        </w:rPr>
      </w:pPr>
      <w:r>
        <w:rPr>
          <w:rFonts w:ascii="Times New Roman" w:eastAsia="Microsoft YaHei" w:hAnsi="Times New Roman" w:cs="Times New Roman"/>
          <w:color w:val="000000" w:themeColor="text1"/>
          <w:sz w:val="20"/>
          <w:szCs w:val="20"/>
          <w:lang w:eastAsia="zh-CN"/>
        </w:rPr>
        <w:t>Publication</w:t>
      </w:r>
      <w:r w:rsidRPr="0092090B">
        <w:rPr>
          <w:rFonts w:ascii="Times New Roman" w:eastAsia="Microsoft YaHei" w:hAnsi="Times New Roman" w:cs="Times New Roman"/>
          <w:color w:val="000000" w:themeColor="text1"/>
          <w:sz w:val="20"/>
          <w:szCs w:val="20"/>
          <w:lang w:eastAsia="zh-CN"/>
        </w:rPr>
        <w:t xml:space="preserve"> bias describes the “iceberg phenomenon” where the studies </w:t>
      </w:r>
      <w:r>
        <w:rPr>
          <w:rFonts w:ascii="Times New Roman" w:eastAsia="Microsoft YaHei" w:hAnsi="Times New Roman" w:cs="Times New Roman"/>
          <w:color w:val="000000" w:themeColor="text1"/>
          <w:sz w:val="20"/>
          <w:szCs w:val="20"/>
          <w:lang w:eastAsia="zh-CN"/>
        </w:rPr>
        <w:t xml:space="preserve">included </w:t>
      </w:r>
      <w:r w:rsidRPr="0092090B">
        <w:rPr>
          <w:rFonts w:ascii="Times New Roman" w:eastAsia="Microsoft YaHei" w:hAnsi="Times New Roman" w:cs="Times New Roman"/>
          <w:color w:val="000000" w:themeColor="text1"/>
          <w:sz w:val="20"/>
          <w:szCs w:val="20"/>
          <w:lang w:eastAsia="zh-CN"/>
        </w:rPr>
        <w:t>in a systematic review</w:t>
      </w:r>
      <w:r>
        <w:rPr>
          <w:rFonts w:ascii="Times New Roman" w:eastAsia="Microsoft YaHei" w:hAnsi="Times New Roman" w:cs="Times New Roman"/>
          <w:color w:val="000000" w:themeColor="text1"/>
          <w:sz w:val="20"/>
          <w:szCs w:val="20"/>
          <w:lang w:eastAsia="zh-CN"/>
        </w:rPr>
        <w:t xml:space="preserve"> </w:t>
      </w:r>
      <w:r w:rsidRPr="0092090B">
        <w:rPr>
          <w:rFonts w:ascii="Times New Roman" w:eastAsia="Microsoft YaHei" w:hAnsi="Times New Roman" w:cs="Times New Roman"/>
          <w:color w:val="000000" w:themeColor="text1"/>
          <w:sz w:val="20"/>
          <w:szCs w:val="20"/>
          <w:lang w:eastAsia="zh-CN"/>
        </w:rPr>
        <w:t xml:space="preserve">are </w:t>
      </w:r>
      <w:r w:rsidRPr="00CB27E4">
        <w:rPr>
          <w:rFonts w:ascii="Times New Roman" w:eastAsia="Microsoft YaHei" w:hAnsi="Times New Roman" w:cs="Times New Roman"/>
          <w:color w:val="000000" w:themeColor="text1"/>
          <w:sz w:val="20"/>
          <w:szCs w:val="20"/>
          <w:lang w:eastAsia="zh-CN"/>
        </w:rPr>
        <w:t>systematically</w:t>
      </w:r>
      <w:r w:rsidRPr="0092090B">
        <w:rPr>
          <w:rFonts w:ascii="Times New Roman" w:eastAsia="Microsoft YaHei" w:hAnsi="Times New Roman" w:cs="Times New Roman"/>
          <w:b/>
          <w:bCs/>
          <w:color w:val="000000" w:themeColor="text1"/>
          <w:sz w:val="20"/>
          <w:szCs w:val="20"/>
          <w:lang w:eastAsia="zh-CN"/>
        </w:rPr>
        <w:t xml:space="preserve"> </w:t>
      </w:r>
      <w:r w:rsidRPr="0092090B">
        <w:rPr>
          <w:rFonts w:ascii="Times New Roman" w:eastAsia="Microsoft YaHei" w:hAnsi="Times New Roman" w:cs="Times New Roman"/>
          <w:color w:val="000000" w:themeColor="text1"/>
          <w:sz w:val="20"/>
          <w:szCs w:val="20"/>
          <w:lang w:eastAsia="zh-CN"/>
        </w:rPr>
        <w:t>unrepresentative of all studies that have been conducted on a topic</w:t>
      </w:r>
      <w:r>
        <w:rPr>
          <w:rFonts w:ascii="Times New Roman" w:eastAsia="Microsoft YaHei" w:hAnsi="Times New Roman" w:cs="Times New Roman"/>
          <w:color w:val="000000" w:themeColor="text1"/>
          <w:sz w:val="20"/>
          <w:szCs w:val="20"/>
          <w:lang w:eastAsia="zh-CN"/>
        </w:rPr>
        <w:t xml:space="preserve"> </w:t>
      </w:r>
      <w:r>
        <w:rPr>
          <w:rFonts w:ascii="Times New Roman" w:eastAsia="Microsoft YaHei" w:hAnsi="Times New Roman" w:cs="Times New Roman"/>
          <w:noProof/>
          <w:color w:val="000000" w:themeColor="text1"/>
          <w:sz w:val="20"/>
          <w:szCs w:val="20"/>
          <w:lang w:eastAsia="zh-CN"/>
        </w:rPr>
        <w:t>[16,17]</w:t>
      </w:r>
      <w:r>
        <w:rPr>
          <w:rFonts w:ascii="Times New Roman" w:eastAsia="Microsoft YaHei" w:hAnsi="Times New Roman" w:cs="Times New Roman"/>
          <w:color w:val="000000" w:themeColor="text1"/>
          <w:sz w:val="20"/>
          <w:szCs w:val="20"/>
          <w:lang w:eastAsia="zh-CN"/>
        </w:rPr>
        <w:t xml:space="preserve">. </w:t>
      </w:r>
      <w:r w:rsidRPr="0092090B">
        <w:rPr>
          <w:rFonts w:ascii="Times New Roman" w:eastAsia="Microsoft YaHei" w:hAnsi="Times New Roman" w:cs="Times New Roman"/>
          <w:color w:val="000000" w:themeColor="text1"/>
          <w:sz w:val="20"/>
          <w:szCs w:val="20"/>
          <w:lang w:eastAsia="zh-CN"/>
        </w:rPr>
        <w:t>It may lead to an exaggerated or wholly distorted conclusion of the actual body of evidence.</w:t>
      </w:r>
      <w:r>
        <w:rPr>
          <w:rFonts w:ascii="Times New Roman" w:eastAsia="Microsoft YaHei" w:hAnsi="Times New Roman" w:cs="Times New Roman"/>
          <w:color w:val="000000" w:themeColor="text1"/>
          <w:sz w:val="20"/>
          <w:szCs w:val="20"/>
          <w:lang w:eastAsia="zh-CN"/>
        </w:rPr>
        <w:t xml:space="preserve"> </w:t>
      </w:r>
      <w:r w:rsidRPr="006B26B2">
        <w:rPr>
          <w:rFonts w:ascii="Times New Roman" w:eastAsia="Microsoft YaHei" w:hAnsi="Times New Roman" w:cs="Times New Roman"/>
          <w:color w:val="000000" w:themeColor="text1"/>
          <w:sz w:val="20"/>
          <w:szCs w:val="20"/>
          <w:lang w:eastAsia="zh-CN"/>
        </w:rPr>
        <w:t xml:space="preserve">In this systematic review, we </w:t>
      </w:r>
      <w:r>
        <w:rPr>
          <w:rFonts w:ascii="Times New Roman" w:eastAsia="Microsoft YaHei" w:hAnsi="Times New Roman" w:cs="Times New Roman"/>
          <w:color w:val="000000" w:themeColor="text1"/>
          <w:sz w:val="20"/>
          <w:szCs w:val="20"/>
          <w:lang w:eastAsia="zh-CN"/>
        </w:rPr>
        <w:t>will use</w:t>
      </w:r>
      <w:r w:rsidRPr="006B26B2">
        <w:rPr>
          <w:rFonts w:ascii="Times New Roman" w:eastAsia="Microsoft YaHei" w:hAnsi="Times New Roman" w:cs="Times New Roman"/>
          <w:color w:val="000000" w:themeColor="text1"/>
          <w:sz w:val="20"/>
          <w:szCs w:val="20"/>
          <w:lang w:eastAsia="zh-CN"/>
        </w:rPr>
        <w:t xml:space="preserve"> one modelling method</w:t>
      </w:r>
      <w:r>
        <w:rPr>
          <w:rFonts w:ascii="Times New Roman" w:eastAsia="Microsoft YaHei" w:hAnsi="Times New Roman" w:cs="Times New Roman"/>
          <w:color w:val="000000" w:themeColor="text1"/>
          <w:sz w:val="20"/>
          <w:szCs w:val="20"/>
          <w:lang w:eastAsia="zh-CN"/>
        </w:rPr>
        <w:t>,</w:t>
      </w:r>
      <w:r w:rsidRPr="006B26B2">
        <w:rPr>
          <w:rFonts w:ascii="Times New Roman" w:eastAsia="Microsoft YaHei" w:hAnsi="Times New Roman" w:cs="Times New Roman"/>
          <w:color w:val="000000" w:themeColor="text1"/>
          <w:sz w:val="20"/>
          <w:szCs w:val="20"/>
          <w:lang w:eastAsia="zh-CN"/>
        </w:rPr>
        <w:t xml:space="preserve"> S-value</w:t>
      </w:r>
      <w:r>
        <w:rPr>
          <w:rFonts w:ascii="Times New Roman" w:eastAsia="Microsoft YaHei" w:hAnsi="Times New Roman" w:cs="Times New Roman"/>
          <w:color w:val="000000" w:themeColor="text1"/>
          <w:sz w:val="20"/>
          <w:szCs w:val="20"/>
          <w:lang w:eastAsia="zh-CN"/>
        </w:rPr>
        <w:t xml:space="preserve"> </w:t>
      </w:r>
      <w:r>
        <w:rPr>
          <w:rFonts w:ascii="Times New Roman" w:eastAsia="Microsoft YaHei" w:hAnsi="Times New Roman" w:cs="Times New Roman"/>
          <w:noProof/>
          <w:color w:val="000000" w:themeColor="text1"/>
          <w:sz w:val="20"/>
          <w:szCs w:val="20"/>
          <w:lang w:eastAsia="zh-CN"/>
        </w:rPr>
        <w:t>[18]</w:t>
      </w:r>
      <w:r w:rsidRPr="006B26B2">
        <w:rPr>
          <w:rFonts w:ascii="Times New Roman" w:eastAsia="Microsoft YaHei" w:hAnsi="Times New Roman" w:cs="Times New Roman"/>
          <w:color w:val="000000" w:themeColor="text1"/>
          <w:sz w:val="20"/>
          <w:szCs w:val="20"/>
          <w:lang w:eastAsia="zh-CN"/>
        </w:rPr>
        <w:t xml:space="preserve"> (see below)</w:t>
      </w:r>
      <w:r>
        <w:rPr>
          <w:rFonts w:ascii="Times New Roman" w:eastAsia="Microsoft YaHei" w:hAnsi="Times New Roman" w:cs="Times New Roman"/>
          <w:color w:val="000000" w:themeColor="text1"/>
          <w:sz w:val="20"/>
          <w:szCs w:val="20"/>
          <w:lang w:eastAsia="zh-CN"/>
        </w:rPr>
        <w:t xml:space="preserve">, to evaluate the </w:t>
      </w:r>
      <w:r w:rsidRPr="002356D1">
        <w:rPr>
          <w:rFonts w:ascii="Times New Roman" w:hAnsi="Times New Roman" w:cs="Times New Roman"/>
          <w:color w:val="000000" w:themeColor="text1"/>
          <w:sz w:val="20"/>
          <w:szCs w:val="20"/>
          <w:lang w:eastAsia="zh-CN"/>
        </w:rPr>
        <w:t>robustness of meta-analysis results to</w:t>
      </w:r>
      <w:r>
        <w:rPr>
          <w:rFonts w:ascii="Times New Roman" w:hAnsi="Times New Roman" w:cs="Times New Roman"/>
          <w:color w:val="000000" w:themeColor="text1"/>
          <w:sz w:val="20"/>
          <w:szCs w:val="20"/>
          <w:lang w:eastAsia="zh-CN"/>
        </w:rPr>
        <w:t xml:space="preserve"> potential publication bias</w:t>
      </w:r>
      <w:r w:rsidRPr="006B26B2">
        <w:rPr>
          <w:rFonts w:ascii="Times New Roman" w:eastAsia="Microsoft YaHei" w:hAnsi="Times New Roman" w:cs="Times New Roman"/>
          <w:color w:val="000000" w:themeColor="text1"/>
          <w:sz w:val="20"/>
          <w:szCs w:val="20"/>
          <w:lang w:eastAsia="zh-CN"/>
        </w:rPr>
        <w:t xml:space="preserve">. </w:t>
      </w:r>
      <w:r>
        <w:rPr>
          <w:rFonts w:ascii="Times New Roman" w:eastAsia="Microsoft YaHei" w:hAnsi="Times New Roman" w:cs="Times New Roman"/>
          <w:color w:val="000000" w:themeColor="text1"/>
          <w:sz w:val="20"/>
          <w:szCs w:val="20"/>
          <w:lang w:eastAsia="zh-CN"/>
        </w:rPr>
        <w:t>This method</w:t>
      </w:r>
      <w:r w:rsidRPr="006B26B2">
        <w:rPr>
          <w:rFonts w:ascii="Times New Roman" w:eastAsia="Microsoft YaHei" w:hAnsi="Times New Roman" w:cs="Times New Roman"/>
          <w:color w:val="000000" w:themeColor="text1"/>
          <w:sz w:val="20"/>
          <w:szCs w:val="20"/>
          <w:lang w:eastAsia="zh-CN"/>
        </w:rPr>
        <w:t xml:space="preserve"> assumes</w:t>
      </w:r>
      <w:r>
        <w:rPr>
          <w:rFonts w:ascii="Times New Roman" w:eastAsia="Microsoft YaHei" w:hAnsi="Times New Roman" w:cs="Times New Roman"/>
          <w:color w:val="000000" w:themeColor="text1"/>
          <w:sz w:val="20"/>
          <w:szCs w:val="20"/>
          <w:lang w:eastAsia="zh-CN"/>
        </w:rPr>
        <w:t xml:space="preserve"> a </w:t>
      </w:r>
      <w:r w:rsidRPr="006B26B2">
        <w:rPr>
          <w:rFonts w:ascii="Times New Roman" w:eastAsia="Microsoft YaHei" w:hAnsi="Times New Roman" w:cs="Times New Roman"/>
          <w:color w:val="000000" w:themeColor="text1"/>
          <w:sz w:val="20"/>
          <w:szCs w:val="20"/>
          <w:lang w:eastAsia="zh-CN"/>
        </w:rPr>
        <w:t>one-tailed selection</w:t>
      </w:r>
      <w:r>
        <w:rPr>
          <w:rFonts w:ascii="Times New Roman" w:eastAsia="Microsoft YaHei" w:hAnsi="Times New Roman" w:cs="Times New Roman"/>
          <w:color w:val="000000" w:themeColor="text1"/>
          <w:sz w:val="20"/>
          <w:szCs w:val="20"/>
          <w:lang w:eastAsia="zh-CN"/>
        </w:rPr>
        <w:t xml:space="preserve"> process </w:t>
      </w:r>
      <w:r>
        <w:rPr>
          <w:rFonts w:ascii="Times New Roman" w:eastAsia="Microsoft YaHei" w:hAnsi="Times New Roman" w:cs="Times New Roman"/>
          <w:noProof/>
          <w:color w:val="000000" w:themeColor="text1"/>
          <w:sz w:val="20"/>
          <w:szCs w:val="20"/>
          <w:lang w:eastAsia="zh-CN"/>
        </w:rPr>
        <w:t>[19]</w:t>
      </w:r>
      <w:r>
        <w:rPr>
          <w:rFonts w:ascii="Times New Roman" w:eastAsia="Microsoft YaHei" w:hAnsi="Times New Roman" w:cs="Times New Roman"/>
          <w:color w:val="000000" w:themeColor="text1"/>
          <w:sz w:val="20"/>
          <w:szCs w:val="20"/>
          <w:lang w:eastAsia="zh-CN"/>
        </w:rPr>
        <w:t xml:space="preserve">, where </w:t>
      </w:r>
      <w:r w:rsidRPr="000821F6">
        <w:rPr>
          <w:rFonts w:ascii="Times New Roman" w:eastAsia="Microsoft YaHei" w:hAnsi="Times New Roman" w:cs="Times New Roman"/>
          <w:color w:val="000000" w:themeColor="text1"/>
          <w:sz w:val="20"/>
          <w:szCs w:val="20"/>
          <w:lang w:eastAsia="zh-CN"/>
        </w:rPr>
        <w:t xml:space="preserve">the publication process selects studies with both point estimates in the direction of summary estimate and small </w:t>
      </w:r>
      <w:r w:rsidRPr="000821F6">
        <w:rPr>
          <w:rFonts w:ascii="Times New Roman" w:eastAsia="Microsoft YaHei" w:hAnsi="Times New Roman" w:cs="Times New Roman"/>
          <w:i/>
          <w:iCs/>
          <w:color w:val="000000" w:themeColor="text1"/>
          <w:sz w:val="20"/>
          <w:szCs w:val="20"/>
          <w:lang w:eastAsia="zh-CN"/>
        </w:rPr>
        <w:t>P</w:t>
      </w:r>
      <w:r w:rsidRPr="000821F6">
        <w:rPr>
          <w:rFonts w:ascii="Times New Roman" w:eastAsia="Microsoft YaHei" w:hAnsi="Times New Roman" w:cs="Times New Roman"/>
          <w:color w:val="000000" w:themeColor="text1"/>
          <w:sz w:val="20"/>
          <w:szCs w:val="20"/>
          <w:lang w:eastAsia="zh-CN"/>
        </w:rPr>
        <w:t xml:space="preserve">-values (e.g., </w:t>
      </w:r>
      <m:oMath>
        <m:r>
          <w:rPr>
            <w:rFonts w:ascii="Cambria Math" w:eastAsia="Microsoft YaHei" w:hAnsi="Cambria Math" w:cs="Times New Roman"/>
            <w:color w:val="000000" w:themeColor="text1"/>
            <w:sz w:val="20"/>
            <w:szCs w:val="20"/>
            <w:lang w:eastAsia="zh-CN"/>
          </w:rPr>
          <m:t>&lt;</m:t>
        </m:r>
      </m:oMath>
      <w:r w:rsidRPr="000821F6">
        <w:rPr>
          <w:rFonts w:ascii="Times New Roman" w:eastAsia="Microsoft YaHei" w:hAnsi="Times New Roman" w:cs="Times New Roman"/>
          <w:color w:val="000000" w:themeColor="text1"/>
          <w:sz w:val="20"/>
          <w:szCs w:val="20"/>
          <w:lang w:eastAsia="zh-CN"/>
        </w:rPr>
        <w:t xml:space="preserve"> 0.05)</w:t>
      </w:r>
      <w:r>
        <w:rPr>
          <w:rFonts w:ascii="Times New Roman" w:eastAsia="Microsoft YaHei" w:hAnsi="Times New Roman" w:cs="Times New Roman"/>
          <w:color w:val="000000" w:themeColor="text1"/>
          <w:sz w:val="20"/>
          <w:szCs w:val="20"/>
          <w:lang w:eastAsia="zh-CN"/>
        </w:rPr>
        <w:t>.</w:t>
      </w:r>
      <w:r w:rsidRPr="000821F6">
        <w:rPr>
          <w:rFonts w:ascii="Times New Roman" w:eastAsia="Microsoft YaHei" w:hAnsi="Times New Roman" w:cs="Times New Roman"/>
          <w:color w:val="000000" w:themeColor="text1"/>
          <w:sz w:val="20"/>
          <w:szCs w:val="20"/>
          <w:lang w:eastAsia="zh-CN"/>
        </w:rPr>
        <w:t xml:space="preserve"> This assumption is justified by empirical findings on how applied researchers interpret </w:t>
      </w:r>
      <w:r w:rsidRPr="000821F6">
        <w:rPr>
          <w:rFonts w:ascii="Times New Roman" w:eastAsia="Microsoft YaHei" w:hAnsi="Times New Roman" w:cs="Times New Roman"/>
          <w:i/>
          <w:iCs/>
          <w:color w:val="000000" w:themeColor="text1"/>
          <w:sz w:val="20"/>
          <w:szCs w:val="20"/>
          <w:lang w:eastAsia="zh-CN"/>
        </w:rPr>
        <w:t>P</w:t>
      </w:r>
      <w:r w:rsidRPr="000821F6">
        <w:rPr>
          <w:rFonts w:ascii="Times New Roman" w:eastAsia="Microsoft YaHei" w:hAnsi="Times New Roman" w:cs="Times New Roman"/>
          <w:color w:val="000000" w:themeColor="text1"/>
          <w:sz w:val="20"/>
          <w:szCs w:val="20"/>
          <w:lang w:eastAsia="zh-CN"/>
        </w:rPr>
        <w:t>-values</w:t>
      </w:r>
      <w:r>
        <w:rPr>
          <w:rFonts w:ascii="Times New Roman" w:eastAsia="Microsoft YaHei" w:hAnsi="Times New Roman" w:cs="Times New Roman"/>
          <w:color w:val="000000" w:themeColor="text1"/>
          <w:sz w:val="20"/>
          <w:szCs w:val="20"/>
          <w:lang w:eastAsia="zh-CN"/>
        </w:rPr>
        <w:t xml:space="preserve"> </w:t>
      </w:r>
      <w:r>
        <w:rPr>
          <w:rFonts w:ascii="Times New Roman" w:eastAsia="Microsoft YaHei" w:hAnsi="Times New Roman" w:cs="Times New Roman"/>
          <w:noProof/>
          <w:color w:val="000000" w:themeColor="text1"/>
          <w:sz w:val="20"/>
          <w:szCs w:val="20"/>
          <w:lang w:eastAsia="zh-CN"/>
        </w:rPr>
        <w:t>[20]</w:t>
      </w:r>
      <w:r>
        <w:rPr>
          <w:rFonts w:ascii="Times New Roman" w:eastAsia="Microsoft YaHei" w:hAnsi="Times New Roman" w:cs="Times New Roman"/>
          <w:color w:val="000000" w:themeColor="text1"/>
          <w:sz w:val="20"/>
          <w:szCs w:val="20"/>
          <w:lang w:eastAsia="zh-CN"/>
        </w:rPr>
        <w:t>.</w:t>
      </w:r>
    </w:p>
    <w:p w14:paraId="2F540AF0" w14:textId="77777777" w:rsidR="000709F6" w:rsidRPr="00EA0C2F" w:rsidRDefault="000709F6" w:rsidP="00EA0C2F">
      <w:pPr>
        <w:pStyle w:val="ListParagraph"/>
        <w:spacing w:after="20" w:line="240" w:lineRule="auto"/>
        <w:ind w:left="360"/>
        <w:rPr>
          <w:rFonts w:ascii="Times New Roman" w:eastAsia="Microsoft YaHei" w:hAnsi="Times New Roman" w:cs="Times New Roman"/>
          <w:color w:val="000000" w:themeColor="text1"/>
          <w:sz w:val="20"/>
          <w:szCs w:val="20"/>
          <w:lang w:eastAsia="zh-CN"/>
        </w:rPr>
      </w:pPr>
    </w:p>
    <w:p w14:paraId="463476EC" w14:textId="77777777" w:rsidR="000709F6" w:rsidRPr="002C7BAA" w:rsidRDefault="000709F6" w:rsidP="002C7BAA">
      <w:pPr>
        <w:pStyle w:val="ListParagraph"/>
        <w:numPr>
          <w:ilvl w:val="0"/>
          <w:numId w:val="8"/>
        </w:numPr>
        <w:spacing w:after="20" w:line="240" w:lineRule="auto"/>
        <w:rPr>
          <w:rFonts w:ascii="Times New Roman" w:eastAsia="Microsoft YaHei" w:hAnsi="Times New Roman" w:cs="Times New Roman"/>
          <w:color w:val="000000" w:themeColor="text1"/>
          <w:sz w:val="20"/>
          <w:szCs w:val="20"/>
          <w:lang w:eastAsia="zh-CN"/>
        </w:rPr>
      </w:pPr>
      <w:r w:rsidRPr="0092090B">
        <w:rPr>
          <w:rFonts w:ascii="Times New Roman" w:eastAsia="Microsoft YaHei" w:hAnsi="Times New Roman" w:cs="Times New Roman"/>
          <w:b/>
          <w:bCs/>
          <w:color w:val="000000" w:themeColor="text1"/>
          <w:sz w:val="20"/>
          <w:szCs w:val="20"/>
          <w:lang w:eastAsia="zh-CN"/>
        </w:rPr>
        <w:t>S-value</w:t>
      </w:r>
      <w:r>
        <w:rPr>
          <w:rFonts w:ascii="Times New Roman" w:eastAsia="Microsoft YaHei" w:hAnsi="Times New Roman" w:cs="Times New Roman"/>
          <w:b/>
          <w:bCs/>
          <w:color w:val="000000" w:themeColor="text1"/>
          <w:sz w:val="20"/>
          <w:szCs w:val="20"/>
          <w:lang w:eastAsia="zh-CN"/>
        </w:rPr>
        <w:t xml:space="preserve"> </w:t>
      </w:r>
      <w:r>
        <w:rPr>
          <w:rFonts w:ascii="Times New Roman" w:eastAsia="Microsoft YaHei" w:hAnsi="Times New Roman" w:cs="Times New Roman"/>
          <w:noProof/>
          <w:color w:val="000000" w:themeColor="text1"/>
          <w:sz w:val="20"/>
          <w:szCs w:val="20"/>
          <w:lang w:eastAsia="zh-CN"/>
        </w:rPr>
        <w:t>[</w:t>
      </w:r>
      <w:proofErr w:type="gramStart"/>
      <w:r>
        <w:rPr>
          <w:rFonts w:ascii="Times New Roman" w:eastAsia="Microsoft YaHei" w:hAnsi="Times New Roman" w:cs="Times New Roman"/>
          <w:noProof/>
          <w:color w:val="000000" w:themeColor="text1"/>
          <w:sz w:val="20"/>
          <w:szCs w:val="20"/>
          <w:lang w:eastAsia="zh-CN"/>
        </w:rPr>
        <w:t>18]</w:t>
      </w:r>
      <w:r w:rsidRPr="0092090B">
        <w:rPr>
          <w:rFonts w:ascii="Times New Roman" w:eastAsia="Microsoft YaHei" w:hAnsi="Times New Roman" w:cs="Times New Roman"/>
          <w:color w:val="000000" w:themeColor="text1"/>
          <w:sz w:val="20"/>
          <w:szCs w:val="20"/>
          <w:lang w:eastAsia="zh-CN"/>
        </w:rPr>
        <w:t>––</w:t>
      </w:r>
      <w:proofErr w:type="gramEnd"/>
      <w:r>
        <w:rPr>
          <w:rFonts w:ascii="Times New Roman" w:eastAsia="Microsoft YaHei" w:hAnsi="Times New Roman" w:cs="Times New Roman"/>
          <w:color w:val="000000" w:themeColor="text1"/>
          <w:sz w:val="20"/>
          <w:szCs w:val="20"/>
          <w:lang w:eastAsia="zh-CN"/>
        </w:rPr>
        <w:t>It</w:t>
      </w:r>
      <w:r w:rsidRPr="0092090B">
        <w:rPr>
          <w:rFonts w:ascii="Times New Roman" w:eastAsia="Microsoft YaHei" w:hAnsi="Times New Roman" w:cs="Times New Roman"/>
          <w:color w:val="000000" w:themeColor="text1"/>
          <w:sz w:val="20"/>
          <w:szCs w:val="20"/>
          <w:lang w:eastAsia="zh-CN"/>
        </w:rPr>
        <w:t xml:space="preserve"> can accommodate </w:t>
      </w:r>
      <w:r>
        <w:rPr>
          <w:rFonts w:ascii="Times New Roman" w:hAnsi="Times New Roman" w:cs="Times New Roman"/>
          <w:color w:val="000000" w:themeColor="text1"/>
          <w:sz w:val="20"/>
          <w:szCs w:val="20"/>
        </w:rPr>
        <w:t xml:space="preserve">dependence among effect estimates, </w:t>
      </w:r>
      <w:r w:rsidRPr="0092090B">
        <w:rPr>
          <w:rFonts w:ascii="Times New Roman" w:eastAsia="Microsoft YaHei" w:hAnsi="Times New Roman" w:cs="Times New Roman"/>
          <w:color w:val="000000" w:themeColor="text1"/>
          <w:sz w:val="20"/>
          <w:szCs w:val="20"/>
          <w:lang w:eastAsia="zh-CN"/>
        </w:rPr>
        <w:t xml:space="preserve">non-normal </w:t>
      </w:r>
      <w:r>
        <w:rPr>
          <w:rFonts w:ascii="Times New Roman" w:eastAsia="Microsoft YaHei" w:hAnsi="Times New Roman" w:cs="Times New Roman"/>
          <w:color w:val="000000" w:themeColor="text1"/>
          <w:sz w:val="20"/>
          <w:szCs w:val="20"/>
          <w:lang w:eastAsia="zh-CN"/>
        </w:rPr>
        <w:t>population</w:t>
      </w:r>
      <w:r w:rsidRPr="0092090B">
        <w:rPr>
          <w:rFonts w:ascii="Times New Roman" w:eastAsia="Microsoft YaHei" w:hAnsi="Times New Roman" w:cs="Times New Roman"/>
          <w:color w:val="000000" w:themeColor="text1"/>
          <w:sz w:val="20"/>
          <w:szCs w:val="20"/>
          <w:lang w:eastAsia="zh-CN"/>
        </w:rPr>
        <w:t xml:space="preserve"> effects</w:t>
      </w:r>
      <w:r>
        <w:rPr>
          <w:rFonts w:ascii="Times New Roman" w:eastAsia="Microsoft YaHei" w:hAnsi="Times New Roman" w:cs="Times New Roman"/>
          <w:color w:val="000000" w:themeColor="text1"/>
          <w:sz w:val="20"/>
          <w:szCs w:val="20"/>
          <w:lang w:eastAsia="zh-CN"/>
        </w:rPr>
        <w:t xml:space="preserve">, and small meta-analyses. </w:t>
      </w:r>
      <w:r w:rsidRPr="002C7BAA">
        <w:rPr>
          <w:rFonts w:ascii="Times New Roman" w:eastAsia="Microsoft YaHei" w:hAnsi="Times New Roman" w:cs="Times New Roman"/>
          <w:color w:val="000000" w:themeColor="text1"/>
          <w:sz w:val="20"/>
          <w:szCs w:val="20"/>
          <w:lang w:eastAsia="zh-CN"/>
        </w:rPr>
        <w:t xml:space="preserve">The one-tailed selection process </w:t>
      </w:r>
      <w:r>
        <w:rPr>
          <w:rFonts w:ascii="Times New Roman" w:eastAsia="Microsoft YaHei" w:hAnsi="Times New Roman" w:cs="Times New Roman"/>
          <w:color w:val="000000" w:themeColor="text1"/>
          <w:sz w:val="20"/>
          <w:szCs w:val="20"/>
          <w:lang w:eastAsia="zh-CN"/>
        </w:rPr>
        <w:t>will be</w:t>
      </w:r>
      <w:r w:rsidRPr="002C7BAA">
        <w:rPr>
          <w:rFonts w:ascii="Times New Roman" w:eastAsia="Microsoft YaHei" w:hAnsi="Times New Roman" w:cs="Times New Roman"/>
          <w:color w:val="000000" w:themeColor="text1"/>
          <w:sz w:val="20"/>
          <w:szCs w:val="20"/>
          <w:lang w:eastAsia="zh-CN"/>
        </w:rPr>
        <w:t xml:space="preserve"> modeled using a single two-sided </w:t>
      </w:r>
      <w:r w:rsidRPr="002C7BAA">
        <w:rPr>
          <w:rFonts w:ascii="Times New Roman" w:eastAsia="Microsoft YaHei" w:hAnsi="Times New Roman" w:cs="Times New Roman"/>
          <w:i/>
          <w:iCs/>
          <w:color w:val="000000" w:themeColor="text1"/>
          <w:sz w:val="20"/>
          <w:szCs w:val="20"/>
          <w:lang w:eastAsia="zh-CN"/>
        </w:rPr>
        <w:t>P</w:t>
      </w:r>
      <w:r w:rsidRPr="002C7BAA">
        <w:rPr>
          <w:rFonts w:ascii="Times New Roman" w:eastAsia="Microsoft YaHei" w:hAnsi="Times New Roman" w:cs="Times New Roman"/>
          <w:color w:val="000000" w:themeColor="text1"/>
          <w:sz w:val="20"/>
          <w:szCs w:val="20"/>
          <w:lang w:eastAsia="zh-CN"/>
        </w:rPr>
        <w:t>-value cutoff of 0.05</w:t>
      </w:r>
      <w:r>
        <w:rPr>
          <w:rFonts w:ascii="Times New Roman" w:eastAsia="Microsoft YaHei" w:hAnsi="Times New Roman" w:cs="Times New Roman"/>
          <w:color w:val="000000" w:themeColor="text1"/>
          <w:sz w:val="20"/>
          <w:szCs w:val="20"/>
          <w:lang w:eastAsia="zh-CN"/>
        </w:rPr>
        <w:t>,</w:t>
      </w:r>
      <w:r w:rsidRPr="002C7BAA">
        <w:rPr>
          <w:rFonts w:ascii="Times New Roman" w:eastAsia="Microsoft YaHei" w:hAnsi="Times New Roman" w:cs="Times New Roman"/>
          <w:color w:val="000000" w:themeColor="text1"/>
          <w:sz w:val="20"/>
          <w:szCs w:val="20"/>
          <w:lang w:eastAsia="zh-CN"/>
        </w:rPr>
        <w:t xml:space="preserve"> such that publication selects “affirmative” results (i.e., statistically significant point estimates in the direction of summary estimate) over “non</w:t>
      </w:r>
      <w:r>
        <w:rPr>
          <w:rFonts w:ascii="Times New Roman" w:eastAsia="Microsoft YaHei" w:hAnsi="Times New Roman" w:cs="Times New Roman"/>
          <w:color w:val="000000" w:themeColor="text1"/>
          <w:sz w:val="20"/>
          <w:szCs w:val="20"/>
          <w:lang w:eastAsia="zh-CN"/>
        </w:rPr>
        <w:t>-</w:t>
      </w:r>
      <w:r w:rsidRPr="002C7BAA">
        <w:rPr>
          <w:rFonts w:ascii="Times New Roman" w:eastAsia="Microsoft YaHei" w:hAnsi="Times New Roman" w:cs="Times New Roman"/>
          <w:color w:val="000000" w:themeColor="text1"/>
          <w:sz w:val="20"/>
          <w:szCs w:val="20"/>
          <w:lang w:eastAsia="zh-CN"/>
        </w:rPr>
        <w:t>affirmative” results (i.e., significant point estimates but in the opposite direction, or non</w:t>
      </w:r>
      <w:r>
        <w:rPr>
          <w:rFonts w:ascii="Times New Roman" w:eastAsia="Microsoft YaHei" w:hAnsi="Times New Roman" w:cs="Times New Roman"/>
          <w:color w:val="000000" w:themeColor="text1"/>
          <w:sz w:val="20"/>
          <w:szCs w:val="20"/>
          <w:lang w:eastAsia="zh-CN"/>
        </w:rPr>
        <w:t>-</w:t>
      </w:r>
      <w:r w:rsidRPr="002C7BAA">
        <w:rPr>
          <w:rFonts w:ascii="Times New Roman" w:eastAsia="Microsoft YaHei" w:hAnsi="Times New Roman" w:cs="Times New Roman"/>
          <w:color w:val="000000" w:themeColor="text1"/>
          <w:sz w:val="20"/>
          <w:szCs w:val="20"/>
          <w:lang w:eastAsia="zh-CN"/>
        </w:rPr>
        <w:t xml:space="preserve">significant ones). It </w:t>
      </w:r>
      <w:r>
        <w:rPr>
          <w:rFonts w:ascii="Times New Roman" w:eastAsia="Microsoft YaHei" w:hAnsi="Times New Roman" w:cs="Times New Roman"/>
          <w:color w:val="000000" w:themeColor="text1"/>
          <w:sz w:val="20"/>
          <w:szCs w:val="20"/>
          <w:lang w:eastAsia="zh-CN"/>
        </w:rPr>
        <w:t xml:space="preserve">can calculate </w:t>
      </w:r>
      <w:r w:rsidRPr="002C7BAA">
        <w:rPr>
          <w:rFonts w:ascii="Times New Roman" w:eastAsia="Microsoft YaHei" w:hAnsi="Times New Roman" w:cs="Times New Roman"/>
          <w:color w:val="000000" w:themeColor="text1"/>
          <w:sz w:val="20"/>
          <w:szCs w:val="20"/>
          <w:lang w:eastAsia="zh-CN"/>
        </w:rPr>
        <w:t xml:space="preserve">the following metrics: a. a summary estimate corrected for worst-case publication bias; b. the severity of publication bias (i.e., the ratio, </w:t>
      </w:r>
      <m:oMath>
        <m:r>
          <w:rPr>
            <w:rFonts w:ascii="Cambria Math" w:eastAsia="Microsoft YaHei" w:hAnsi="Cambria Math" w:cs="Times New Roman"/>
            <w:color w:val="000000" w:themeColor="text1"/>
            <w:sz w:val="20"/>
            <w:szCs w:val="20"/>
            <w:lang w:eastAsia="zh-CN"/>
          </w:rPr>
          <m:t>η</m:t>
        </m:r>
      </m:oMath>
      <w:r w:rsidRPr="002C7BAA">
        <w:rPr>
          <w:rFonts w:ascii="Times New Roman" w:eastAsia="Microsoft YaHei" w:hAnsi="Times New Roman" w:cs="Times New Roman"/>
          <w:color w:val="000000" w:themeColor="text1"/>
          <w:sz w:val="20"/>
          <w:szCs w:val="20"/>
          <w:lang w:eastAsia="zh-CN"/>
        </w:rPr>
        <w:t>, by which affirmative studies are more likely to be published than non</w:t>
      </w:r>
      <w:r>
        <w:rPr>
          <w:rFonts w:ascii="Times New Roman" w:eastAsia="Microsoft YaHei" w:hAnsi="Times New Roman" w:cs="Times New Roman"/>
          <w:color w:val="000000" w:themeColor="text1"/>
          <w:sz w:val="20"/>
          <w:szCs w:val="20"/>
          <w:lang w:eastAsia="zh-CN"/>
        </w:rPr>
        <w:t>-</w:t>
      </w:r>
      <w:r w:rsidRPr="002C7BAA">
        <w:rPr>
          <w:rFonts w:ascii="Times New Roman" w:eastAsia="Microsoft YaHei" w:hAnsi="Times New Roman" w:cs="Times New Roman"/>
          <w:color w:val="000000" w:themeColor="text1"/>
          <w:sz w:val="20"/>
          <w:szCs w:val="20"/>
          <w:lang w:eastAsia="zh-CN"/>
        </w:rPr>
        <w:t xml:space="preserve">affirmative studies) that would be required to shift the pooled estimate or its confidence interval limit to a chosen threshold of scientific importance (i.e., the null or a non-null value </w:t>
      </w:r>
      <m:oMath>
        <m:r>
          <w:rPr>
            <w:rFonts w:ascii="Cambria Math" w:eastAsia="Microsoft YaHei" w:hAnsi="Cambria Math" w:cs="Times New Roman"/>
            <w:color w:val="000000" w:themeColor="text1"/>
            <w:sz w:val="20"/>
            <w:szCs w:val="20"/>
            <w:lang w:eastAsia="zh-CN"/>
          </w:rPr>
          <m:t>q</m:t>
        </m:r>
      </m:oMath>
      <w:r w:rsidRPr="002C7BAA">
        <w:rPr>
          <w:rFonts w:ascii="Times New Roman" w:eastAsia="Microsoft YaHei" w:hAnsi="Times New Roman" w:cs="Times New Roman"/>
          <w:color w:val="000000" w:themeColor="text1"/>
          <w:sz w:val="20"/>
          <w:szCs w:val="20"/>
          <w:lang w:eastAsia="zh-CN"/>
        </w:rPr>
        <w:t xml:space="preserve">). The threshold is defined as follows: </w:t>
      </w:r>
      <w:r w:rsidRPr="002C7BAA">
        <w:rPr>
          <w:rFonts w:ascii="Times New Roman" w:eastAsiaTheme="minorEastAsia" w:hAnsi="Times New Roman" w:cs="Times New Roman"/>
          <w:color w:val="000000" w:themeColor="text1"/>
          <w:sz w:val="20"/>
          <w:szCs w:val="20"/>
        </w:rPr>
        <w:t xml:space="preserve">for </w:t>
      </w:r>
      <w:r w:rsidRPr="002C7BAA">
        <w:rPr>
          <w:rFonts w:ascii="Times New Roman" w:eastAsiaTheme="minorEastAsia" w:hAnsi="Times New Roman" w:cs="Times New Roman"/>
          <w:color w:val="000000" w:themeColor="text1"/>
          <w:sz w:val="20"/>
          <w:szCs w:val="20"/>
          <w:lang w:eastAsia="zh-CN"/>
        </w:rPr>
        <w:t xml:space="preserve">outcome measured as MD, null = 0; </w:t>
      </w:r>
      <w:r w:rsidRPr="002C7BAA">
        <w:rPr>
          <w:rFonts w:ascii="Times New Roman" w:eastAsia="Microsoft YaHei" w:hAnsi="Times New Roman" w:cs="Times New Roman"/>
          <w:color w:val="000000" w:themeColor="text1"/>
          <w:sz w:val="20"/>
          <w:szCs w:val="20"/>
          <w:lang w:eastAsia="zh-CN"/>
        </w:rPr>
        <w:t xml:space="preserve">for RR, null = 1.0, </w:t>
      </w:r>
      <m:oMath>
        <m:r>
          <w:rPr>
            <w:rFonts w:ascii="Cambria Math" w:eastAsiaTheme="minorEastAsia" w:hAnsi="Cambria Math" w:cs="Times New Roman"/>
            <w:color w:val="000000" w:themeColor="text1"/>
            <w:sz w:val="20"/>
            <w:szCs w:val="20"/>
            <w:lang w:eastAsia="zh-CN"/>
          </w:rPr>
          <m:t>q</m:t>
        </m:r>
      </m:oMath>
      <w:r w:rsidRPr="002C7BAA">
        <w:rPr>
          <w:rFonts w:ascii="Times New Roman" w:eastAsia="Microsoft YaHei" w:hAnsi="Times New Roman" w:cs="Times New Roman"/>
          <w:color w:val="000000" w:themeColor="text1"/>
          <w:sz w:val="20"/>
          <w:szCs w:val="20"/>
          <w:lang w:eastAsia="zh-CN"/>
        </w:rPr>
        <w:t xml:space="preserve"> = 0.9 or 1.1 (</w:t>
      </w:r>
      <m:oMath>
        <m:r>
          <w:rPr>
            <w:rFonts w:ascii="Cambria Math" w:eastAsiaTheme="minorEastAsia" w:hAnsi="Cambria Math" w:cs="Times New Roman"/>
            <w:color w:val="000000" w:themeColor="text1"/>
            <w:sz w:val="20"/>
            <w:szCs w:val="20"/>
            <w:lang w:eastAsia="zh-CN"/>
          </w:rPr>
          <m:t>q</m:t>
        </m:r>
      </m:oMath>
      <w:r w:rsidRPr="002C7BAA">
        <w:rPr>
          <w:rFonts w:ascii="Times New Roman" w:eastAsia="Microsoft YaHei" w:hAnsi="Times New Roman" w:cs="Times New Roman"/>
          <w:color w:val="000000" w:themeColor="text1"/>
          <w:sz w:val="20"/>
          <w:szCs w:val="20"/>
          <w:lang w:eastAsia="zh-CN"/>
        </w:rPr>
        <w:t xml:space="preserve"> is the value in the same direction of the pooled estimate). A large </w:t>
      </w:r>
      <m:oMath>
        <m:r>
          <w:rPr>
            <w:rFonts w:ascii="Cambria Math" w:eastAsia="Microsoft YaHei" w:hAnsi="Cambria Math" w:cs="Times New Roman"/>
            <w:color w:val="000000" w:themeColor="text1"/>
            <w:sz w:val="20"/>
            <w:szCs w:val="20"/>
            <w:lang w:eastAsia="zh-CN"/>
          </w:rPr>
          <m:t>η</m:t>
        </m:r>
      </m:oMath>
      <w:r w:rsidRPr="002C7BAA">
        <w:rPr>
          <w:rFonts w:ascii="Times New Roman" w:eastAsia="Microsoft YaHei" w:hAnsi="Times New Roman" w:cs="Times New Roman"/>
          <w:color w:val="000000" w:themeColor="text1"/>
          <w:sz w:val="20"/>
          <w:szCs w:val="20"/>
          <w:lang w:eastAsia="zh-CN"/>
        </w:rPr>
        <w:t xml:space="preserve"> would indicate that the meta-analysis is relatively robust to publication bias, whereas a small </w:t>
      </w:r>
      <m:oMath>
        <m:r>
          <w:rPr>
            <w:rFonts w:ascii="Cambria Math" w:eastAsia="Microsoft YaHei" w:hAnsi="Cambria Math" w:cs="Times New Roman"/>
            <w:color w:val="000000" w:themeColor="text1"/>
            <w:sz w:val="20"/>
            <w:szCs w:val="20"/>
            <w:lang w:eastAsia="zh-CN"/>
          </w:rPr>
          <m:t>η</m:t>
        </m:r>
      </m:oMath>
      <w:r w:rsidRPr="002C7BAA">
        <w:rPr>
          <w:rFonts w:ascii="Times New Roman" w:eastAsia="Microsoft YaHei" w:hAnsi="Times New Roman" w:cs="Times New Roman"/>
          <w:color w:val="000000" w:themeColor="text1"/>
          <w:sz w:val="20"/>
          <w:szCs w:val="20"/>
          <w:lang w:eastAsia="zh-CN"/>
        </w:rPr>
        <w:t xml:space="preserve"> would indicate that the meta-analysis is relatively sensitive to publication bias. Informed by the empirical benchmarks for plausible values of </w:t>
      </w:r>
      <m:oMath>
        <m:r>
          <w:rPr>
            <w:rFonts w:ascii="Cambria Math" w:eastAsia="Microsoft YaHei" w:hAnsi="Cambria Math" w:cs="Times New Roman"/>
            <w:color w:val="000000" w:themeColor="text1"/>
            <w:sz w:val="20"/>
            <w:szCs w:val="20"/>
            <w:lang w:eastAsia="zh-CN"/>
          </w:rPr>
          <m:t>η</m:t>
        </m:r>
      </m:oMath>
      <w:r w:rsidRPr="002C7BAA">
        <w:rPr>
          <w:rFonts w:ascii="Times New Roman" w:eastAsia="Microsoft YaHei" w:hAnsi="Times New Roman" w:cs="Times New Roman"/>
          <w:color w:val="000000" w:themeColor="text1"/>
          <w:sz w:val="20"/>
          <w:szCs w:val="20"/>
          <w:lang w:eastAsia="zh-CN"/>
        </w:rPr>
        <w:t xml:space="preserve"> in medicine, a </w:t>
      </w:r>
      <m:oMath>
        <m:r>
          <w:rPr>
            <w:rFonts w:ascii="Cambria Math" w:eastAsia="Microsoft YaHei" w:hAnsi="Cambria Math" w:cs="Times New Roman"/>
            <w:color w:val="000000" w:themeColor="text1"/>
            <w:sz w:val="20"/>
            <w:szCs w:val="20"/>
            <w:lang w:eastAsia="zh-CN"/>
          </w:rPr>
          <m:t>η</m:t>
        </m:r>
      </m:oMath>
      <w:r w:rsidRPr="002C7BAA">
        <w:rPr>
          <w:rFonts w:ascii="Times New Roman" w:eastAsia="Microsoft YaHei" w:hAnsi="Times New Roman" w:cs="Times New Roman"/>
          <w:color w:val="000000" w:themeColor="text1"/>
          <w:sz w:val="20"/>
          <w:szCs w:val="20"/>
          <w:lang w:eastAsia="zh-CN"/>
        </w:rPr>
        <w:t xml:space="preserve"> of </w:t>
      </w:r>
      <m:oMath>
        <m:r>
          <w:rPr>
            <w:rFonts w:ascii="Cambria Math" w:eastAsia="Microsoft YaHei" w:hAnsi="Cambria Math" w:cs="Times New Roman"/>
            <w:color w:val="000000" w:themeColor="text1"/>
            <w:sz w:val="20"/>
            <w:szCs w:val="20"/>
            <w:lang w:eastAsia="zh-CN"/>
          </w:rPr>
          <m:t>≥</m:t>
        </m:r>
      </m:oMath>
      <w:r w:rsidRPr="002C7BAA">
        <w:rPr>
          <w:rFonts w:ascii="Times New Roman" w:eastAsia="Microsoft YaHei" w:hAnsi="Times New Roman" w:cs="Times New Roman"/>
          <w:color w:val="000000" w:themeColor="text1"/>
          <w:sz w:val="20"/>
          <w:szCs w:val="20"/>
          <w:lang w:eastAsia="zh-CN"/>
        </w:rPr>
        <w:t xml:space="preserve"> 4 would represent implausibly severe or extreme publication bias.</w:t>
      </w:r>
    </w:p>
    <w:p w14:paraId="65C31E7D" w14:textId="77777777" w:rsidR="000709F6" w:rsidRPr="0092090B" w:rsidRDefault="000709F6" w:rsidP="0092090B">
      <w:pPr>
        <w:pStyle w:val="ListParagraph"/>
        <w:spacing w:after="20" w:line="240" w:lineRule="auto"/>
        <w:ind w:left="360"/>
        <w:rPr>
          <w:rFonts w:ascii="Times New Roman" w:eastAsia="Microsoft YaHei" w:hAnsi="Times New Roman" w:cs="Times New Roman"/>
          <w:color w:val="000000" w:themeColor="text1"/>
          <w:sz w:val="20"/>
          <w:szCs w:val="20"/>
          <w:lang w:eastAsia="zh-CN"/>
        </w:rPr>
      </w:pPr>
    </w:p>
    <w:p w14:paraId="09758AB0" w14:textId="77777777" w:rsidR="000709F6" w:rsidRPr="0092090B" w:rsidRDefault="000709F6" w:rsidP="0092090B">
      <w:pPr>
        <w:pStyle w:val="ListParagraph"/>
        <w:numPr>
          <w:ilvl w:val="0"/>
          <w:numId w:val="14"/>
        </w:numPr>
        <w:spacing w:after="20" w:line="240" w:lineRule="auto"/>
        <w:rPr>
          <w:rFonts w:ascii="Times New Roman" w:hAnsi="Times New Roman" w:cs="Times New Roman"/>
          <w:b/>
          <w:bCs/>
          <w:color w:val="000000" w:themeColor="text1"/>
          <w:sz w:val="20"/>
          <w:szCs w:val="20"/>
          <w:lang w:eastAsia="zh-CN"/>
        </w:rPr>
      </w:pPr>
      <w:r w:rsidRPr="0092090B">
        <w:rPr>
          <w:rFonts w:ascii="Times New Roman" w:hAnsi="Times New Roman" w:cs="Times New Roman"/>
          <w:b/>
          <w:bCs/>
          <w:color w:val="000000" w:themeColor="text1"/>
          <w:sz w:val="20"/>
          <w:szCs w:val="20"/>
          <w:lang w:eastAsia="zh-CN"/>
        </w:rPr>
        <w:t>Sensitivity analysis for residual confounding</w:t>
      </w:r>
    </w:p>
    <w:p w14:paraId="7D563D47" w14:textId="77777777" w:rsidR="000709F6" w:rsidRPr="00CF57AA" w:rsidRDefault="000709F6" w:rsidP="002356D1">
      <w:pPr>
        <w:pStyle w:val="ListParagraph"/>
        <w:spacing w:after="20" w:line="240" w:lineRule="auto"/>
        <w:ind w:left="360"/>
        <w:rPr>
          <w:rFonts w:ascii="Times New Roman" w:hAnsi="Times New Roman" w:cs="Times New Roman"/>
          <w:color w:val="000000" w:themeColor="text1"/>
          <w:sz w:val="20"/>
          <w:szCs w:val="20"/>
          <w:lang w:eastAsia="zh-CN"/>
        </w:rPr>
      </w:pPr>
      <w:r w:rsidRPr="0092090B">
        <w:rPr>
          <w:rFonts w:ascii="Times New Roman" w:hAnsi="Times New Roman" w:cs="Times New Roman"/>
          <w:color w:val="000000" w:themeColor="text1"/>
          <w:sz w:val="20"/>
          <w:szCs w:val="20"/>
          <w:lang w:eastAsia="zh-CN"/>
        </w:rPr>
        <w:t xml:space="preserve">In </w:t>
      </w:r>
      <w:r>
        <w:rPr>
          <w:rFonts w:ascii="Times New Roman" w:hAnsi="Times New Roman" w:cs="Times New Roman"/>
          <w:color w:val="000000" w:themeColor="text1"/>
          <w:sz w:val="20"/>
          <w:szCs w:val="20"/>
          <w:lang w:eastAsia="zh-CN"/>
        </w:rPr>
        <w:t>this</w:t>
      </w:r>
      <w:r w:rsidRPr="0092090B">
        <w:rPr>
          <w:rFonts w:ascii="Times New Roman" w:hAnsi="Times New Roman" w:cs="Times New Roman"/>
          <w:color w:val="000000" w:themeColor="text1"/>
          <w:sz w:val="20"/>
          <w:szCs w:val="20"/>
          <w:lang w:eastAsia="zh-CN"/>
        </w:rPr>
        <w:t xml:space="preserve"> </w:t>
      </w:r>
      <w:r>
        <w:rPr>
          <w:rFonts w:ascii="Times New Roman" w:hAnsi="Times New Roman" w:cs="Times New Roman"/>
          <w:color w:val="000000" w:themeColor="text1"/>
          <w:sz w:val="20"/>
          <w:szCs w:val="20"/>
          <w:lang w:eastAsia="zh-CN"/>
        </w:rPr>
        <w:t>systematic</w:t>
      </w:r>
      <w:r w:rsidRPr="0092090B">
        <w:rPr>
          <w:rFonts w:ascii="Times New Roman" w:hAnsi="Times New Roman" w:cs="Times New Roman"/>
          <w:color w:val="000000" w:themeColor="text1"/>
          <w:sz w:val="20"/>
          <w:szCs w:val="20"/>
          <w:lang w:eastAsia="zh-CN"/>
        </w:rPr>
        <w:t xml:space="preserve"> review, we </w:t>
      </w:r>
      <w:r>
        <w:rPr>
          <w:rFonts w:ascii="Times New Roman" w:hAnsi="Times New Roman" w:cs="Times New Roman"/>
          <w:color w:val="000000" w:themeColor="text1"/>
          <w:sz w:val="20"/>
          <w:szCs w:val="20"/>
          <w:lang w:eastAsia="zh-CN"/>
        </w:rPr>
        <w:t>will use</w:t>
      </w:r>
      <w:r w:rsidRPr="0092090B">
        <w:rPr>
          <w:rFonts w:ascii="Times New Roman" w:hAnsi="Times New Roman" w:cs="Times New Roman"/>
          <w:color w:val="000000" w:themeColor="text1"/>
          <w:sz w:val="20"/>
          <w:szCs w:val="20"/>
          <w:lang w:eastAsia="zh-CN"/>
        </w:rPr>
        <w:t xml:space="preserve"> </w:t>
      </w:r>
      <w:r>
        <w:rPr>
          <w:rFonts w:ascii="Times New Roman" w:hAnsi="Times New Roman" w:cs="Times New Roman"/>
          <w:color w:val="000000" w:themeColor="text1"/>
          <w:sz w:val="20"/>
          <w:szCs w:val="20"/>
          <w:lang w:eastAsia="zh-CN"/>
        </w:rPr>
        <w:t xml:space="preserve">the E-value </w:t>
      </w:r>
      <w:r w:rsidRPr="0092090B">
        <w:rPr>
          <w:rFonts w:ascii="Times New Roman" w:hAnsi="Times New Roman" w:cs="Times New Roman"/>
          <w:color w:val="000000" w:themeColor="text1"/>
          <w:sz w:val="20"/>
          <w:szCs w:val="20"/>
          <w:lang w:eastAsia="zh-CN"/>
        </w:rPr>
        <w:t>(see below)</w:t>
      </w:r>
      <w:r>
        <w:rPr>
          <w:rFonts w:ascii="Times New Roman" w:hAnsi="Times New Roman" w:cs="Times New Roman"/>
          <w:color w:val="000000" w:themeColor="text1"/>
          <w:sz w:val="20"/>
          <w:szCs w:val="20"/>
          <w:lang w:eastAsia="zh-CN"/>
        </w:rPr>
        <w:t xml:space="preserve"> </w:t>
      </w:r>
      <w:r>
        <w:rPr>
          <w:rFonts w:ascii="Times New Roman" w:hAnsi="Times New Roman" w:cs="Times New Roman"/>
          <w:noProof/>
          <w:color w:val="000000" w:themeColor="text1"/>
          <w:sz w:val="20"/>
          <w:szCs w:val="20"/>
          <w:lang w:eastAsia="zh-CN"/>
        </w:rPr>
        <w:t>[3,21]</w:t>
      </w:r>
      <w:r>
        <w:rPr>
          <w:rFonts w:ascii="Times New Roman" w:hAnsi="Times New Roman" w:cs="Times New Roman"/>
          <w:color w:val="000000" w:themeColor="text1"/>
          <w:sz w:val="20"/>
          <w:szCs w:val="20"/>
          <w:lang w:eastAsia="zh-CN"/>
        </w:rPr>
        <w:t>,</w:t>
      </w:r>
      <w:r w:rsidRPr="0092090B">
        <w:rPr>
          <w:rFonts w:ascii="Times New Roman" w:hAnsi="Times New Roman" w:cs="Times New Roman"/>
          <w:color w:val="000000" w:themeColor="text1"/>
          <w:sz w:val="20"/>
          <w:szCs w:val="20"/>
          <w:lang w:eastAsia="zh-CN"/>
        </w:rPr>
        <w:t xml:space="preserve"> which</w:t>
      </w:r>
      <w:r w:rsidRPr="002356D1">
        <w:rPr>
          <w:rFonts w:ascii="Times New Roman" w:hAnsi="Times New Roman" w:cs="Times New Roman"/>
          <w:color w:val="000000" w:themeColor="text1"/>
          <w:sz w:val="20"/>
          <w:szCs w:val="20"/>
          <w:lang w:eastAsia="zh-CN"/>
        </w:rPr>
        <w:t xml:space="preserve"> </w:t>
      </w:r>
      <w:r w:rsidRPr="0092090B">
        <w:rPr>
          <w:rFonts w:ascii="Times New Roman" w:hAnsi="Times New Roman" w:cs="Times New Roman"/>
          <w:color w:val="000000" w:themeColor="text1"/>
          <w:sz w:val="20"/>
          <w:szCs w:val="20"/>
          <w:lang w:eastAsia="zh-CN"/>
        </w:rPr>
        <w:t>assess</w:t>
      </w:r>
      <w:r>
        <w:rPr>
          <w:rFonts w:ascii="Times New Roman" w:hAnsi="Times New Roman" w:cs="Times New Roman"/>
          <w:color w:val="000000" w:themeColor="text1"/>
          <w:sz w:val="20"/>
          <w:szCs w:val="20"/>
          <w:lang w:eastAsia="zh-CN"/>
        </w:rPr>
        <w:t>es</w:t>
      </w:r>
      <w:r w:rsidRPr="0092090B">
        <w:rPr>
          <w:rFonts w:ascii="Times New Roman" w:hAnsi="Times New Roman" w:cs="Times New Roman"/>
          <w:color w:val="000000" w:themeColor="text1"/>
          <w:sz w:val="20"/>
          <w:szCs w:val="20"/>
          <w:lang w:eastAsia="zh-CN"/>
        </w:rPr>
        <w:t xml:space="preserve"> how strong residual confounding would have to be to “explain away” an observed </w:t>
      </w:r>
      <w:r>
        <w:rPr>
          <w:rFonts w:ascii="Times New Roman" w:hAnsi="Times New Roman" w:cs="Times New Roman"/>
          <w:color w:val="000000" w:themeColor="text1"/>
          <w:sz w:val="20"/>
          <w:szCs w:val="20"/>
          <w:lang w:eastAsia="zh-CN"/>
        </w:rPr>
        <w:t xml:space="preserve">exposure-outcome </w:t>
      </w:r>
      <w:r w:rsidRPr="0092090B">
        <w:rPr>
          <w:rFonts w:ascii="Times New Roman" w:hAnsi="Times New Roman" w:cs="Times New Roman"/>
          <w:color w:val="000000" w:themeColor="text1"/>
          <w:sz w:val="20"/>
          <w:szCs w:val="20"/>
          <w:lang w:eastAsia="zh-CN"/>
        </w:rPr>
        <w:t>association</w:t>
      </w:r>
      <w:r>
        <w:rPr>
          <w:rFonts w:ascii="Times New Roman" w:hAnsi="Times New Roman" w:cs="Times New Roman"/>
          <w:color w:val="000000" w:themeColor="text1"/>
          <w:sz w:val="20"/>
          <w:szCs w:val="20"/>
          <w:lang w:eastAsia="zh-CN"/>
        </w:rPr>
        <w:t xml:space="preserve">, </w:t>
      </w:r>
      <w:r w:rsidRPr="002356D1">
        <w:rPr>
          <w:rFonts w:ascii="Times New Roman" w:hAnsi="Times New Roman" w:cs="Times New Roman"/>
          <w:color w:val="000000" w:themeColor="text1"/>
          <w:sz w:val="20"/>
          <w:szCs w:val="20"/>
          <w:lang w:eastAsia="zh-CN"/>
        </w:rPr>
        <w:t xml:space="preserve">to </w:t>
      </w:r>
      <w:r>
        <w:rPr>
          <w:rFonts w:ascii="Times New Roman" w:hAnsi="Times New Roman" w:cs="Times New Roman"/>
          <w:color w:val="000000" w:themeColor="text1"/>
          <w:sz w:val="20"/>
          <w:szCs w:val="20"/>
          <w:lang w:eastAsia="zh-CN"/>
        </w:rPr>
        <w:t>represent</w:t>
      </w:r>
      <w:r w:rsidRPr="002356D1">
        <w:rPr>
          <w:rFonts w:ascii="Times New Roman" w:hAnsi="Times New Roman" w:cs="Times New Roman"/>
          <w:color w:val="000000" w:themeColor="text1"/>
          <w:sz w:val="20"/>
          <w:szCs w:val="20"/>
          <w:lang w:eastAsia="zh-CN"/>
        </w:rPr>
        <w:t xml:space="preserve"> the robustness of meta-analysis results to potential residual confounding.</w:t>
      </w:r>
    </w:p>
    <w:p w14:paraId="7079C799" w14:textId="77777777" w:rsidR="000709F6" w:rsidRPr="0092090B" w:rsidRDefault="000709F6" w:rsidP="0092090B">
      <w:pPr>
        <w:pStyle w:val="ListParagraph"/>
        <w:spacing w:after="20" w:line="240" w:lineRule="auto"/>
        <w:ind w:left="360"/>
        <w:rPr>
          <w:rFonts w:ascii="Times New Roman" w:hAnsi="Times New Roman" w:cs="Times New Roman"/>
          <w:color w:val="000000" w:themeColor="text1"/>
          <w:sz w:val="20"/>
          <w:szCs w:val="20"/>
          <w:lang w:eastAsia="zh-CN"/>
        </w:rPr>
      </w:pPr>
    </w:p>
    <w:p w14:paraId="0AEB2DB3" w14:textId="77777777" w:rsidR="000709F6" w:rsidRPr="00877067" w:rsidRDefault="000709F6" w:rsidP="00877067">
      <w:pPr>
        <w:pStyle w:val="ListParagraph"/>
        <w:numPr>
          <w:ilvl w:val="0"/>
          <w:numId w:val="15"/>
        </w:numPr>
        <w:spacing w:after="20" w:line="240" w:lineRule="auto"/>
        <w:rPr>
          <w:rFonts w:ascii="Times New Roman" w:hAnsi="Times New Roman" w:cs="Times New Roman"/>
          <w:i/>
          <w:iCs/>
          <w:color w:val="000000" w:themeColor="text1"/>
          <w:sz w:val="20"/>
          <w:szCs w:val="20"/>
          <w:lang w:eastAsia="zh-CN"/>
        </w:rPr>
      </w:pPr>
      <w:r w:rsidRPr="0092090B">
        <w:rPr>
          <w:rFonts w:ascii="Times New Roman" w:hAnsi="Times New Roman" w:cs="Times New Roman"/>
          <w:b/>
          <w:bCs/>
          <w:color w:val="000000" w:themeColor="text1"/>
          <w:sz w:val="20"/>
          <w:szCs w:val="20"/>
          <w:lang w:eastAsia="zh-CN"/>
        </w:rPr>
        <w:t>E-value</w:t>
      </w:r>
      <w:r>
        <w:rPr>
          <w:rFonts w:ascii="Times New Roman" w:hAnsi="Times New Roman" w:cs="Times New Roman"/>
          <w:b/>
          <w:bCs/>
          <w:color w:val="000000" w:themeColor="text1"/>
          <w:sz w:val="20"/>
          <w:szCs w:val="20"/>
          <w:lang w:eastAsia="zh-CN"/>
        </w:rPr>
        <w:t xml:space="preserve"> </w:t>
      </w:r>
      <w:r>
        <w:rPr>
          <w:rFonts w:ascii="Times New Roman" w:hAnsi="Times New Roman" w:cs="Times New Roman"/>
          <w:noProof/>
          <w:color w:val="000000" w:themeColor="text1"/>
          <w:sz w:val="20"/>
          <w:szCs w:val="20"/>
          <w:lang w:eastAsia="zh-CN"/>
        </w:rPr>
        <w:t>[3,</w:t>
      </w:r>
      <w:proofErr w:type="gramStart"/>
      <w:r>
        <w:rPr>
          <w:rFonts w:ascii="Times New Roman" w:hAnsi="Times New Roman" w:cs="Times New Roman"/>
          <w:noProof/>
          <w:color w:val="000000" w:themeColor="text1"/>
          <w:sz w:val="20"/>
          <w:szCs w:val="20"/>
          <w:lang w:eastAsia="zh-CN"/>
        </w:rPr>
        <w:t>21]</w:t>
      </w:r>
      <w:r w:rsidRPr="0092090B">
        <w:rPr>
          <w:rFonts w:ascii="Times New Roman" w:hAnsi="Times New Roman" w:cs="Times New Roman"/>
          <w:color w:val="000000" w:themeColor="text1"/>
          <w:sz w:val="20"/>
          <w:szCs w:val="20"/>
          <w:lang w:eastAsia="zh-CN"/>
        </w:rPr>
        <w:t>––</w:t>
      </w:r>
      <w:proofErr w:type="gramEnd"/>
      <w:r w:rsidRPr="0092090B">
        <w:rPr>
          <w:rFonts w:ascii="Times New Roman" w:hAnsi="Times New Roman" w:cs="Times New Roman"/>
          <w:color w:val="000000" w:themeColor="text1"/>
          <w:sz w:val="20"/>
          <w:szCs w:val="20"/>
          <w:lang w:eastAsia="zh-CN"/>
        </w:rPr>
        <w:t xml:space="preserve">The minimum strength of association, on RR scale, that residual confounding would need to have with both the exposure and outcome, conditional on the measured covariates and on average across studies, to </w:t>
      </w:r>
      <w:r w:rsidRPr="0092090B">
        <w:rPr>
          <w:rFonts w:ascii="Times New Roman" w:eastAsia="Microsoft YaHei" w:hAnsi="Times New Roman" w:cs="Times New Roman"/>
          <w:color w:val="000000" w:themeColor="text1"/>
          <w:sz w:val="20"/>
          <w:szCs w:val="20"/>
          <w:lang w:eastAsia="zh-CN"/>
        </w:rPr>
        <w:t xml:space="preserve">shift the pooled estimate or its confidence interval limit to a chosen threshold of scientific importance (i.e., the null or a non-null value </w:t>
      </w:r>
      <m:oMath>
        <m:r>
          <w:rPr>
            <w:rFonts w:ascii="Cambria Math" w:eastAsia="Microsoft YaHei" w:hAnsi="Cambria Math" w:cs="Times New Roman"/>
            <w:color w:val="000000" w:themeColor="text1"/>
            <w:sz w:val="20"/>
            <w:szCs w:val="20"/>
            <w:lang w:eastAsia="zh-CN"/>
          </w:rPr>
          <m:t>q</m:t>
        </m:r>
      </m:oMath>
      <w:r w:rsidRPr="0092090B">
        <w:rPr>
          <w:rFonts w:ascii="Times New Roman" w:eastAsia="Microsoft YaHei" w:hAnsi="Times New Roman" w:cs="Times New Roman"/>
          <w:color w:val="000000" w:themeColor="text1"/>
          <w:sz w:val="20"/>
          <w:szCs w:val="20"/>
          <w:lang w:eastAsia="zh-CN"/>
        </w:rPr>
        <w:t xml:space="preserve">). The threshold is defined as follows: null = 1.0, </w:t>
      </w:r>
      <m:oMath>
        <m:r>
          <w:rPr>
            <w:rFonts w:ascii="Cambria Math" w:eastAsiaTheme="minorEastAsia" w:hAnsi="Cambria Math" w:cs="Times New Roman"/>
            <w:color w:val="000000" w:themeColor="text1"/>
            <w:sz w:val="20"/>
            <w:szCs w:val="20"/>
            <w:lang w:eastAsia="zh-CN"/>
          </w:rPr>
          <m:t>q</m:t>
        </m:r>
      </m:oMath>
      <w:r w:rsidRPr="0092090B">
        <w:rPr>
          <w:rFonts w:ascii="Times New Roman" w:eastAsia="Microsoft YaHei" w:hAnsi="Times New Roman" w:cs="Times New Roman"/>
          <w:color w:val="000000" w:themeColor="text1"/>
          <w:sz w:val="20"/>
          <w:szCs w:val="20"/>
          <w:lang w:eastAsia="zh-CN"/>
        </w:rPr>
        <w:t xml:space="preserve"> = 0.9 or 1.1 (</w:t>
      </w:r>
      <m:oMath>
        <m:r>
          <w:rPr>
            <w:rFonts w:ascii="Cambria Math" w:eastAsiaTheme="minorEastAsia" w:hAnsi="Cambria Math" w:cs="Times New Roman"/>
            <w:color w:val="000000" w:themeColor="text1"/>
            <w:sz w:val="20"/>
            <w:szCs w:val="20"/>
            <w:lang w:eastAsia="zh-CN"/>
          </w:rPr>
          <m:t>q</m:t>
        </m:r>
      </m:oMath>
      <w:r w:rsidRPr="0092090B">
        <w:rPr>
          <w:rFonts w:ascii="Times New Roman" w:eastAsia="Microsoft YaHei" w:hAnsi="Times New Roman" w:cs="Times New Roman"/>
          <w:color w:val="000000" w:themeColor="text1"/>
          <w:sz w:val="20"/>
          <w:szCs w:val="20"/>
          <w:lang w:eastAsia="zh-CN"/>
        </w:rPr>
        <w:t xml:space="preserve"> is the value in the same direction of the pooled estimate). A large E-value would indicate that the meta-analysis mean estimate is relatively robust to residual confounding, whereas a small E-value would indicate that the meta-analysis mean estimate is relatively sensitive to residual confounding.</w:t>
      </w:r>
    </w:p>
    <w:p w14:paraId="7B44DBE7" w14:textId="77777777" w:rsidR="000709F6" w:rsidRPr="0092090B" w:rsidRDefault="000709F6">
      <w:pPr>
        <w:rPr>
          <w:rFonts w:ascii="Times New Roman" w:hAnsi="Times New Roman" w:cs="Times New Roman"/>
        </w:rPr>
        <w:sectPr w:rsidR="000709F6" w:rsidRPr="0092090B" w:rsidSect="001E6BD7">
          <w:headerReference w:type="even" r:id="rId7"/>
          <w:headerReference w:type="default" r:id="rId8"/>
          <w:pgSz w:w="11900" w:h="16840"/>
          <w:pgMar w:top="1440" w:right="1440" w:bottom="1440" w:left="1440" w:header="708" w:footer="708" w:gutter="0"/>
          <w:cols w:space="708"/>
          <w:docGrid w:linePitch="360"/>
        </w:sectPr>
      </w:pPr>
    </w:p>
    <w:p w14:paraId="1BB52FBF" w14:textId="77777777" w:rsidR="000709F6" w:rsidRDefault="000709F6" w:rsidP="008C3345">
      <w:pPr>
        <w:tabs>
          <w:tab w:val="left" w:pos="1085"/>
        </w:tabs>
        <w:rPr>
          <w:rFonts w:ascii="Times New Roman" w:hAnsi="Times New Roman" w:cs="Times New Roman"/>
          <w:b/>
          <w:bCs/>
          <w:color w:val="000000" w:themeColor="text1"/>
          <w:sz w:val="24"/>
          <w:szCs w:val="24"/>
        </w:rPr>
      </w:pPr>
      <w:bookmarkStart w:id="0" w:name="eReferences"/>
      <w:r w:rsidRPr="006D5AB9">
        <w:rPr>
          <w:rFonts w:ascii="Times New Roman" w:hAnsi="Times New Roman" w:cs="Times New Roman"/>
          <w:b/>
          <w:bCs/>
          <w:color w:val="000000" w:themeColor="text1"/>
          <w:sz w:val="24"/>
          <w:szCs w:val="24"/>
        </w:rPr>
        <w:lastRenderedPageBreak/>
        <w:t>eReferences</w:t>
      </w:r>
      <w:bookmarkEnd w:id="0"/>
    </w:p>
    <w:p w14:paraId="10F56B8F" w14:textId="77777777" w:rsidR="000709F6" w:rsidRPr="00DB7B64" w:rsidRDefault="000709F6" w:rsidP="008C3345">
      <w:pPr>
        <w:tabs>
          <w:tab w:val="left" w:pos="1085"/>
        </w:tabs>
        <w:rPr>
          <w:rFonts w:ascii="Times New Roman" w:hAnsi="Times New Roman" w:cs="Times New Roman"/>
          <w:color w:val="000000" w:themeColor="text1"/>
          <w:sz w:val="24"/>
          <w:szCs w:val="24"/>
        </w:rPr>
      </w:pPr>
    </w:p>
    <w:p w14:paraId="4D25126E"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1.</w:t>
      </w:r>
      <w:r w:rsidRPr="00D55223">
        <w:rPr>
          <w:rFonts w:ascii="Times New Roman" w:hAnsi="Times New Roman" w:cs="Times New Roman"/>
          <w:noProof/>
          <w:color w:val="000000" w:themeColor="text1"/>
          <w:sz w:val="20"/>
          <w:szCs w:val="20"/>
        </w:rPr>
        <w:tab/>
        <w:t>Grant RL. Converting an odds ratio to a range of plausible relative risks for better communication of research findings. BMJ. 2014;348:f7450.</w:t>
      </w:r>
    </w:p>
    <w:p w14:paraId="2240EA97"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2.</w:t>
      </w:r>
      <w:r w:rsidRPr="00D55223">
        <w:rPr>
          <w:rFonts w:ascii="Times New Roman" w:hAnsi="Times New Roman" w:cs="Times New Roman"/>
          <w:noProof/>
          <w:color w:val="000000" w:themeColor="text1"/>
          <w:sz w:val="20"/>
          <w:szCs w:val="20"/>
        </w:rPr>
        <w:tab/>
        <w:t>VanderWeele TJ. Optimal approximate conversions of odds ratios and hazard ratios to risk ratios. Biometrics. 2020;76(3):746-752.</w:t>
      </w:r>
    </w:p>
    <w:p w14:paraId="2F747A86"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3.</w:t>
      </w:r>
      <w:r w:rsidRPr="00D55223">
        <w:rPr>
          <w:rFonts w:ascii="Times New Roman" w:hAnsi="Times New Roman" w:cs="Times New Roman"/>
          <w:noProof/>
          <w:color w:val="000000" w:themeColor="text1"/>
          <w:sz w:val="20"/>
          <w:szCs w:val="20"/>
        </w:rPr>
        <w:tab/>
        <w:t>VanderWeele TJ, Ding P. Sensitivity analysis in observational research: introducing the E-value. Ann Intern Med. 2017;167(4):268-274.</w:t>
      </w:r>
    </w:p>
    <w:p w14:paraId="228D2E17"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4.</w:t>
      </w:r>
      <w:r w:rsidRPr="00D55223">
        <w:rPr>
          <w:rFonts w:ascii="Times New Roman" w:hAnsi="Times New Roman" w:cs="Times New Roman"/>
          <w:noProof/>
          <w:color w:val="000000" w:themeColor="text1"/>
          <w:sz w:val="20"/>
          <w:szCs w:val="20"/>
        </w:rPr>
        <w:tab/>
        <w:t>Higgins JP, Thompson SG, Spiegelhalter DJ. A re-evaluation of random-effects meta-analysis. J R Stat Soc Ser A Stat Soc. 2009;172(1):137-159.</w:t>
      </w:r>
    </w:p>
    <w:p w14:paraId="1D2DDFCE"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5.</w:t>
      </w:r>
      <w:r w:rsidRPr="00D55223">
        <w:rPr>
          <w:rFonts w:ascii="Times New Roman" w:hAnsi="Times New Roman" w:cs="Times New Roman"/>
          <w:noProof/>
          <w:color w:val="000000" w:themeColor="text1"/>
          <w:sz w:val="20"/>
          <w:szCs w:val="20"/>
        </w:rPr>
        <w:tab/>
        <w:t>Borenstein M, Hedges LV, Higgins JP, Rothstein HR. A basic introduction to fixed-effect and random-effects models for meta-analysis. Res Synth Methods. 2010;1(2):97-111.</w:t>
      </w:r>
    </w:p>
    <w:p w14:paraId="03EFA533"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6.</w:t>
      </w:r>
      <w:r w:rsidRPr="00D55223">
        <w:rPr>
          <w:rFonts w:ascii="Times New Roman" w:hAnsi="Times New Roman" w:cs="Times New Roman"/>
          <w:noProof/>
          <w:color w:val="000000" w:themeColor="text1"/>
          <w:sz w:val="20"/>
          <w:szCs w:val="20"/>
        </w:rPr>
        <w:tab/>
        <w:t>Hedges LV, Tipton E, Johnson MC. Robust variance estimation in meta-regression with dependent effect size estimates. Res Synth Methods. 2010;1(1):39-65.</w:t>
      </w:r>
    </w:p>
    <w:p w14:paraId="1BA15452"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7.</w:t>
      </w:r>
      <w:r w:rsidRPr="00D55223">
        <w:rPr>
          <w:rFonts w:ascii="Times New Roman" w:hAnsi="Times New Roman" w:cs="Times New Roman"/>
          <w:noProof/>
          <w:color w:val="000000" w:themeColor="text1"/>
          <w:sz w:val="20"/>
          <w:szCs w:val="20"/>
        </w:rPr>
        <w:tab/>
        <w:t>Hedges LV, Tipton E, Johnson MC. Erratum: robust variance estimation in meta-regression with dependent effect size estimates. Res Synth Methods. 2010;1(2):164-165.</w:t>
      </w:r>
    </w:p>
    <w:p w14:paraId="172C8982"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8.</w:t>
      </w:r>
      <w:r w:rsidRPr="00D55223">
        <w:rPr>
          <w:rFonts w:ascii="Times New Roman" w:hAnsi="Times New Roman" w:cs="Times New Roman"/>
          <w:noProof/>
          <w:color w:val="000000" w:themeColor="text1"/>
          <w:sz w:val="20"/>
          <w:szCs w:val="20"/>
        </w:rPr>
        <w:tab/>
        <w:t>Tipton E. Small sample adjustments for robust variance estimation with meta-regression. Psychol Methods. 2015;20(3):375-393.</w:t>
      </w:r>
    </w:p>
    <w:p w14:paraId="22A41127"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9.</w:t>
      </w:r>
      <w:r w:rsidRPr="00D55223">
        <w:rPr>
          <w:rFonts w:ascii="Times New Roman" w:hAnsi="Times New Roman" w:cs="Times New Roman"/>
          <w:noProof/>
          <w:color w:val="000000" w:themeColor="text1"/>
          <w:sz w:val="20"/>
          <w:szCs w:val="20"/>
        </w:rPr>
        <w:tab/>
        <w:t>Wang CC, Lee WC. A simple method to estimate prediction intervals and predictive distributions: summarizing meta-analyses beyond means and confidence intervals. Res Synth Methods. 2019;10(2):255-266.</w:t>
      </w:r>
    </w:p>
    <w:p w14:paraId="0B32BF3E"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10.</w:t>
      </w:r>
      <w:r w:rsidRPr="00D55223">
        <w:rPr>
          <w:rFonts w:ascii="Times New Roman" w:hAnsi="Times New Roman" w:cs="Times New Roman"/>
          <w:noProof/>
          <w:color w:val="000000" w:themeColor="text1"/>
          <w:sz w:val="20"/>
          <w:szCs w:val="20"/>
        </w:rPr>
        <w:tab/>
        <w:t>Mathur MB, VanderWeele TJ. Robust metrics and sensitivity analyses for meta-analyses of heterogeneous effects. Epidemiology. 2020;31(3):356-358.</w:t>
      </w:r>
    </w:p>
    <w:p w14:paraId="34DF583C"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11.</w:t>
      </w:r>
      <w:r w:rsidRPr="00D55223">
        <w:rPr>
          <w:rFonts w:ascii="Times New Roman" w:hAnsi="Times New Roman" w:cs="Times New Roman"/>
          <w:noProof/>
          <w:color w:val="000000" w:themeColor="text1"/>
          <w:sz w:val="20"/>
          <w:szCs w:val="20"/>
        </w:rPr>
        <w:tab/>
        <w:t>Borenstein M, Higgins JP, Hedges LV, Rothstein HR. Basics of meta-analysis: I</w:t>
      </w:r>
      <w:r w:rsidRPr="00D55223">
        <w:rPr>
          <w:rFonts w:ascii="Times New Roman" w:hAnsi="Times New Roman" w:cs="Times New Roman"/>
          <w:noProof/>
          <w:color w:val="000000" w:themeColor="text1"/>
          <w:sz w:val="20"/>
          <w:szCs w:val="20"/>
          <w:vertAlign w:val="superscript"/>
        </w:rPr>
        <w:t>2</w:t>
      </w:r>
      <w:r w:rsidRPr="00D55223">
        <w:rPr>
          <w:rFonts w:ascii="Times New Roman" w:hAnsi="Times New Roman" w:cs="Times New Roman"/>
          <w:noProof/>
          <w:color w:val="000000" w:themeColor="text1"/>
          <w:sz w:val="20"/>
          <w:szCs w:val="20"/>
        </w:rPr>
        <w:t xml:space="preserve"> is not an absolute measure of heterogeneity. Res Synth Methods. 2017;8(1):5-18.</w:t>
      </w:r>
    </w:p>
    <w:p w14:paraId="7748BDCD"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12.</w:t>
      </w:r>
      <w:r w:rsidRPr="00D55223">
        <w:rPr>
          <w:rFonts w:ascii="Times New Roman" w:hAnsi="Times New Roman" w:cs="Times New Roman"/>
          <w:noProof/>
          <w:color w:val="000000" w:themeColor="text1"/>
          <w:sz w:val="20"/>
          <w:szCs w:val="20"/>
        </w:rPr>
        <w:tab/>
        <w:t>Mathur MB, VanderWeele TJ. New metrics for meta-analyses of heterogeneous effects. Stat Med. 2019;38(8):1336-1342.</w:t>
      </w:r>
    </w:p>
    <w:p w14:paraId="3CA650AB"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13.</w:t>
      </w:r>
      <w:r w:rsidRPr="00D55223">
        <w:rPr>
          <w:rFonts w:ascii="Times New Roman" w:hAnsi="Times New Roman" w:cs="Times New Roman"/>
          <w:noProof/>
          <w:color w:val="000000" w:themeColor="text1"/>
          <w:sz w:val="20"/>
          <w:szCs w:val="20"/>
        </w:rPr>
        <w:tab/>
        <w:t>Sterne JA, Gavaghan D, Egger M. Publication and related bias in meta-analysis: power of statistical tests and prevalence in the literature. J Clin Epidemiol. 2000;53(11):1119-1129.</w:t>
      </w:r>
    </w:p>
    <w:p w14:paraId="537178E0"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14.</w:t>
      </w:r>
      <w:r w:rsidRPr="00D55223">
        <w:rPr>
          <w:rFonts w:ascii="Times New Roman" w:hAnsi="Times New Roman" w:cs="Times New Roman"/>
          <w:noProof/>
          <w:color w:val="000000" w:themeColor="text1"/>
          <w:sz w:val="20"/>
          <w:szCs w:val="20"/>
        </w:rPr>
        <w:tab/>
        <w:t>Egger M, Davey Smith G, Schneider M, Minder C. Bias in meta-analysis detected by a simple, graphical test. BMJ. 1997;315(7109):629-634.</w:t>
      </w:r>
    </w:p>
    <w:p w14:paraId="43371187" w14:textId="29D30B19"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2D6985">
        <w:rPr>
          <w:rFonts w:ascii="Times New Roman" w:hAnsi="Times New Roman" w:cs="Times New Roman"/>
          <w:noProof/>
          <w:color w:val="000000" w:themeColor="text1"/>
          <w:sz w:val="20"/>
          <w:szCs w:val="20"/>
          <w:lang w:val="sv-SE"/>
        </w:rPr>
        <w:t>15.</w:t>
      </w:r>
      <w:r w:rsidRPr="002D6985">
        <w:rPr>
          <w:rFonts w:ascii="Times New Roman" w:hAnsi="Times New Roman" w:cs="Times New Roman"/>
          <w:noProof/>
          <w:color w:val="000000" w:themeColor="text1"/>
          <w:sz w:val="20"/>
          <w:szCs w:val="20"/>
          <w:lang w:val="sv-SE"/>
        </w:rPr>
        <w:tab/>
      </w:r>
      <w:r w:rsidR="002D6985" w:rsidRPr="002D6985">
        <w:rPr>
          <w:rFonts w:ascii="Times New Roman" w:hAnsi="Times New Roman" w:cs="Times New Roman"/>
          <w:noProof/>
          <w:color w:val="000000" w:themeColor="text1"/>
          <w:sz w:val="20"/>
          <w:szCs w:val="20"/>
          <w:lang w:val="sv-SE"/>
        </w:rPr>
        <w:t xml:space="preserve">Sterne JA, Sutton AJ, Ioannidis JP, Terrin N, Jones DR, Lau J, et al. </w:t>
      </w:r>
      <w:r w:rsidRPr="00D55223">
        <w:rPr>
          <w:rFonts w:ascii="Times New Roman" w:hAnsi="Times New Roman" w:cs="Times New Roman"/>
          <w:noProof/>
          <w:color w:val="000000" w:themeColor="text1"/>
          <w:sz w:val="20"/>
          <w:szCs w:val="20"/>
        </w:rPr>
        <w:t>Recommendations for examining and interpreting funnel plot asymmetry in meta-analyses of randomised controlled trials. BMJ. 2011;343:d4002.</w:t>
      </w:r>
    </w:p>
    <w:p w14:paraId="32A82DF4"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16.</w:t>
      </w:r>
      <w:r w:rsidRPr="00D55223">
        <w:rPr>
          <w:rFonts w:ascii="Times New Roman" w:hAnsi="Times New Roman" w:cs="Times New Roman"/>
          <w:noProof/>
          <w:color w:val="000000" w:themeColor="text1"/>
          <w:sz w:val="20"/>
          <w:szCs w:val="20"/>
        </w:rPr>
        <w:tab/>
        <w:t>Boissel JP, Haugh MC. The iceberg phenomenon and publication bias: the editors' fault? Clin Trials Metaanal. 1993;28(6):309-315.</w:t>
      </w:r>
    </w:p>
    <w:p w14:paraId="78F7AF2C" w14:textId="718D731E"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17.</w:t>
      </w:r>
      <w:r w:rsidRPr="00D55223">
        <w:rPr>
          <w:rFonts w:ascii="Times New Roman" w:hAnsi="Times New Roman" w:cs="Times New Roman"/>
          <w:noProof/>
          <w:color w:val="000000" w:themeColor="text1"/>
          <w:sz w:val="20"/>
          <w:szCs w:val="20"/>
        </w:rPr>
        <w:tab/>
      </w:r>
      <w:r w:rsidR="002513C8" w:rsidRPr="002513C8">
        <w:rPr>
          <w:rFonts w:ascii="Times New Roman" w:hAnsi="Times New Roman" w:cs="Times New Roman"/>
          <w:noProof/>
          <w:color w:val="000000" w:themeColor="text1"/>
          <w:sz w:val="20"/>
          <w:szCs w:val="20"/>
        </w:rPr>
        <w:t xml:space="preserve">Song F, Parekh S, Hooper L, Loke YK, Ryder J, Sutton AJ, et al. </w:t>
      </w:r>
      <w:r w:rsidRPr="00D55223">
        <w:rPr>
          <w:rFonts w:ascii="Times New Roman" w:hAnsi="Times New Roman" w:cs="Times New Roman"/>
          <w:noProof/>
          <w:color w:val="000000" w:themeColor="text1"/>
          <w:sz w:val="20"/>
          <w:szCs w:val="20"/>
        </w:rPr>
        <w:t>Dissemination and publication of research findings: an updated review of related biases. Health Technol Assess. 2010;14(8):iii, ix-xi, 1-193.</w:t>
      </w:r>
    </w:p>
    <w:p w14:paraId="51081A67"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lang w:val="sv-SE"/>
        </w:rPr>
      </w:pPr>
      <w:r w:rsidRPr="00D55223">
        <w:rPr>
          <w:rFonts w:ascii="Times New Roman" w:hAnsi="Times New Roman" w:cs="Times New Roman"/>
          <w:noProof/>
          <w:color w:val="000000" w:themeColor="text1"/>
          <w:sz w:val="20"/>
          <w:szCs w:val="20"/>
        </w:rPr>
        <w:t>18.</w:t>
      </w:r>
      <w:r w:rsidRPr="00D55223">
        <w:rPr>
          <w:rFonts w:ascii="Times New Roman" w:hAnsi="Times New Roman" w:cs="Times New Roman"/>
          <w:noProof/>
          <w:color w:val="000000" w:themeColor="text1"/>
          <w:sz w:val="20"/>
          <w:szCs w:val="20"/>
        </w:rPr>
        <w:tab/>
        <w:t xml:space="preserve">Mathur MB, VanderWeele TJ. Sensitivity analysis for publication bias in meta-analyses. </w:t>
      </w:r>
      <w:r w:rsidRPr="00D55223">
        <w:rPr>
          <w:rFonts w:ascii="Times New Roman" w:hAnsi="Times New Roman" w:cs="Times New Roman"/>
          <w:noProof/>
          <w:color w:val="000000" w:themeColor="text1"/>
          <w:sz w:val="20"/>
          <w:szCs w:val="20"/>
          <w:lang w:val="sv-SE"/>
        </w:rPr>
        <w:t>J R Stat Soc Ser C Appl Stat. 2020;69(5):1091-1119.</w:t>
      </w:r>
    </w:p>
    <w:p w14:paraId="3EE9BF27"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lang w:val="sv-SE"/>
        </w:rPr>
        <w:t>19.</w:t>
      </w:r>
      <w:r w:rsidRPr="00D55223">
        <w:rPr>
          <w:rFonts w:ascii="Times New Roman" w:hAnsi="Times New Roman" w:cs="Times New Roman"/>
          <w:noProof/>
          <w:color w:val="000000" w:themeColor="text1"/>
          <w:sz w:val="20"/>
          <w:szCs w:val="20"/>
          <w:lang w:val="sv-SE"/>
        </w:rPr>
        <w:tab/>
        <w:t xml:space="preserve">Vevea JL, Hedges LV. </w:t>
      </w:r>
      <w:r w:rsidRPr="00D55223">
        <w:rPr>
          <w:rFonts w:ascii="Times New Roman" w:hAnsi="Times New Roman" w:cs="Times New Roman"/>
          <w:noProof/>
          <w:color w:val="000000" w:themeColor="text1"/>
          <w:sz w:val="20"/>
          <w:szCs w:val="20"/>
        </w:rPr>
        <w:t xml:space="preserve">A general linear model for estimating effect size in the presence of publication bias. Psychometrika. 1995;60(3):419-435. </w:t>
      </w:r>
    </w:p>
    <w:p w14:paraId="28571DED" w14:textId="77777777" w:rsidR="00517BC4" w:rsidRPr="00D55223" w:rsidRDefault="00517BC4" w:rsidP="00517BC4">
      <w:pPr>
        <w:pStyle w:val="EndNoteBibliography"/>
        <w:spacing w:after="0"/>
        <w:rPr>
          <w:rFonts w:ascii="Times New Roman" w:hAnsi="Times New Roman" w:cs="Times New Roman"/>
          <w:noProof/>
          <w:color w:val="000000" w:themeColor="text1"/>
          <w:sz w:val="20"/>
          <w:szCs w:val="20"/>
        </w:rPr>
      </w:pPr>
      <w:r w:rsidRPr="00D55223">
        <w:rPr>
          <w:rFonts w:ascii="Times New Roman" w:hAnsi="Times New Roman" w:cs="Times New Roman"/>
          <w:noProof/>
          <w:color w:val="000000" w:themeColor="text1"/>
          <w:sz w:val="20"/>
          <w:szCs w:val="20"/>
        </w:rPr>
        <w:t>20.</w:t>
      </w:r>
      <w:r w:rsidRPr="00D55223">
        <w:rPr>
          <w:rFonts w:ascii="Times New Roman" w:hAnsi="Times New Roman" w:cs="Times New Roman"/>
          <w:noProof/>
          <w:color w:val="000000" w:themeColor="text1"/>
          <w:sz w:val="20"/>
          <w:szCs w:val="20"/>
        </w:rPr>
        <w:tab/>
        <w:t xml:space="preserve">McShane BB, Gal D. Statistical significance and the dichotomization of evidence. J Am Stat Assoc. 2017;112(519):885-895. </w:t>
      </w:r>
    </w:p>
    <w:p w14:paraId="1A7A77BA" w14:textId="7EE4603D" w:rsidR="00F9124A" w:rsidRPr="00D55223" w:rsidRDefault="00517BC4" w:rsidP="00517BC4">
      <w:pPr>
        <w:pStyle w:val="EndNoteBibliography"/>
      </w:pPr>
      <w:r w:rsidRPr="00D55223">
        <w:rPr>
          <w:rFonts w:ascii="Times New Roman" w:hAnsi="Times New Roman" w:cs="Times New Roman"/>
          <w:noProof/>
          <w:color w:val="000000" w:themeColor="text1"/>
          <w:sz w:val="20"/>
          <w:szCs w:val="20"/>
        </w:rPr>
        <w:t>21.</w:t>
      </w:r>
      <w:r w:rsidRPr="00D55223">
        <w:rPr>
          <w:rFonts w:ascii="Times New Roman" w:hAnsi="Times New Roman" w:cs="Times New Roman"/>
          <w:noProof/>
          <w:color w:val="000000" w:themeColor="text1"/>
          <w:sz w:val="20"/>
          <w:szCs w:val="20"/>
        </w:rPr>
        <w:tab/>
        <w:t>Mathur MB, VanderWeele TJ. Sensitivity analysis for unmeasured confounding in meta-analyses. J Am Stat Assoc. 2020;115(529):163-172.</w:t>
      </w:r>
    </w:p>
    <w:sectPr w:rsidR="00F9124A" w:rsidRPr="00D55223" w:rsidSect="001E6B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F607" w14:textId="77777777" w:rsidR="00E81E6B" w:rsidRDefault="00E81E6B">
      <w:pPr>
        <w:spacing w:before="0" w:after="0"/>
      </w:pPr>
      <w:r>
        <w:separator/>
      </w:r>
    </w:p>
  </w:endnote>
  <w:endnote w:type="continuationSeparator" w:id="0">
    <w:p w14:paraId="6A4E7FC3" w14:textId="77777777" w:rsidR="00E81E6B" w:rsidRDefault="00E81E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293" w14:textId="77777777" w:rsidR="00E81E6B" w:rsidRDefault="00E81E6B">
      <w:pPr>
        <w:spacing w:before="0" w:after="0"/>
      </w:pPr>
      <w:r>
        <w:separator/>
      </w:r>
    </w:p>
  </w:footnote>
  <w:footnote w:type="continuationSeparator" w:id="0">
    <w:p w14:paraId="345703FE" w14:textId="77777777" w:rsidR="00E81E6B" w:rsidRDefault="00E81E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739575"/>
      <w:docPartObj>
        <w:docPartGallery w:val="Page Numbers (Top of Page)"/>
        <w:docPartUnique/>
      </w:docPartObj>
    </w:sdtPr>
    <w:sdtEndPr>
      <w:rPr>
        <w:rStyle w:val="PageNumber"/>
      </w:rPr>
    </w:sdtEndPr>
    <w:sdtContent>
      <w:p w14:paraId="48F8E924" w14:textId="77777777" w:rsidR="00D52DAA" w:rsidRDefault="000709F6" w:rsidP="004216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4E280" w14:textId="77777777" w:rsidR="00D52DAA" w:rsidRDefault="00E81E6B" w:rsidP="00D52D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077956"/>
      <w:docPartObj>
        <w:docPartGallery w:val="Page Numbers (Top of Page)"/>
        <w:docPartUnique/>
      </w:docPartObj>
    </w:sdtPr>
    <w:sdtEndPr>
      <w:rPr>
        <w:rStyle w:val="PageNumber"/>
      </w:rPr>
    </w:sdtEndPr>
    <w:sdtContent>
      <w:p w14:paraId="5A0D9BC2" w14:textId="77777777" w:rsidR="00D52DAA" w:rsidRDefault="000709F6" w:rsidP="004216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1D4FC5" w14:textId="77777777" w:rsidR="00D52DAA" w:rsidRDefault="00E81E6B" w:rsidP="00D52D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D6"/>
    <w:multiLevelType w:val="hybridMultilevel"/>
    <w:tmpl w:val="45A8C9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17B92"/>
    <w:multiLevelType w:val="hybridMultilevel"/>
    <w:tmpl w:val="2F1837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19">
      <w:start w:val="1"/>
      <w:numFmt w:val="lowerLetter"/>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111AD2"/>
    <w:multiLevelType w:val="hybridMultilevel"/>
    <w:tmpl w:val="4160586A"/>
    <w:lvl w:ilvl="0" w:tplc="041D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4844A2"/>
    <w:multiLevelType w:val="hybridMultilevel"/>
    <w:tmpl w:val="B052AF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0F1BE7"/>
    <w:multiLevelType w:val="hybridMultilevel"/>
    <w:tmpl w:val="826CF8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4184A"/>
    <w:multiLevelType w:val="multilevel"/>
    <w:tmpl w:val="934668D0"/>
    <w:lvl w:ilvl="0">
      <w:start w:val="3"/>
      <w:numFmt w:val="decimal"/>
      <w:lvlText w:val="%1."/>
      <w:lvlJc w:val="left"/>
      <w:pPr>
        <w:ind w:left="360" w:hanging="360"/>
      </w:pPr>
      <w:rPr>
        <w:rFonts w:eastAsiaTheme="minorHAnsi"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3C00186B"/>
    <w:multiLevelType w:val="hybridMultilevel"/>
    <w:tmpl w:val="BEAA1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42491D"/>
    <w:multiLevelType w:val="hybridMultilevel"/>
    <w:tmpl w:val="CF522EF4"/>
    <w:lvl w:ilvl="0" w:tplc="0809000F">
      <w:start w:val="1"/>
      <w:numFmt w:val="decimal"/>
      <w:lvlText w:val="%1."/>
      <w:lvlJc w:val="left"/>
      <w:pPr>
        <w:ind w:left="360" w:hanging="360"/>
      </w:pPr>
      <w:rPr>
        <w:rFonts w:hint="default"/>
      </w:rPr>
    </w:lvl>
    <w:lvl w:ilvl="1" w:tplc="04090017">
      <w:start w:val="1"/>
      <w:numFmt w:val="lowerLetter"/>
      <w:lvlText w:val="%2)"/>
      <w:lvlJc w:val="left"/>
      <w:pPr>
        <w:ind w:left="360" w:hanging="360"/>
      </w:pPr>
      <w:rPr>
        <w:rFonts w:hint="default"/>
      </w:rPr>
    </w:lvl>
    <w:lvl w:ilvl="2" w:tplc="0809001B">
      <w:start w:val="1"/>
      <w:numFmt w:val="lowerRoman"/>
      <w:lvlText w:val="%3."/>
      <w:lvlJc w:val="right"/>
      <w:pPr>
        <w:ind w:left="1800" w:hanging="180"/>
      </w:pPr>
    </w:lvl>
    <w:lvl w:ilvl="3" w:tplc="94CA8D72">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CF5B93"/>
    <w:multiLevelType w:val="hybridMultilevel"/>
    <w:tmpl w:val="DEBC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A5E8D"/>
    <w:multiLevelType w:val="hybridMultilevel"/>
    <w:tmpl w:val="E16EF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DF7AD9"/>
    <w:multiLevelType w:val="hybridMultilevel"/>
    <w:tmpl w:val="2E0E44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632ADF"/>
    <w:multiLevelType w:val="hybridMultilevel"/>
    <w:tmpl w:val="0CCA0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7F63BA"/>
    <w:multiLevelType w:val="hybridMultilevel"/>
    <w:tmpl w:val="C596B70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6D884A86"/>
    <w:multiLevelType w:val="hybridMultilevel"/>
    <w:tmpl w:val="7C0C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64D0C"/>
    <w:multiLevelType w:val="hybridMultilevel"/>
    <w:tmpl w:val="3760C1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1"/>
  </w:num>
  <w:num w:numId="3">
    <w:abstractNumId w:val="14"/>
  </w:num>
  <w:num w:numId="4">
    <w:abstractNumId w:val="6"/>
  </w:num>
  <w:num w:numId="5">
    <w:abstractNumId w:val="9"/>
  </w:num>
  <w:num w:numId="6">
    <w:abstractNumId w:val="10"/>
  </w:num>
  <w:num w:numId="7">
    <w:abstractNumId w:val="2"/>
  </w:num>
  <w:num w:numId="8">
    <w:abstractNumId w:val="0"/>
  </w:num>
  <w:num w:numId="9">
    <w:abstractNumId w:val="7"/>
  </w:num>
  <w:num w:numId="10">
    <w:abstractNumId w:val="8"/>
  </w:num>
  <w:num w:numId="11">
    <w:abstractNumId w:val="4"/>
  </w:num>
  <w:num w:numId="12">
    <w:abstractNumId w:val="3"/>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709F6"/>
    <w:rsid w:val="000028D3"/>
    <w:rsid w:val="00006CEC"/>
    <w:rsid w:val="000072BE"/>
    <w:rsid w:val="000076AE"/>
    <w:rsid w:val="000078E0"/>
    <w:rsid w:val="00011DF9"/>
    <w:rsid w:val="000124E6"/>
    <w:rsid w:val="00015888"/>
    <w:rsid w:val="00020A8A"/>
    <w:rsid w:val="00020FB1"/>
    <w:rsid w:val="00024908"/>
    <w:rsid w:val="00032B9E"/>
    <w:rsid w:val="000373B7"/>
    <w:rsid w:val="00040EBD"/>
    <w:rsid w:val="0004141B"/>
    <w:rsid w:val="00050DB5"/>
    <w:rsid w:val="0005499C"/>
    <w:rsid w:val="0005506C"/>
    <w:rsid w:val="00061963"/>
    <w:rsid w:val="00065035"/>
    <w:rsid w:val="00067690"/>
    <w:rsid w:val="000709F6"/>
    <w:rsid w:val="000750D0"/>
    <w:rsid w:val="00075827"/>
    <w:rsid w:val="00077A23"/>
    <w:rsid w:val="000800DD"/>
    <w:rsid w:val="000832DF"/>
    <w:rsid w:val="000A222C"/>
    <w:rsid w:val="000A426A"/>
    <w:rsid w:val="000B23EF"/>
    <w:rsid w:val="000D1841"/>
    <w:rsid w:val="000D5704"/>
    <w:rsid w:val="000D67F1"/>
    <w:rsid w:val="000D7C85"/>
    <w:rsid w:val="000E22F4"/>
    <w:rsid w:val="000E3F1E"/>
    <w:rsid w:val="000F4AA5"/>
    <w:rsid w:val="000F7015"/>
    <w:rsid w:val="00100958"/>
    <w:rsid w:val="001109F2"/>
    <w:rsid w:val="00117D8E"/>
    <w:rsid w:val="00123483"/>
    <w:rsid w:val="00126F90"/>
    <w:rsid w:val="00127320"/>
    <w:rsid w:val="001313A3"/>
    <w:rsid w:val="0013191F"/>
    <w:rsid w:val="0014028F"/>
    <w:rsid w:val="00142825"/>
    <w:rsid w:val="00146E5C"/>
    <w:rsid w:val="001518B4"/>
    <w:rsid w:val="00151A4D"/>
    <w:rsid w:val="00156F8D"/>
    <w:rsid w:val="00161D7B"/>
    <w:rsid w:val="001713E1"/>
    <w:rsid w:val="001744BD"/>
    <w:rsid w:val="001747D6"/>
    <w:rsid w:val="00175877"/>
    <w:rsid w:val="0018459A"/>
    <w:rsid w:val="00184BDD"/>
    <w:rsid w:val="00187129"/>
    <w:rsid w:val="00187AFC"/>
    <w:rsid w:val="0019601B"/>
    <w:rsid w:val="001A01E1"/>
    <w:rsid w:val="001A05C2"/>
    <w:rsid w:val="001C0481"/>
    <w:rsid w:val="001D45A7"/>
    <w:rsid w:val="001D5B37"/>
    <w:rsid w:val="001E07DE"/>
    <w:rsid w:val="001E2F3F"/>
    <w:rsid w:val="001E6BD7"/>
    <w:rsid w:val="001F123D"/>
    <w:rsid w:val="001F620D"/>
    <w:rsid w:val="00200491"/>
    <w:rsid w:val="00202863"/>
    <w:rsid w:val="00205030"/>
    <w:rsid w:val="00205755"/>
    <w:rsid w:val="00215C70"/>
    <w:rsid w:val="00216EFB"/>
    <w:rsid w:val="0022396B"/>
    <w:rsid w:val="00225033"/>
    <w:rsid w:val="0022611D"/>
    <w:rsid w:val="00227399"/>
    <w:rsid w:val="002418C1"/>
    <w:rsid w:val="00242946"/>
    <w:rsid w:val="002513C8"/>
    <w:rsid w:val="00254A02"/>
    <w:rsid w:val="00254B8D"/>
    <w:rsid w:val="00260066"/>
    <w:rsid w:val="00261D11"/>
    <w:rsid w:val="002745F2"/>
    <w:rsid w:val="00275E45"/>
    <w:rsid w:val="00277133"/>
    <w:rsid w:val="0028059F"/>
    <w:rsid w:val="00282F41"/>
    <w:rsid w:val="00285EA4"/>
    <w:rsid w:val="00286F1F"/>
    <w:rsid w:val="00294FFD"/>
    <w:rsid w:val="00295991"/>
    <w:rsid w:val="00296EFF"/>
    <w:rsid w:val="002A33E1"/>
    <w:rsid w:val="002A37ED"/>
    <w:rsid w:val="002A41AD"/>
    <w:rsid w:val="002A55FE"/>
    <w:rsid w:val="002A7252"/>
    <w:rsid w:val="002B72BC"/>
    <w:rsid w:val="002B7E95"/>
    <w:rsid w:val="002D1005"/>
    <w:rsid w:val="002D2DB8"/>
    <w:rsid w:val="002D41E0"/>
    <w:rsid w:val="002D6985"/>
    <w:rsid w:val="002D7463"/>
    <w:rsid w:val="002E694E"/>
    <w:rsid w:val="002F098B"/>
    <w:rsid w:val="002F2180"/>
    <w:rsid w:val="002F38F4"/>
    <w:rsid w:val="002F408E"/>
    <w:rsid w:val="002F6868"/>
    <w:rsid w:val="002F713D"/>
    <w:rsid w:val="00303D26"/>
    <w:rsid w:val="003059FA"/>
    <w:rsid w:val="00314925"/>
    <w:rsid w:val="00314D6C"/>
    <w:rsid w:val="003173B8"/>
    <w:rsid w:val="003200AB"/>
    <w:rsid w:val="00323EB3"/>
    <w:rsid w:val="003245A8"/>
    <w:rsid w:val="00325191"/>
    <w:rsid w:val="00325D29"/>
    <w:rsid w:val="003275A4"/>
    <w:rsid w:val="00331EB2"/>
    <w:rsid w:val="0033297A"/>
    <w:rsid w:val="00336F9E"/>
    <w:rsid w:val="00340260"/>
    <w:rsid w:val="00343B24"/>
    <w:rsid w:val="003443C2"/>
    <w:rsid w:val="003477A4"/>
    <w:rsid w:val="00350A6F"/>
    <w:rsid w:val="003557B7"/>
    <w:rsid w:val="00360C64"/>
    <w:rsid w:val="00360DD8"/>
    <w:rsid w:val="003619F7"/>
    <w:rsid w:val="00363A79"/>
    <w:rsid w:val="00372217"/>
    <w:rsid w:val="003753C1"/>
    <w:rsid w:val="00375DD5"/>
    <w:rsid w:val="00375FD7"/>
    <w:rsid w:val="003849EF"/>
    <w:rsid w:val="00384C1E"/>
    <w:rsid w:val="00387F21"/>
    <w:rsid w:val="00393646"/>
    <w:rsid w:val="00396D67"/>
    <w:rsid w:val="003A33CF"/>
    <w:rsid w:val="003A48AF"/>
    <w:rsid w:val="003A4FD9"/>
    <w:rsid w:val="003A6A76"/>
    <w:rsid w:val="003B012E"/>
    <w:rsid w:val="003B0C03"/>
    <w:rsid w:val="003B2346"/>
    <w:rsid w:val="003B4881"/>
    <w:rsid w:val="003C00B1"/>
    <w:rsid w:val="003C1FCF"/>
    <w:rsid w:val="003C2822"/>
    <w:rsid w:val="003C6464"/>
    <w:rsid w:val="003E04E4"/>
    <w:rsid w:val="003E3777"/>
    <w:rsid w:val="003F0FE4"/>
    <w:rsid w:val="003F399E"/>
    <w:rsid w:val="003F4B87"/>
    <w:rsid w:val="003F4BEB"/>
    <w:rsid w:val="003F73E7"/>
    <w:rsid w:val="004002F8"/>
    <w:rsid w:val="004057AA"/>
    <w:rsid w:val="004077E4"/>
    <w:rsid w:val="004165D4"/>
    <w:rsid w:val="004257FD"/>
    <w:rsid w:val="00425922"/>
    <w:rsid w:val="00430B33"/>
    <w:rsid w:val="004310AB"/>
    <w:rsid w:val="00435B95"/>
    <w:rsid w:val="0043667D"/>
    <w:rsid w:val="004620A2"/>
    <w:rsid w:val="004650D6"/>
    <w:rsid w:val="00474965"/>
    <w:rsid w:val="00486199"/>
    <w:rsid w:val="0049678B"/>
    <w:rsid w:val="00496AD2"/>
    <w:rsid w:val="0049756D"/>
    <w:rsid w:val="004A3C1E"/>
    <w:rsid w:val="004A4678"/>
    <w:rsid w:val="004B3BF9"/>
    <w:rsid w:val="004B3FA4"/>
    <w:rsid w:val="004C0BD8"/>
    <w:rsid w:val="004C2943"/>
    <w:rsid w:val="004D2A0D"/>
    <w:rsid w:val="004D321C"/>
    <w:rsid w:val="004D4278"/>
    <w:rsid w:val="004D6806"/>
    <w:rsid w:val="004F774B"/>
    <w:rsid w:val="004F7D19"/>
    <w:rsid w:val="00500D5C"/>
    <w:rsid w:val="005018CF"/>
    <w:rsid w:val="00501EC0"/>
    <w:rsid w:val="00502317"/>
    <w:rsid w:val="00507185"/>
    <w:rsid w:val="00507C53"/>
    <w:rsid w:val="00517BC4"/>
    <w:rsid w:val="00521BBB"/>
    <w:rsid w:val="005230F8"/>
    <w:rsid w:val="005237FB"/>
    <w:rsid w:val="0052404E"/>
    <w:rsid w:val="005314B9"/>
    <w:rsid w:val="00533F18"/>
    <w:rsid w:val="005350F2"/>
    <w:rsid w:val="005428AD"/>
    <w:rsid w:val="0054379C"/>
    <w:rsid w:val="005447BD"/>
    <w:rsid w:val="00561FF8"/>
    <w:rsid w:val="00562A80"/>
    <w:rsid w:val="00571ACA"/>
    <w:rsid w:val="00576812"/>
    <w:rsid w:val="00580607"/>
    <w:rsid w:val="005811FB"/>
    <w:rsid w:val="00583AB0"/>
    <w:rsid w:val="00584058"/>
    <w:rsid w:val="00585896"/>
    <w:rsid w:val="00585BF1"/>
    <w:rsid w:val="005866B3"/>
    <w:rsid w:val="0058695D"/>
    <w:rsid w:val="005900C2"/>
    <w:rsid w:val="005A17CF"/>
    <w:rsid w:val="005A2CA5"/>
    <w:rsid w:val="005A6E36"/>
    <w:rsid w:val="005B0F87"/>
    <w:rsid w:val="005B3E43"/>
    <w:rsid w:val="005B5707"/>
    <w:rsid w:val="005B6239"/>
    <w:rsid w:val="005C3379"/>
    <w:rsid w:val="005D0039"/>
    <w:rsid w:val="005D3238"/>
    <w:rsid w:val="005F44FF"/>
    <w:rsid w:val="005F6F61"/>
    <w:rsid w:val="0060084A"/>
    <w:rsid w:val="00604757"/>
    <w:rsid w:val="00614D4B"/>
    <w:rsid w:val="006212B0"/>
    <w:rsid w:val="00625F32"/>
    <w:rsid w:val="006270DB"/>
    <w:rsid w:val="00636F28"/>
    <w:rsid w:val="006409C2"/>
    <w:rsid w:val="00642DE3"/>
    <w:rsid w:val="00642FDB"/>
    <w:rsid w:val="00652628"/>
    <w:rsid w:val="00657312"/>
    <w:rsid w:val="006600F4"/>
    <w:rsid w:val="0066083D"/>
    <w:rsid w:val="006625D2"/>
    <w:rsid w:val="00664677"/>
    <w:rsid w:val="00664BD9"/>
    <w:rsid w:val="00664E54"/>
    <w:rsid w:val="00666052"/>
    <w:rsid w:val="0067085B"/>
    <w:rsid w:val="00684A7C"/>
    <w:rsid w:val="00687726"/>
    <w:rsid w:val="0069475F"/>
    <w:rsid w:val="006A029D"/>
    <w:rsid w:val="006A0952"/>
    <w:rsid w:val="006A10C5"/>
    <w:rsid w:val="006A2BE5"/>
    <w:rsid w:val="006A310A"/>
    <w:rsid w:val="006A367E"/>
    <w:rsid w:val="006A4F75"/>
    <w:rsid w:val="006B0031"/>
    <w:rsid w:val="006B1D9A"/>
    <w:rsid w:val="006B2D4F"/>
    <w:rsid w:val="006B4806"/>
    <w:rsid w:val="006B6E4B"/>
    <w:rsid w:val="006D3B3C"/>
    <w:rsid w:val="006D43AA"/>
    <w:rsid w:val="006D50CC"/>
    <w:rsid w:val="006E0A80"/>
    <w:rsid w:val="006E4866"/>
    <w:rsid w:val="006F1B69"/>
    <w:rsid w:val="006F613E"/>
    <w:rsid w:val="00705F93"/>
    <w:rsid w:val="00706605"/>
    <w:rsid w:val="00710487"/>
    <w:rsid w:val="00710599"/>
    <w:rsid w:val="007110B8"/>
    <w:rsid w:val="0071321C"/>
    <w:rsid w:val="00725411"/>
    <w:rsid w:val="00731E38"/>
    <w:rsid w:val="0073272F"/>
    <w:rsid w:val="00736B25"/>
    <w:rsid w:val="00743732"/>
    <w:rsid w:val="00746DD6"/>
    <w:rsid w:val="007473D8"/>
    <w:rsid w:val="00760D69"/>
    <w:rsid w:val="00762824"/>
    <w:rsid w:val="00765B8C"/>
    <w:rsid w:val="0076731C"/>
    <w:rsid w:val="0077233D"/>
    <w:rsid w:val="00776975"/>
    <w:rsid w:val="00781971"/>
    <w:rsid w:val="0078724E"/>
    <w:rsid w:val="0078777A"/>
    <w:rsid w:val="007920EB"/>
    <w:rsid w:val="007A202A"/>
    <w:rsid w:val="007A25BA"/>
    <w:rsid w:val="007A34E9"/>
    <w:rsid w:val="007A6102"/>
    <w:rsid w:val="007B1C75"/>
    <w:rsid w:val="007B5438"/>
    <w:rsid w:val="007B7DB9"/>
    <w:rsid w:val="007C0462"/>
    <w:rsid w:val="007C16D2"/>
    <w:rsid w:val="007D6FFB"/>
    <w:rsid w:val="007D7A69"/>
    <w:rsid w:val="007E072F"/>
    <w:rsid w:val="007E1D8E"/>
    <w:rsid w:val="007E3156"/>
    <w:rsid w:val="007F0117"/>
    <w:rsid w:val="007F6E51"/>
    <w:rsid w:val="0080507D"/>
    <w:rsid w:val="008110BC"/>
    <w:rsid w:val="00821984"/>
    <w:rsid w:val="00822FC4"/>
    <w:rsid w:val="00827157"/>
    <w:rsid w:val="0083084A"/>
    <w:rsid w:val="008310C1"/>
    <w:rsid w:val="00832672"/>
    <w:rsid w:val="00832891"/>
    <w:rsid w:val="008371F3"/>
    <w:rsid w:val="0084128B"/>
    <w:rsid w:val="00847846"/>
    <w:rsid w:val="00851CFE"/>
    <w:rsid w:val="00863331"/>
    <w:rsid w:val="00863C7F"/>
    <w:rsid w:val="00864523"/>
    <w:rsid w:val="00870DA2"/>
    <w:rsid w:val="008916DA"/>
    <w:rsid w:val="00895522"/>
    <w:rsid w:val="008A36A1"/>
    <w:rsid w:val="008A52AA"/>
    <w:rsid w:val="008A59FD"/>
    <w:rsid w:val="008A6F4D"/>
    <w:rsid w:val="008B1F20"/>
    <w:rsid w:val="008B5CAF"/>
    <w:rsid w:val="008B766D"/>
    <w:rsid w:val="008B787D"/>
    <w:rsid w:val="008B7D60"/>
    <w:rsid w:val="008C2C58"/>
    <w:rsid w:val="008D35DE"/>
    <w:rsid w:val="008D379C"/>
    <w:rsid w:val="008D428A"/>
    <w:rsid w:val="008F116A"/>
    <w:rsid w:val="008F484A"/>
    <w:rsid w:val="008F6600"/>
    <w:rsid w:val="00903FF4"/>
    <w:rsid w:val="009047B8"/>
    <w:rsid w:val="009048A4"/>
    <w:rsid w:val="00911751"/>
    <w:rsid w:val="0091598C"/>
    <w:rsid w:val="00933100"/>
    <w:rsid w:val="0093414C"/>
    <w:rsid w:val="009409DE"/>
    <w:rsid w:val="00942928"/>
    <w:rsid w:val="00950280"/>
    <w:rsid w:val="00955865"/>
    <w:rsid w:val="0095789D"/>
    <w:rsid w:val="00961366"/>
    <w:rsid w:val="009708DB"/>
    <w:rsid w:val="00974768"/>
    <w:rsid w:val="0098204F"/>
    <w:rsid w:val="009861DD"/>
    <w:rsid w:val="00992BF2"/>
    <w:rsid w:val="00995A20"/>
    <w:rsid w:val="00997153"/>
    <w:rsid w:val="009A4783"/>
    <w:rsid w:val="009B125C"/>
    <w:rsid w:val="009B3376"/>
    <w:rsid w:val="009B35FA"/>
    <w:rsid w:val="009C109E"/>
    <w:rsid w:val="009C1D87"/>
    <w:rsid w:val="009C2DEC"/>
    <w:rsid w:val="009D0048"/>
    <w:rsid w:val="009D3200"/>
    <w:rsid w:val="009D6B0A"/>
    <w:rsid w:val="009E4CFA"/>
    <w:rsid w:val="009E6006"/>
    <w:rsid w:val="009F1585"/>
    <w:rsid w:val="00A01C0C"/>
    <w:rsid w:val="00A03C93"/>
    <w:rsid w:val="00A0419E"/>
    <w:rsid w:val="00A067AB"/>
    <w:rsid w:val="00A170B5"/>
    <w:rsid w:val="00A174E1"/>
    <w:rsid w:val="00A3441B"/>
    <w:rsid w:val="00A37474"/>
    <w:rsid w:val="00A42346"/>
    <w:rsid w:val="00A426CD"/>
    <w:rsid w:val="00A43207"/>
    <w:rsid w:val="00A5293E"/>
    <w:rsid w:val="00A540EB"/>
    <w:rsid w:val="00A5416E"/>
    <w:rsid w:val="00A545C5"/>
    <w:rsid w:val="00A54EAC"/>
    <w:rsid w:val="00A55B5F"/>
    <w:rsid w:val="00A65027"/>
    <w:rsid w:val="00A67CFA"/>
    <w:rsid w:val="00A71329"/>
    <w:rsid w:val="00A735D9"/>
    <w:rsid w:val="00A740DD"/>
    <w:rsid w:val="00A76848"/>
    <w:rsid w:val="00A80323"/>
    <w:rsid w:val="00A80796"/>
    <w:rsid w:val="00A83BBB"/>
    <w:rsid w:val="00A83C60"/>
    <w:rsid w:val="00A849A1"/>
    <w:rsid w:val="00A87CF0"/>
    <w:rsid w:val="00A93AA2"/>
    <w:rsid w:val="00A96797"/>
    <w:rsid w:val="00AA68CF"/>
    <w:rsid w:val="00AA6A83"/>
    <w:rsid w:val="00AB2792"/>
    <w:rsid w:val="00AB5F5B"/>
    <w:rsid w:val="00AC3C41"/>
    <w:rsid w:val="00AD04C1"/>
    <w:rsid w:val="00AD25D2"/>
    <w:rsid w:val="00AD45E4"/>
    <w:rsid w:val="00AE2B84"/>
    <w:rsid w:val="00AE483E"/>
    <w:rsid w:val="00AF254D"/>
    <w:rsid w:val="00AF3FDA"/>
    <w:rsid w:val="00AF4134"/>
    <w:rsid w:val="00AF6756"/>
    <w:rsid w:val="00B03678"/>
    <w:rsid w:val="00B10387"/>
    <w:rsid w:val="00B10396"/>
    <w:rsid w:val="00B10FE5"/>
    <w:rsid w:val="00B11B0A"/>
    <w:rsid w:val="00B127B4"/>
    <w:rsid w:val="00B12AB8"/>
    <w:rsid w:val="00B15812"/>
    <w:rsid w:val="00B16D65"/>
    <w:rsid w:val="00B22B1D"/>
    <w:rsid w:val="00B22B8F"/>
    <w:rsid w:val="00B242CE"/>
    <w:rsid w:val="00B2499C"/>
    <w:rsid w:val="00B3008A"/>
    <w:rsid w:val="00B32372"/>
    <w:rsid w:val="00B36BB8"/>
    <w:rsid w:val="00B36D8D"/>
    <w:rsid w:val="00B407F4"/>
    <w:rsid w:val="00B44843"/>
    <w:rsid w:val="00B44F79"/>
    <w:rsid w:val="00B47DD8"/>
    <w:rsid w:val="00B55BD5"/>
    <w:rsid w:val="00B61A98"/>
    <w:rsid w:val="00B62D8F"/>
    <w:rsid w:val="00B724CC"/>
    <w:rsid w:val="00B8035B"/>
    <w:rsid w:val="00B807C6"/>
    <w:rsid w:val="00B8116E"/>
    <w:rsid w:val="00B81B7A"/>
    <w:rsid w:val="00B81E00"/>
    <w:rsid w:val="00B90225"/>
    <w:rsid w:val="00B958BC"/>
    <w:rsid w:val="00B95B1B"/>
    <w:rsid w:val="00BA1741"/>
    <w:rsid w:val="00BA2694"/>
    <w:rsid w:val="00BB0E0C"/>
    <w:rsid w:val="00BB1309"/>
    <w:rsid w:val="00BB41D8"/>
    <w:rsid w:val="00BB5666"/>
    <w:rsid w:val="00BC0620"/>
    <w:rsid w:val="00BC0B6A"/>
    <w:rsid w:val="00BC4005"/>
    <w:rsid w:val="00BC4FA2"/>
    <w:rsid w:val="00BD01FD"/>
    <w:rsid w:val="00BD2EA6"/>
    <w:rsid w:val="00BE133A"/>
    <w:rsid w:val="00BE62C4"/>
    <w:rsid w:val="00BF3461"/>
    <w:rsid w:val="00C02FAB"/>
    <w:rsid w:val="00C13B59"/>
    <w:rsid w:val="00C1501F"/>
    <w:rsid w:val="00C17297"/>
    <w:rsid w:val="00C21317"/>
    <w:rsid w:val="00C256D2"/>
    <w:rsid w:val="00C27F34"/>
    <w:rsid w:val="00C34002"/>
    <w:rsid w:val="00C53410"/>
    <w:rsid w:val="00C5578E"/>
    <w:rsid w:val="00C65253"/>
    <w:rsid w:val="00C731FF"/>
    <w:rsid w:val="00C74713"/>
    <w:rsid w:val="00C75906"/>
    <w:rsid w:val="00C814C9"/>
    <w:rsid w:val="00C86E6D"/>
    <w:rsid w:val="00C876A4"/>
    <w:rsid w:val="00C93401"/>
    <w:rsid w:val="00C966DE"/>
    <w:rsid w:val="00CA184C"/>
    <w:rsid w:val="00CA4512"/>
    <w:rsid w:val="00CB20FA"/>
    <w:rsid w:val="00CB43A5"/>
    <w:rsid w:val="00CB5D14"/>
    <w:rsid w:val="00CB7F5E"/>
    <w:rsid w:val="00CD50FD"/>
    <w:rsid w:val="00CF49FB"/>
    <w:rsid w:val="00D1245D"/>
    <w:rsid w:val="00D12F1D"/>
    <w:rsid w:val="00D37018"/>
    <w:rsid w:val="00D410E5"/>
    <w:rsid w:val="00D50DDC"/>
    <w:rsid w:val="00D522A0"/>
    <w:rsid w:val="00D52F14"/>
    <w:rsid w:val="00D55223"/>
    <w:rsid w:val="00D5725F"/>
    <w:rsid w:val="00D63860"/>
    <w:rsid w:val="00D66C7A"/>
    <w:rsid w:val="00D84326"/>
    <w:rsid w:val="00D87CAD"/>
    <w:rsid w:val="00D95D8A"/>
    <w:rsid w:val="00DA0764"/>
    <w:rsid w:val="00DA4C70"/>
    <w:rsid w:val="00DA5860"/>
    <w:rsid w:val="00DA5C07"/>
    <w:rsid w:val="00DA649F"/>
    <w:rsid w:val="00DB25ED"/>
    <w:rsid w:val="00DB4DBA"/>
    <w:rsid w:val="00DB6B03"/>
    <w:rsid w:val="00DB76F5"/>
    <w:rsid w:val="00DB7B64"/>
    <w:rsid w:val="00DC76BC"/>
    <w:rsid w:val="00DD07E4"/>
    <w:rsid w:val="00DD09C7"/>
    <w:rsid w:val="00DD2693"/>
    <w:rsid w:val="00DD3522"/>
    <w:rsid w:val="00DD5201"/>
    <w:rsid w:val="00DE200E"/>
    <w:rsid w:val="00DF7744"/>
    <w:rsid w:val="00E0087A"/>
    <w:rsid w:val="00E01A81"/>
    <w:rsid w:val="00E02526"/>
    <w:rsid w:val="00E04ACC"/>
    <w:rsid w:val="00E04B62"/>
    <w:rsid w:val="00E054B5"/>
    <w:rsid w:val="00E07462"/>
    <w:rsid w:val="00E10DAF"/>
    <w:rsid w:val="00E1133D"/>
    <w:rsid w:val="00E16941"/>
    <w:rsid w:val="00E271AD"/>
    <w:rsid w:val="00E27276"/>
    <w:rsid w:val="00E27917"/>
    <w:rsid w:val="00E34D37"/>
    <w:rsid w:val="00E360E8"/>
    <w:rsid w:val="00E51EDE"/>
    <w:rsid w:val="00E53E52"/>
    <w:rsid w:val="00E551CD"/>
    <w:rsid w:val="00E55981"/>
    <w:rsid w:val="00E6060E"/>
    <w:rsid w:val="00E616EB"/>
    <w:rsid w:val="00E6233C"/>
    <w:rsid w:val="00E62E8D"/>
    <w:rsid w:val="00E638CD"/>
    <w:rsid w:val="00E65EF7"/>
    <w:rsid w:val="00E66537"/>
    <w:rsid w:val="00E71B9D"/>
    <w:rsid w:val="00E72246"/>
    <w:rsid w:val="00E729C6"/>
    <w:rsid w:val="00E72A64"/>
    <w:rsid w:val="00E753B0"/>
    <w:rsid w:val="00E76EA9"/>
    <w:rsid w:val="00E81E6B"/>
    <w:rsid w:val="00E9513C"/>
    <w:rsid w:val="00E97FE1"/>
    <w:rsid w:val="00EA0FC5"/>
    <w:rsid w:val="00EA3D20"/>
    <w:rsid w:val="00EA7369"/>
    <w:rsid w:val="00EB102F"/>
    <w:rsid w:val="00EB13F9"/>
    <w:rsid w:val="00EB3F43"/>
    <w:rsid w:val="00ED064C"/>
    <w:rsid w:val="00ED3F43"/>
    <w:rsid w:val="00ED5DFB"/>
    <w:rsid w:val="00ED7577"/>
    <w:rsid w:val="00EE60F5"/>
    <w:rsid w:val="00EE60FC"/>
    <w:rsid w:val="00EE687A"/>
    <w:rsid w:val="00EF26D6"/>
    <w:rsid w:val="00EF6869"/>
    <w:rsid w:val="00F03F6C"/>
    <w:rsid w:val="00F07170"/>
    <w:rsid w:val="00F138A8"/>
    <w:rsid w:val="00F22F93"/>
    <w:rsid w:val="00F24C88"/>
    <w:rsid w:val="00F24CC6"/>
    <w:rsid w:val="00F250D7"/>
    <w:rsid w:val="00F25128"/>
    <w:rsid w:val="00F3329C"/>
    <w:rsid w:val="00F359D1"/>
    <w:rsid w:val="00F36962"/>
    <w:rsid w:val="00F4289C"/>
    <w:rsid w:val="00F42A6E"/>
    <w:rsid w:val="00F4565F"/>
    <w:rsid w:val="00F4699B"/>
    <w:rsid w:val="00F47252"/>
    <w:rsid w:val="00F60BCB"/>
    <w:rsid w:val="00F62034"/>
    <w:rsid w:val="00F62171"/>
    <w:rsid w:val="00F63901"/>
    <w:rsid w:val="00F64FDF"/>
    <w:rsid w:val="00F65488"/>
    <w:rsid w:val="00F72C3B"/>
    <w:rsid w:val="00F80779"/>
    <w:rsid w:val="00F830C0"/>
    <w:rsid w:val="00F8520E"/>
    <w:rsid w:val="00F9124A"/>
    <w:rsid w:val="00F9407A"/>
    <w:rsid w:val="00F94D78"/>
    <w:rsid w:val="00F97957"/>
    <w:rsid w:val="00FA0824"/>
    <w:rsid w:val="00FA1B66"/>
    <w:rsid w:val="00FA33C1"/>
    <w:rsid w:val="00FA4CCB"/>
    <w:rsid w:val="00FA58F9"/>
    <w:rsid w:val="00FB122A"/>
    <w:rsid w:val="00FB26A1"/>
    <w:rsid w:val="00FB5756"/>
    <w:rsid w:val="00FC58FB"/>
    <w:rsid w:val="00FC5E74"/>
    <w:rsid w:val="00FC6F7E"/>
    <w:rsid w:val="00FD1818"/>
    <w:rsid w:val="00FD4DDE"/>
    <w:rsid w:val="00FD63A5"/>
    <w:rsid w:val="00FE1D29"/>
    <w:rsid w:val="00FE33AE"/>
    <w:rsid w:val="00FE7812"/>
    <w:rsid w:val="00FF086B"/>
    <w:rsid w:val="00FF1FCF"/>
    <w:rsid w:val="00FF3B8F"/>
    <w:rsid w:val="00FF6D60"/>
    <w:rsid w:val="00FF766E"/>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0050AB"/>
  <w15:chartTrackingRefBased/>
  <w15:docId w15:val="{68A985BE-8C55-0F4F-AB7C-05ACF676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9F6"/>
    <w:pPr>
      <w:spacing w:before="20" w:after="20"/>
    </w:pPr>
    <w:rPr>
      <w:rFonts w:eastAsiaTheme="minorHAnsi"/>
      <w:sz w:val="22"/>
      <w:szCs w:val="22"/>
      <w:lang w:val="en-US" w:eastAsia="en-US"/>
    </w:rPr>
  </w:style>
  <w:style w:type="paragraph" w:styleId="Heading2">
    <w:name w:val="heading 2"/>
    <w:basedOn w:val="Normal"/>
    <w:next w:val="Normal"/>
    <w:link w:val="Heading2Char"/>
    <w:qFormat/>
    <w:rsid w:val="000709F6"/>
    <w:pPr>
      <w:spacing w:after="0"/>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5">
    <w:name w:val="heading 5"/>
    <w:basedOn w:val="Normal"/>
    <w:next w:val="Normal"/>
    <w:link w:val="Heading5Char"/>
    <w:uiPriority w:val="9"/>
    <w:semiHidden/>
    <w:unhideWhenUsed/>
    <w:qFormat/>
    <w:rsid w:val="000709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09F6"/>
    <w:rPr>
      <w:rFonts w:ascii="Times New Roman" w:eastAsia="Times New Roman" w:hAnsi="Times New Roman" w:cs="Times New Roman"/>
      <w:b/>
      <w:bCs/>
      <w:color w:val="000000"/>
      <w:kern w:val="28"/>
      <w:lang w:val="en-CA" w:eastAsia="en-CA"/>
    </w:rPr>
  </w:style>
  <w:style w:type="character" w:customStyle="1" w:styleId="Heading5Char">
    <w:name w:val="Heading 5 Char"/>
    <w:basedOn w:val="DefaultParagraphFont"/>
    <w:link w:val="Heading5"/>
    <w:uiPriority w:val="9"/>
    <w:semiHidden/>
    <w:rsid w:val="000709F6"/>
    <w:rPr>
      <w:rFonts w:asciiTheme="majorHAnsi" w:eastAsiaTheme="majorEastAsia" w:hAnsiTheme="majorHAnsi" w:cstheme="majorBidi"/>
      <w:color w:val="2F5496" w:themeColor="accent1" w:themeShade="BF"/>
      <w:sz w:val="22"/>
      <w:szCs w:val="22"/>
      <w:lang w:val="en-US" w:eastAsia="en-US"/>
    </w:rPr>
  </w:style>
  <w:style w:type="table" w:styleId="TableGrid">
    <w:name w:val="Table Grid"/>
    <w:basedOn w:val="TableNormal"/>
    <w:uiPriority w:val="39"/>
    <w:rsid w:val="000709F6"/>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9F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9F6"/>
    <w:rPr>
      <w:rFonts w:ascii="Times New Roman" w:eastAsiaTheme="minorHAnsi" w:hAnsi="Times New Roman" w:cs="Times New Roman"/>
      <w:sz w:val="18"/>
      <w:szCs w:val="18"/>
      <w:lang w:val="en-US" w:eastAsia="en-US"/>
    </w:rPr>
  </w:style>
  <w:style w:type="paragraph" w:styleId="ListParagraph">
    <w:name w:val="List Paragraph"/>
    <w:basedOn w:val="Normal"/>
    <w:uiPriority w:val="34"/>
    <w:qFormat/>
    <w:rsid w:val="000709F6"/>
    <w:pPr>
      <w:spacing w:after="200" w:line="276" w:lineRule="auto"/>
      <w:ind w:left="720"/>
      <w:contextualSpacing/>
    </w:pPr>
  </w:style>
  <w:style w:type="character" w:styleId="CommentReference">
    <w:name w:val="annotation reference"/>
    <w:basedOn w:val="DefaultParagraphFont"/>
    <w:uiPriority w:val="99"/>
    <w:semiHidden/>
    <w:unhideWhenUsed/>
    <w:rsid w:val="000709F6"/>
    <w:rPr>
      <w:sz w:val="16"/>
      <w:szCs w:val="16"/>
    </w:rPr>
  </w:style>
  <w:style w:type="paragraph" w:styleId="CommentText">
    <w:name w:val="annotation text"/>
    <w:basedOn w:val="Normal"/>
    <w:link w:val="CommentTextChar"/>
    <w:uiPriority w:val="99"/>
    <w:unhideWhenUsed/>
    <w:rsid w:val="000709F6"/>
    <w:rPr>
      <w:sz w:val="20"/>
      <w:szCs w:val="20"/>
    </w:rPr>
  </w:style>
  <w:style w:type="character" w:customStyle="1" w:styleId="CommentTextChar">
    <w:name w:val="Comment Text Char"/>
    <w:basedOn w:val="DefaultParagraphFont"/>
    <w:link w:val="CommentText"/>
    <w:uiPriority w:val="99"/>
    <w:rsid w:val="000709F6"/>
    <w:rPr>
      <w:rFonts w:eastAsiaTheme="minorHAnsi"/>
      <w:sz w:val="20"/>
      <w:szCs w:val="20"/>
      <w:lang w:val="en-US" w:eastAsia="en-US"/>
    </w:rPr>
  </w:style>
  <w:style w:type="paragraph" w:customStyle="1" w:styleId="EndNoteBibliographyTitle">
    <w:name w:val="EndNote Bibliography Title"/>
    <w:basedOn w:val="Normal"/>
    <w:link w:val="EndNoteBibliographyTitleChar"/>
    <w:rsid w:val="000709F6"/>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0709F6"/>
    <w:rPr>
      <w:rFonts w:ascii="Calibri" w:eastAsiaTheme="minorHAnsi" w:hAnsi="Calibri" w:cs="Calibri"/>
      <w:sz w:val="22"/>
      <w:szCs w:val="22"/>
      <w:lang w:val="en-US" w:eastAsia="en-US"/>
    </w:rPr>
  </w:style>
  <w:style w:type="paragraph" w:customStyle="1" w:styleId="EndNoteBibliography">
    <w:name w:val="EndNote Bibliography"/>
    <w:basedOn w:val="Normal"/>
    <w:link w:val="EndNoteBibliographyChar"/>
    <w:rsid w:val="000709F6"/>
    <w:rPr>
      <w:rFonts w:ascii="Calibri" w:hAnsi="Calibri" w:cs="Calibri"/>
    </w:rPr>
  </w:style>
  <w:style w:type="character" w:customStyle="1" w:styleId="EndNoteBibliographyChar">
    <w:name w:val="EndNote Bibliography Char"/>
    <w:basedOn w:val="DefaultParagraphFont"/>
    <w:link w:val="EndNoteBibliography"/>
    <w:rsid w:val="000709F6"/>
    <w:rPr>
      <w:rFonts w:ascii="Calibri" w:eastAsiaTheme="minorHAnsi" w:hAnsi="Calibri" w:cs="Calibri"/>
      <w:sz w:val="22"/>
      <w:szCs w:val="22"/>
      <w:lang w:val="en-US" w:eastAsia="en-US"/>
    </w:rPr>
  </w:style>
  <w:style w:type="character" w:styleId="PlaceholderText">
    <w:name w:val="Placeholder Text"/>
    <w:basedOn w:val="DefaultParagraphFont"/>
    <w:uiPriority w:val="99"/>
    <w:semiHidden/>
    <w:rsid w:val="000709F6"/>
    <w:rPr>
      <w:color w:val="808080"/>
    </w:rPr>
  </w:style>
  <w:style w:type="paragraph" w:styleId="Header">
    <w:name w:val="header"/>
    <w:basedOn w:val="Normal"/>
    <w:link w:val="HeaderChar"/>
    <w:uiPriority w:val="99"/>
    <w:unhideWhenUsed/>
    <w:rsid w:val="000709F6"/>
    <w:pPr>
      <w:tabs>
        <w:tab w:val="center" w:pos="4513"/>
        <w:tab w:val="right" w:pos="9026"/>
      </w:tabs>
      <w:spacing w:after="0"/>
    </w:pPr>
  </w:style>
  <w:style w:type="character" w:customStyle="1" w:styleId="HeaderChar">
    <w:name w:val="Header Char"/>
    <w:basedOn w:val="DefaultParagraphFont"/>
    <w:link w:val="Header"/>
    <w:uiPriority w:val="99"/>
    <w:rsid w:val="000709F6"/>
    <w:rPr>
      <w:rFonts w:eastAsiaTheme="minorHAnsi"/>
      <w:sz w:val="22"/>
      <w:szCs w:val="22"/>
      <w:lang w:val="en-US" w:eastAsia="en-US"/>
    </w:rPr>
  </w:style>
  <w:style w:type="paragraph" w:styleId="Footer">
    <w:name w:val="footer"/>
    <w:basedOn w:val="Normal"/>
    <w:link w:val="FooterChar"/>
    <w:uiPriority w:val="99"/>
    <w:unhideWhenUsed/>
    <w:rsid w:val="000709F6"/>
    <w:pPr>
      <w:tabs>
        <w:tab w:val="center" w:pos="4513"/>
        <w:tab w:val="right" w:pos="9026"/>
      </w:tabs>
      <w:spacing w:after="0"/>
    </w:pPr>
  </w:style>
  <w:style w:type="character" w:customStyle="1" w:styleId="FooterChar">
    <w:name w:val="Footer Char"/>
    <w:basedOn w:val="DefaultParagraphFont"/>
    <w:link w:val="Footer"/>
    <w:uiPriority w:val="99"/>
    <w:rsid w:val="000709F6"/>
    <w:rPr>
      <w:rFonts w:eastAsiaTheme="minorHAnsi"/>
      <w:sz w:val="22"/>
      <w:szCs w:val="22"/>
      <w:lang w:val="en-US" w:eastAsia="en-US"/>
    </w:rPr>
  </w:style>
  <w:style w:type="paragraph" w:styleId="CommentSubject">
    <w:name w:val="annotation subject"/>
    <w:basedOn w:val="CommentText"/>
    <w:next w:val="CommentText"/>
    <w:link w:val="CommentSubjectChar"/>
    <w:uiPriority w:val="99"/>
    <w:semiHidden/>
    <w:unhideWhenUsed/>
    <w:rsid w:val="000709F6"/>
    <w:rPr>
      <w:b/>
      <w:bCs/>
    </w:rPr>
  </w:style>
  <w:style w:type="character" w:customStyle="1" w:styleId="CommentSubjectChar">
    <w:name w:val="Comment Subject Char"/>
    <w:basedOn w:val="CommentTextChar"/>
    <w:link w:val="CommentSubject"/>
    <w:uiPriority w:val="99"/>
    <w:semiHidden/>
    <w:rsid w:val="000709F6"/>
    <w:rPr>
      <w:rFonts w:eastAsiaTheme="minorHAnsi"/>
      <w:b/>
      <w:bCs/>
      <w:sz w:val="20"/>
      <w:szCs w:val="20"/>
      <w:lang w:val="en-US" w:eastAsia="en-US"/>
    </w:rPr>
  </w:style>
  <w:style w:type="paragraph" w:styleId="Revision">
    <w:name w:val="Revision"/>
    <w:hidden/>
    <w:uiPriority w:val="99"/>
    <w:semiHidden/>
    <w:rsid w:val="000709F6"/>
    <w:pPr>
      <w:spacing w:before="20" w:after="20"/>
    </w:pPr>
    <w:rPr>
      <w:rFonts w:eastAsiaTheme="minorHAnsi"/>
      <w:sz w:val="22"/>
      <w:szCs w:val="22"/>
      <w:lang w:val="en-US" w:eastAsia="en-US"/>
    </w:rPr>
  </w:style>
  <w:style w:type="character" w:styleId="PageNumber">
    <w:name w:val="page number"/>
    <w:basedOn w:val="DefaultParagraphFont"/>
    <w:uiPriority w:val="99"/>
    <w:semiHidden/>
    <w:unhideWhenUsed/>
    <w:rsid w:val="000709F6"/>
  </w:style>
  <w:style w:type="character" w:styleId="Hyperlink">
    <w:name w:val="Hyperlink"/>
    <w:basedOn w:val="DefaultParagraphFont"/>
    <w:uiPriority w:val="99"/>
    <w:unhideWhenUsed/>
    <w:rsid w:val="000709F6"/>
    <w:rPr>
      <w:color w:val="0563C1" w:themeColor="hyperlink"/>
      <w:u w:val="single"/>
    </w:rPr>
  </w:style>
  <w:style w:type="paragraph" w:styleId="Caption">
    <w:name w:val="caption"/>
    <w:basedOn w:val="Normal"/>
    <w:next w:val="Normal"/>
    <w:uiPriority w:val="35"/>
    <w:unhideWhenUsed/>
    <w:qFormat/>
    <w:rsid w:val="000709F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709F6"/>
    <w:rPr>
      <w:color w:val="605E5C"/>
      <w:shd w:val="clear" w:color="auto" w:fill="E1DFDD"/>
    </w:rPr>
  </w:style>
  <w:style w:type="character" w:styleId="FollowedHyperlink">
    <w:name w:val="FollowedHyperlink"/>
    <w:basedOn w:val="DefaultParagraphFont"/>
    <w:uiPriority w:val="99"/>
    <w:semiHidden/>
    <w:unhideWhenUsed/>
    <w:rsid w:val="00070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Guo-Qiang</dc:creator>
  <cp:keywords/>
  <dc:description/>
  <cp:lastModifiedBy>Guo-Qiang</cp:lastModifiedBy>
  <cp:revision>10</cp:revision>
  <dcterms:created xsi:type="dcterms:W3CDTF">2022-02-01T16:29:00Z</dcterms:created>
  <dcterms:modified xsi:type="dcterms:W3CDTF">2022-02-01T19:38:00Z</dcterms:modified>
</cp:coreProperties>
</file>