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A7" w:rsidRPr="00AA2F25" w:rsidRDefault="00E858A7" w:rsidP="00E858A7">
      <w:pPr>
        <w:jc w:val="both"/>
        <w:rPr>
          <w:rFonts w:ascii="Arial" w:hAnsi="Arial" w:cs="Arial"/>
        </w:rPr>
      </w:pPr>
      <w:r w:rsidRPr="00AA2F25">
        <w:rPr>
          <w:rFonts w:ascii="Arial" w:hAnsi="Arial" w:cs="Arial"/>
        </w:rPr>
        <w:t>Supplemental information</w:t>
      </w:r>
    </w:p>
    <w:p w:rsidR="00E858A7" w:rsidRPr="00AA2F25" w:rsidRDefault="00E858A7" w:rsidP="00E858A7">
      <w:pPr>
        <w:spacing w:after="0" w:line="240" w:lineRule="auto"/>
        <w:jc w:val="center"/>
        <w:rPr>
          <w:rFonts w:ascii="Arial" w:hAnsi="Arial" w:cs="Arial"/>
          <w:b/>
          <w:sz w:val="32"/>
          <w:szCs w:val="24"/>
        </w:rPr>
      </w:pPr>
      <w:r>
        <w:rPr>
          <w:rFonts w:ascii="Arial" w:hAnsi="Arial" w:cs="Arial"/>
          <w:b/>
          <w:sz w:val="32"/>
          <w:szCs w:val="24"/>
        </w:rPr>
        <w:t xml:space="preserve">Utilization of </w:t>
      </w:r>
      <w:r w:rsidRPr="00664345">
        <w:rPr>
          <w:rFonts w:ascii="Arial" w:hAnsi="Arial" w:cs="Arial"/>
          <w:b/>
          <w:sz w:val="32"/>
          <w:szCs w:val="24"/>
        </w:rPr>
        <w:t>aminoguanidine</w:t>
      </w:r>
      <w:r w:rsidRPr="00AA2F25" w:rsidDel="00006E17">
        <w:rPr>
          <w:rFonts w:ascii="Arial" w:hAnsi="Arial" w:cs="Arial"/>
          <w:b/>
          <w:sz w:val="32"/>
          <w:szCs w:val="24"/>
        </w:rPr>
        <w:t xml:space="preserve"> </w:t>
      </w:r>
      <w:r>
        <w:rPr>
          <w:rFonts w:ascii="Arial" w:hAnsi="Arial" w:cs="Arial"/>
          <w:b/>
          <w:sz w:val="32"/>
          <w:szCs w:val="24"/>
        </w:rPr>
        <w:t xml:space="preserve">prevents </w:t>
      </w:r>
      <w:r w:rsidRPr="00AA2F25">
        <w:rPr>
          <w:rFonts w:ascii="Arial" w:hAnsi="Arial" w:cs="Arial"/>
          <w:b/>
          <w:sz w:val="32"/>
          <w:szCs w:val="24"/>
        </w:rPr>
        <w:t xml:space="preserve">cytotoxic effects of semen </w:t>
      </w:r>
    </w:p>
    <w:p w:rsidR="00E858A7" w:rsidRPr="00AA2F25" w:rsidRDefault="00E858A7" w:rsidP="00E858A7">
      <w:pPr>
        <w:spacing w:after="0" w:line="240" w:lineRule="auto"/>
        <w:jc w:val="center"/>
        <w:rPr>
          <w:rFonts w:ascii="Arial" w:hAnsi="Arial" w:cs="Arial"/>
          <w:b/>
          <w:sz w:val="32"/>
          <w:szCs w:val="24"/>
        </w:rPr>
      </w:pPr>
    </w:p>
    <w:p w:rsidR="00E858A7" w:rsidRPr="00A70FDB" w:rsidRDefault="00E858A7" w:rsidP="00E858A7">
      <w:pPr>
        <w:spacing w:after="0" w:line="240" w:lineRule="auto"/>
        <w:jc w:val="both"/>
        <w:rPr>
          <w:rFonts w:ascii="Arial" w:hAnsi="Arial" w:cs="Arial"/>
          <w:szCs w:val="24"/>
          <w:lang w:val="de-DE"/>
        </w:rPr>
      </w:pPr>
      <w:r w:rsidRPr="00A70FDB">
        <w:rPr>
          <w:rFonts w:ascii="Arial" w:hAnsi="Arial" w:cs="Arial"/>
          <w:szCs w:val="24"/>
          <w:lang w:val="de-DE"/>
        </w:rPr>
        <w:t>Mirja Harms</w:t>
      </w:r>
      <w:r w:rsidRPr="00A70FDB">
        <w:rPr>
          <w:rFonts w:ascii="Arial" w:hAnsi="Arial" w:cs="Arial"/>
          <w:szCs w:val="24"/>
          <w:vertAlign w:val="superscript"/>
          <w:lang w:val="de-DE"/>
        </w:rPr>
        <w:t>1</w:t>
      </w:r>
      <w:r w:rsidRPr="00A70FDB">
        <w:rPr>
          <w:rFonts w:ascii="Arial" w:hAnsi="Arial" w:cs="Arial"/>
          <w:szCs w:val="24"/>
          <w:lang w:val="de-DE"/>
        </w:rPr>
        <w:t>, Pascal von Maltitz</w:t>
      </w:r>
      <w:r w:rsidRPr="00A70FDB">
        <w:rPr>
          <w:rFonts w:ascii="Arial" w:hAnsi="Arial" w:cs="Arial"/>
          <w:szCs w:val="24"/>
          <w:vertAlign w:val="superscript"/>
          <w:lang w:val="de-DE"/>
        </w:rPr>
        <w:t>1</w:t>
      </w:r>
      <w:r w:rsidRPr="00A70FDB">
        <w:rPr>
          <w:rFonts w:ascii="Arial" w:hAnsi="Arial" w:cs="Arial"/>
          <w:szCs w:val="24"/>
          <w:lang w:val="de-DE"/>
        </w:rPr>
        <w:t>, Benjamin Mayer</w:t>
      </w:r>
      <w:r w:rsidRPr="00A70FDB">
        <w:rPr>
          <w:rFonts w:ascii="Arial" w:hAnsi="Arial" w:cs="Arial"/>
          <w:szCs w:val="24"/>
          <w:vertAlign w:val="superscript"/>
          <w:lang w:val="de-DE"/>
        </w:rPr>
        <w:t>2</w:t>
      </w:r>
      <w:r w:rsidRPr="00A70FDB">
        <w:rPr>
          <w:rFonts w:ascii="Arial" w:hAnsi="Arial" w:cs="Arial"/>
          <w:szCs w:val="24"/>
          <w:lang w:val="de-DE"/>
        </w:rPr>
        <w:t>, Miriam Deniz</w:t>
      </w:r>
      <w:r>
        <w:rPr>
          <w:rFonts w:ascii="Arial" w:hAnsi="Arial" w:cs="Arial"/>
          <w:szCs w:val="24"/>
          <w:vertAlign w:val="superscript"/>
          <w:lang w:val="de-DE"/>
        </w:rPr>
        <w:t>3</w:t>
      </w:r>
      <w:r w:rsidRPr="00A70FDB">
        <w:rPr>
          <w:rFonts w:ascii="Arial" w:hAnsi="Arial" w:cs="Arial"/>
          <w:szCs w:val="24"/>
          <w:lang w:val="de-DE"/>
        </w:rPr>
        <w:t>, Janis Müller</w:t>
      </w:r>
      <w:r w:rsidRPr="00A70FDB">
        <w:rPr>
          <w:rFonts w:ascii="Arial" w:hAnsi="Arial" w:cs="Arial"/>
          <w:szCs w:val="24"/>
          <w:vertAlign w:val="superscript"/>
          <w:lang w:val="de-DE"/>
        </w:rPr>
        <w:t>1,4</w:t>
      </w:r>
      <w:r w:rsidRPr="00A70FDB">
        <w:rPr>
          <w:rFonts w:ascii="Arial" w:hAnsi="Arial" w:cs="Arial"/>
          <w:szCs w:val="24"/>
          <w:lang w:val="de-DE"/>
        </w:rPr>
        <w:t>, Jan Münch</w:t>
      </w:r>
      <w:r w:rsidRPr="00A70FDB">
        <w:rPr>
          <w:rFonts w:ascii="Arial" w:hAnsi="Arial" w:cs="Arial"/>
          <w:szCs w:val="24"/>
          <w:vertAlign w:val="superscript"/>
          <w:lang w:val="de-DE"/>
        </w:rPr>
        <w:t>1</w:t>
      </w:r>
      <w:r w:rsidRPr="00A70FDB">
        <w:rPr>
          <w:rFonts w:ascii="Arial" w:hAnsi="Arial" w:cs="Arial"/>
          <w:szCs w:val="24"/>
          <w:lang w:val="de-DE"/>
        </w:rPr>
        <w:t>*</w:t>
      </w:r>
    </w:p>
    <w:p w:rsidR="00E858A7" w:rsidRPr="00A70FDB" w:rsidRDefault="00E858A7" w:rsidP="00E858A7">
      <w:pPr>
        <w:spacing w:after="0" w:line="240" w:lineRule="auto"/>
        <w:jc w:val="both"/>
        <w:rPr>
          <w:rFonts w:ascii="Arial" w:hAnsi="Arial" w:cs="Arial"/>
          <w:szCs w:val="24"/>
          <w:lang w:val="de-DE"/>
        </w:rPr>
      </w:pPr>
    </w:p>
    <w:p w:rsidR="00E858A7" w:rsidRPr="00AA2F25" w:rsidRDefault="00E858A7" w:rsidP="00E858A7">
      <w:pPr>
        <w:spacing w:after="0" w:line="240" w:lineRule="auto"/>
        <w:jc w:val="both"/>
        <w:rPr>
          <w:rFonts w:ascii="Arial" w:hAnsi="Arial" w:cs="Arial"/>
          <w:szCs w:val="24"/>
        </w:rPr>
      </w:pPr>
      <w:r w:rsidRPr="00AA2F25">
        <w:rPr>
          <w:rFonts w:ascii="Arial" w:hAnsi="Arial" w:cs="Arial"/>
          <w:szCs w:val="24"/>
          <w:vertAlign w:val="superscript"/>
        </w:rPr>
        <w:t>1</w:t>
      </w:r>
      <w:r w:rsidRPr="00AA2F25">
        <w:rPr>
          <w:rFonts w:ascii="Arial" w:hAnsi="Arial" w:cs="Arial"/>
          <w:szCs w:val="24"/>
        </w:rPr>
        <w:t>Institute of Molecular Virology, University Ulm Medical Center, 89081 Ulm, Germany</w:t>
      </w:r>
    </w:p>
    <w:p w:rsidR="00E858A7" w:rsidRPr="00AA2F25" w:rsidRDefault="00E858A7" w:rsidP="00E858A7">
      <w:pPr>
        <w:spacing w:after="0" w:line="240" w:lineRule="auto"/>
        <w:jc w:val="both"/>
        <w:rPr>
          <w:rFonts w:ascii="Arial" w:hAnsi="Arial" w:cs="Arial"/>
          <w:szCs w:val="24"/>
        </w:rPr>
      </w:pPr>
    </w:p>
    <w:p w:rsidR="00E858A7" w:rsidRPr="00AA2F25" w:rsidRDefault="00E858A7" w:rsidP="00E858A7">
      <w:pPr>
        <w:spacing w:after="0" w:line="240" w:lineRule="auto"/>
        <w:jc w:val="both"/>
        <w:rPr>
          <w:rFonts w:ascii="Arial" w:hAnsi="Arial" w:cs="Arial"/>
          <w:szCs w:val="24"/>
        </w:rPr>
      </w:pPr>
      <w:r w:rsidRPr="00AA2F25">
        <w:rPr>
          <w:rFonts w:ascii="Arial" w:hAnsi="Arial" w:cs="Arial"/>
          <w:szCs w:val="24"/>
          <w:vertAlign w:val="superscript"/>
        </w:rPr>
        <w:t>2</w:t>
      </w:r>
      <w:r w:rsidRPr="00AA2F25">
        <w:rPr>
          <w:rFonts w:ascii="Arial" w:hAnsi="Arial" w:cs="Arial"/>
          <w:szCs w:val="24"/>
        </w:rPr>
        <w:t xml:space="preserve">Institute for Epidemiology and Medical Biometry, Ulm University, Ulm, 89075, Germany. </w:t>
      </w:r>
    </w:p>
    <w:p w:rsidR="00E858A7" w:rsidRPr="00AA2F25" w:rsidRDefault="00E858A7" w:rsidP="00E858A7">
      <w:pPr>
        <w:spacing w:after="0" w:line="240" w:lineRule="auto"/>
        <w:jc w:val="both"/>
        <w:rPr>
          <w:rFonts w:ascii="Arial" w:hAnsi="Arial" w:cs="Arial"/>
          <w:szCs w:val="24"/>
        </w:rPr>
      </w:pPr>
    </w:p>
    <w:p w:rsidR="00E858A7" w:rsidRPr="004D61CE" w:rsidRDefault="00E858A7" w:rsidP="00E858A7">
      <w:pPr>
        <w:pStyle w:val="PlainText"/>
        <w:rPr>
          <w:rFonts w:ascii="Arial" w:hAnsi="Arial" w:cs="Arial"/>
          <w:sz w:val="24"/>
          <w:szCs w:val="24"/>
        </w:rPr>
      </w:pPr>
      <w:r w:rsidRPr="00C6687F">
        <w:rPr>
          <w:rFonts w:ascii="Arial" w:hAnsi="Arial" w:cs="Arial"/>
          <w:szCs w:val="24"/>
          <w:vertAlign w:val="superscript"/>
          <w:lang w:val="en-US"/>
        </w:rPr>
        <w:t>3</w:t>
      </w:r>
      <w:r w:rsidRPr="004D61CE">
        <w:rPr>
          <w:rFonts w:ascii="Arial" w:hAnsi="Arial" w:cs="Arial"/>
          <w:sz w:val="24"/>
          <w:szCs w:val="24"/>
        </w:rPr>
        <w:t>Department of Gynaecology and Obstetrics, Ulm University Hospital, 89075 Ulm, Germany</w:t>
      </w:r>
    </w:p>
    <w:p w:rsidR="00E858A7" w:rsidRPr="00C6687F" w:rsidRDefault="00E858A7" w:rsidP="00E858A7">
      <w:pPr>
        <w:spacing w:after="0" w:line="240" w:lineRule="auto"/>
        <w:jc w:val="both"/>
        <w:rPr>
          <w:rFonts w:ascii="Arial" w:hAnsi="Arial" w:cs="Arial"/>
          <w:szCs w:val="24"/>
        </w:rPr>
      </w:pPr>
    </w:p>
    <w:p w:rsidR="00E858A7" w:rsidRPr="00AA2F25" w:rsidRDefault="00E858A7" w:rsidP="00E858A7">
      <w:pPr>
        <w:spacing w:after="0" w:line="240" w:lineRule="auto"/>
        <w:jc w:val="both"/>
        <w:rPr>
          <w:rFonts w:ascii="Arial" w:hAnsi="Arial" w:cs="Arial"/>
          <w:szCs w:val="24"/>
        </w:rPr>
      </w:pPr>
      <w:r w:rsidRPr="00AA2F25">
        <w:rPr>
          <w:rFonts w:ascii="Arial" w:hAnsi="Arial" w:cs="Arial"/>
          <w:szCs w:val="24"/>
          <w:vertAlign w:val="superscript"/>
        </w:rPr>
        <w:t>4</w:t>
      </w:r>
      <w:r w:rsidRPr="00AA2F25">
        <w:rPr>
          <w:rFonts w:ascii="Arial" w:hAnsi="Arial" w:cs="Arial"/>
          <w:szCs w:val="24"/>
        </w:rPr>
        <w:t>Institute of Virology, Philipps University of Marburg, 35043, Marburg, Germany</w:t>
      </w:r>
    </w:p>
    <w:p w:rsidR="00E858A7" w:rsidRPr="00AA2F25" w:rsidRDefault="00E858A7" w:rsidP="00E858A7">
      <w:pPr>
        <w:spacing w:after="0" w:line="240" w:lineRule="auto"/>
        <w:jc w:val="both"/>
        <w:rPr>
          <w:rFonts w:ascii="Arial" w:hAnsi="Arial" w:cs="Arial"/>
          <w:szCs w:val="24"/>
        </w:rPr>
      </w:pPr>
    </w:p>
    <w:p w:rsidR="00E858A7" w:rsidRPr="00AA2F25" w:rsidRDefault="00E858A7" w:rsidP="00E858A7">
      <w:pPr>
        <w:spacing w:after="0" w:line="240" w:lineRule="auto"/>
        <w:jc w:val="both"/>
        <w:rPr>
          <w:rFonts w:ascii="Arial" w:hAnsi="Arial" w:cs="Arial"/>
          <w:szCs w:val="24"/>
        </w:rPr>
      </w:pPr>
    </w:p>
    <w:p w:rsidR="00E858A7" w:rsidRPr="00AA2F25" w:rsidRDefault="00E858A7" w:rsidP="00E858A7">
      <w:pPr>
        <w:spacing w:after="0" w:line="240" w:lineRule="auto"/>
        <w:jc w:val="both"/>
        <w:rPr>
          <w:rFonts w:ascii="Arial" w:hAnsi="Arial" w:cs="Arial"/>
          <w:szCs w:val="24"/>
        </w:rPr>
      </w:pPr>
    </w:p>
    <w:p w:rsidR="00E858A7" w:rsidRPr="00AA2F25" w:rsidRDefault="00E858A7" w:rsidP="00E858A7">
      <w:pPr>
        <w:spacing w:line="276" w:lineRule="auto"/>
        <w:jc w:val="both"/>
        <w:rPr>
          <w:rFonts w:ascii="Arial" w:hAnsi="Arial" w:cs="Arial"/>
        </w:rPr>
      </w:pPr>
      <w:r w:rsidRPr="00AA2F25">
        <w:rPr>
          <w:rFonts w:ascii="Arial" w:hAnsi="Arial" w:cs="Arial"/>
        </w:rPr>
        <w:t xml:space="preserve">*Corresponding author: </w:t>
      </w:r>
      <w:hyperlink r:id="rId4" w:history="1">
        <w:r w:rsidRPr="00AA2F25">
          <w:rPr>
            <w:rStyle w:val="Hyperlink"/>
            <w:rFonts w:ascii="Arial" w:hAnsi="Arial" w:cs="Arial"/>
          </w:rPr>
          <w:t>jan.muench@uni-ulm.de</w:t>
        </w:r>
      </w:hyperlink>
    </w:p>
    <w:p w:rsidR="00E858A7" w:rsidRDefault="00E858A7" w:rsidP="00E858A7">
      <w:pPr>
        <w:jc w:val="both"/>
        <w:rPr>
          <w:rFonts w:ascii="Arial" w:hAnsi="Arial" w:cs="Arial"/>
          <w:b/>
        </w:rPr>
      </w:pPr>
    </w:p>
    <w:p w:rsidR="00E858A7" w:rsidRDefault="00E858A7" w:rsidP="00E858A7">
      <w:pPr>
        <w:jc w:val="both"/>
        <w:rPr>
          <w:rFonts w:ascii="Arial" w:hAnsi="Arial" w:cs="Arial"/>
          <w:b/>
        </w:rPr>
      </w:pPr>
    </w:p>
    <w:p w:rsidR="00E858A7" w:rsidRDefault="00E858A7" w:rsidP="00E858A7">
      <w:pPr>
        <w:jc w:val="both"/>
        <w:rPr>
          <w:rFonts w:ascii="Arial" w:hAnsi="Arial" w:cs="Arial"/>
          <w:b/>
        </w:rPr>
      </w:pPr>
    </w:p>
    <w:p w:rsidR="00E858A7" w:rsidRDefault="00E858A7" w:rsidP="00E858A7">
      <w:pPr>
        <w:jc w:val="both"/>
        <w:rPr>
          <w:rFonts w:ascii="Arial" w:hAnsi="Arial" w:cs="Arial"/>
          <w:b/>
        </w:rPr>
      </w:pPr>
    </w:p>
    <w:p w:rsidR="00E858A7" w:rsidRDefault="00E858A7" w:rsidP="00E858A7">
      <w:pPr>
        <w:jc w:val="both"/>
        <w:rPr>
          <w:rFonts w:ascii="Arial" w:hAnsi="Arial" w:cs="Arial"/>
          <w:b/>
        </w:rPr>
      </w:pPr>
    </w:p>
    <w:p w:rsidR="00E858A7" w:rsidRDefault="00E858A7" w:rsidP="00E858A7">
      <w:pPr>
        <w:jc w:val="both"/>
        <w:rPr>
          <w:rFonts w:ascii="Arial" w:hAnsi="Arial" w:cs="Arial"/>
          <w:b/>
        </w:rPr>
      </w:pPr>
    </w:p>
    <w:p w:rsidR="00E858A7" w:rsidRDefault="00E858A7" w:rsidP="00E858A7">
      <w:pPr>
        <w:jc w:val="both"/>
        <w:rPr>
          <w:rFonts w:ascii="Arial" w:hAnsi="Arial" w:cs="Arial"/>
          <w:b/>
        </w:rPr>
      </w:pPr>
    </w:p>
    <w:p w:rsidR="00E858A7" w:rsidRDefault="00E858A7" w:rsidP="00E858A7">
      <w:pPr>
        <w:jc w:val="both"/>
        <w:rPr>
          <w:rFonts w:ascii="Arial" w:hAnsi="Arial" w:cs="Arial"/>
          <w:b/>
        </w:rPr>
      </w:pPr>
    </w:p>
    <w:p w:rsidR="00E858A7" w:rsidRDefault="00E858A7" w:rsidP="00E858A7">
      <w:pPr>
        <w:jc w:val="both"/>
        <w:rPr>
          <w:rFonts w:ascii="Arial" w:hAnsi="Arial" w:cs="Arial"/>
          <w:b/>
        </w:rPr>
      </w:pPr>
    </w:p>
    <w:p w:rsidR="00E858A7" w:rsidRDefault="00E858A7" w:rsidP="00E858A7">
      <w:pPr>
        <w:jc w:val="both"/>
        <w:rPr>
          <w:rFonts w:ascii="Arial" w:hAnsi="Arial" w:cs="Arial"/>
          <w:b/>
        </w:rPr>
      </w:pPr>
    </w:p>
    <w:p w:rsidR="00E858A7" w:rsidRPr="00AA2F25" w:rsidRDefault="00E858A7" w:rsidP="00E858A7">
      <w:pPr>
        <w:jc w:val="both"/>
        <w:rPr>
          <w:rFonts w:ascii="Arial" w:hAnsi="Arial" w:cs="Arial"/>
          <w:b/>
          <w:bCs/>
          <w:sz w:val="18"/>
        </w:rPr>
      </w:pPr>
      <w:r w:rsidRPr="00AA2F25">
        <w:rPr>
          <w:rFonts w:ascii="Arial" w:hAnsi="Arial" w:cs="Arial"/>
          <w:noProof/>
        </w:rPr>
        <w:lastRenderedPageBreak/>
        <w:drawing>
          <wp:inline distT="0" distB="0" distL="0" distR="0" wp14:anchorId="4214BF0C" wp14:editId="30F1F8CA">
            <wp:extent cx="5528931" cy="279436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50062" cy="2805044"/>
                    </a:xfrm>
                    <a:prstGeom prst="rect">
                      <a:avLst/>
                    </a:prstGeom>
                    <a:noFill/>
                    <a:ln>
                      <a:noFill/>
                    </a:ln>
                  </pic:spPr>
                </pic:pic>
              </a:graphicData>
            </a:graphic>
          </wp:inline>
        </w:drawing>
      </w:r>
    </w:p>
    <w:p w:rsidR="00E858A7" w:rsidRPr="00C6687F" w:rsidRDefault="00E858A7" w:rsidP="00E858A7">
      <w:pPr>
        <w:jc w:val="both"/>
        <w:rPr>
          <w:rFonts w:ascii="Arial" w:hAnsi="Arial" w:cs="Arial"/>
          <w:sz w:val="22"/>
        </w:rPr>
      </w:pPr>
      <w:r w:rsidRPr="00C6687F">
        <w:rPr>
          <w:rFonts w:ascii="Arial" w:hAnsi="Arial" w:cs="Arial"/>
          <w:b/>
          <w:bCs/>
          <w:sz w:val="22"/>
        </w:rPr>
        <w:t>Figure S1: Spermine detection in pooled human seminal plasma.</w:t>
      </w:r>
      <w:r w:rsidRPr="00C6687F">
        <w:rPr>
          <w:rFonts w:ascii="Arial" w:hAnsi="Arial" w:cs="Arial"/>
          <w:sz w:val="22"/>
        </w:rPr>
        <w:t xml:space="preserve"> Polyamine concentration was determined in pooled seminal plasma of 50 individual donors using SPE-LC-MS/MS according to </w:t>
      </w:r>
      <w:proofErr w:type="spellStart"/>
      <w:r w:rsidRPr="00C6687F">
        <w:rPr>
          <w:rFonts w:ascii="Arial" w:hAnsi="Arial" w:cs="Arial"/>
          <w:sz w:val="22"/>
        </w:rPr>
        <w:t>Magnes</w:t>
      </w:r>
      <w:proofErr w:type="spellEnd"/>
      <w:r w:rsidRPr="00C6687F">
        <w:rPr>
          <w:rFonts w:ascii="Arial" w:hAnsi="Arial" w:cs="Arial"/>
          <w:sz w:val="22"/>
        </w:rPr>
        <w:t xml:space="preserve"> et al. (2014).</w:t>
      </w:r>
      <w:r w:rsidRPr="00C6687F">
        <w:rPr>
          <w:rFonts w:ascii="Arial" w:hAnsi="Arial" w:cs="Arial"/>
          <w:sz w:val="22"/>
        </w:rPr>
        <w:fldChar w:fldCharType="begin" w:fldLock="1"/>
      </w:r>
      <w:r w:rsidRPr="00C6687F">
        <w:rPr>
          <w:rFonts w:ascii="Arial" w:hAnsi="Arial" w:cs="Arial"/>
          <w:sz w:val="22"/>
        </w:rPr>
        <w:instrText>ADDIN CSL_CITATION {"citationItems":[{"id":"ITEM-1","itemData":{"DOI":"10.1016/J.CHROMA.2013.12.061","ISSN":"1873-3778","PMID":"24485539","abstract":"Polyamines are ubiquitous active biogenic amines which contribute to basic cellular functions. Hence, their quantification in samples of diverse biological origins is essential for understanding how they function, especially in disease-relevant conditions. We present here a robust, high-throughput solid-phase extraction online coupled to a liquid chromatography-tandem mass spectrometry (SPE-LC/MS/MS) approach for the simultaneous quantification of eight polyamines in various biological samples. The polyamines include 1,3-diaminopropane, putrescine, cadaverin, N-acetyl-putrescine, spermidine, spermine, N1-acetyl-spermine, and l-ornithine. The novelty of the work is the use of two SPE columns online coupled to LC/MS/MS, which minimizes the sample pretreatment to a single derivatization step. The analysis is complete within 4min, making the method highly suitable for routine clinical analysis and high throughput screenings. The method was fully validated with serum samples. Dynamic ranges were 0.03 to 15μg/ml for ornithine and 1 to 500ng/ml for other polyamines, which cover physiological concentrations in serum samples. Lower limits of quantification (LLoQ) were found to be between 0.1 and 5ng/ml. As a proof of concept, we investigated gender differences in polyamine levels by analyzing the serum levels of 102 subjects. © 2014 Elsevier B.V.","author":[{"dropping-particle":"","family":"Magnes","given":"Christoph","non-dropping-particle":"","parse-names":false,"suffix":""},{"dropping-particle":"","family":"Fauland","given":"Alexander","non-dropping-particle":"","parse-names":false,"suffix":""},{"dropping-particle":"","family":"Gander","given":"Edgar","non-dropping-particle":"","parse-names":false,"suffix":""},{"dropping-particle":"","family":"Narath","given":"Sophie","non-dropping-particle":"","parse-names":false,"suffix":""},{"dropping-particle":"","family":"Ratzer","given":"Maria","non-dropping-particle":"","parse-names":false,"suffix":""},{"dropping-particle":"","family":"Eisenberg","given":"Tobias","non-dropping-particle":"","parse-names":false,"suffix":""},{"dropping-particle":"","family":"Madeo","given":"Frank","non-dropping-particle":"","parse-names":false,"suffix":""},{"dropping-particle":"","family":"Pieber","given":"Thomas","non-dropping-particle":"","parse-names":false,"suffix":""},{"dropping-particle":"","family":"Sinner","given":"Frank","non-dropping-particle":"","parse-names":false,"suffix":""}],"container-title":"Journal of chromatography. A","id":"ITEM-1","issue":"100","issued":{"date-parts":[["2014","2","28"]]},"page":"44-51","publisher":"J Chromatogr A","title":"Polyamines in biological samples: rapid and robust quantification by solid-phase extraction online-coupled to liquid chromatography-tandem mass spectrometry","type":"article-journal","volume":"1331"},"uris":["http://www.mendeley.com/documents/?uuid=d997ab47-28d4-3c37-a21f-1aac787fd9c0"]}],"mendeley":{"formattedCitation":"&lt;sup&gt;35&lt;/sup&gt;","plainTextFormattedCitation":"35","previouslyFormattedCitation":"&lt;sup&gt;35&lt;/sup&gt;"},"properties":{"noteIndex":0},"schema":"https://github.com/citation-style-language/schema/raw/master/csl-citation.json"}</w:instrText>
      </w:r>
      <w:r w:rsidRPr="00C6687F">
        <w:rPr>
          <w:rFonts w:ascii="Arial" w:hAnsi="Arial" w:cs="Arial"/>
          <w:sz w:val="22"/>
        </w:rPr>
        <w:fldChar w:fldCharType="separate"/>
      </w:r>
      <w:r w:rsidRPr="00C6687F">
        <w:rPr>
          <w:rFonts w:ascii="Arial" w:hAnsi="Arial" w:cs="Arial"/>
          <w:noProof/>
          <w:sz w:val="22"/>
          <w:vertAlign w:val="superscript"/>
        </w:rPr>
        <w:t>35</w:t>
      </w:r>
      <w:r w:rsidRPr="00C6687F">
        <w:rPr>
          <w:rFonts w:ascii="Arial" w:hAnsi="Arial" w:cs="Arial"/>
          <w:sz w:val="22"/>
        </w:rPr>
        <w:fldChar w:fldCharType="end"/>
      </w:r>
    </w:p>
    <w:p w:rsidR="00E858A7" w:rsidRDefault="00E858A7" w:rsidP="00E858A7">
      <w:pPr>
        <w:jc w:val="both"/>
        <w:rPr>
          <w:rFonts w:ascii="Arial" w:hAnsi="Arial" w:cs="Arial"/>
          <w:sz w:val="18"/>
        </w:rPr>
      </w:pPr>
    </w:p>
    <w:p w:rsidR="00E858A7" w:rsidRDefault="00E858A7" w:rsidP="00E858A7">
      <w:pPr>
        <w:jc w:val="both"/>
        <w:rPr>
          <w:rFonts w:ascii="Arial" w:hAnsi="Arial" w:cs="Arial"/>
          <w:sz w:val="18"/>
        </w:rPr>
      </w:pPr>
    </w:p>
    <w:p w:rsidR="00E858A7" w:rsidRDefault="00E858A7" w:rsidP="00E858A7">
      <w:pPr>
        <w:jc w:val="both"/>
        <w:rPr>
          <w:rFonts w:ascii="Arial" w:hAnsi="Arial" w:cs="Arial"/>
          <w:sz w:val="18"/>
        </w:rPr>
      </w:pPr>
    </w:p>
    <w:p w:rsidR="00E858A7" w:rsidRDefault="00E858A7" w:rsidP="00E858A7">
      <w:pPr>
        <w:jc w:val="both"/>
        <w:rPr>
          <w:rFonts w:ascii="Arial" w:hAnsi="Arial" w:cs="Arial"/>
          <w:sz w:val="18"/>
        </w:rPr>
      </w:pPr>
    </w:p>
    <w:p w:rsidR="00E858A7" w:rsidRPr="00AA2F25" w:rsidRDefault="00E858A7" w:rsidP="00E858A7">
      <w:pPr>
        <w:jc w:val="both"/>
        <w:rPr>
          <w:rFonts w:ascii="Arial" w:hAnsi="Arial" w:cs="Arial"/>
          <w:sz w:val="18"/>
        </w:rPr>
      </w:pPr>
    </w:p>
    <w:p w:rsidR="00E858A7" w:rsidRPr="00AA2F25" w:rsidRDefault="00E858A7" w:rsidP="00E858A7">
      <w:pPr>
        <w:jc w:val="both"/>
        <w:rPr>
          <w:rFonts w:ascii="Arial" w:hAnsi="Arial" w:cs="Arial"/>
          <w:sz w:val="18"/>
        </w:rPr>
      </w:pPr>
      <w:r w:rsidRPr="00AA2F25">
        <w:rPr>
          <w:rFonts w:ascii="Arial" w:hAnsi="Arial" w:cs="Arial"/>
          <w:noProof/>
          <w:sz w:val="18"/>
        </w:rPr>
        <w:drawing>
          <wp:inline distT="0" distB="0" distL="0" distR="0" wp14:anchorId="4DE23785" wp14:editId="7A78D6DC">
            <wp:extent cx="5267325" cy="2463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2463165"/>
                    </a:xfrm>
                    <a:prstGeom prst="rect">
                      <a:avLst/>
                    </a:prstGeom>
                    <a:noFill/>
                  </pic:spPr>
                </pic:pic>
              </a:graphicData>
            </a:graphic>
          </wp:inline>
        </w:drawing>
      </w:r>
    </w:p>
    <w:p w:rsidR="00E858A7" w:rsidRPr="00C6687F" w:rsidRDefault="00E858A7" w:rsidP="00E858A7">
      <w:pPr>
        <w:jc w:val="both"/>
        <w:rPr>
          <w:rFonts w:ascii="Arial" w:hAnsi="Arial" w:cs="Arial"/>
          <w:sz w:val="22"/>
        </w:rPr>
      </w:pPr>
      <w:r w:rsidRPr="00C6687F">
        <w:rPr>
          <w:rFonts w:ascii="Arial" w:hAnsi="Arial" w:cs="Arial"/>
          <w:b/>
          <w:bCs/>
          <w:sz w:val="22"/>
        </w:rPr>
        <w:t>Figure S2: Aminoguanidine is not cytotoxic.</w:t>
      </w:r>
      <w:r w:rsidRPr="00C6687F">
        <w:rPr>
          <w:rFonts w:ascii="Arial" w:hAnsi="Arial" w:cs="Arial"/>
          <w:sz w:val="22"/>
        </w:rPr>
        <w:t xml:space="preserve"> TZM-bl cells (a) or isolated human PBMCs (b) were treated with indicated AG concentrations for two days. Viability was determined by MTT assay (a) or </w:t>
      </w:r>
      <w:proofErr w:type="spellStart"/>
      <w:r w:rsidRPr="00C6687F">
        <w:rPr>
          <w:rFonts w:ascii="Arial" w:hAnsi="Arial" w:cs="Arial"/>
          <w:sz w:val="22"/>
        </w:rPr>
        <w:t>CellTiterGlo</w:t>
      </w:r>
      <w:proofErr w:type="spellEnd"/>
      <w:r w:rsidRPr="00C6687F">
        <w:rPr>
          <w:rFonts w:ascii="Arial" w:hAnsi="Arial" w:cs="Arial"/>
          <w:sz w:val="22"/>
        </w:rPr>
        <w:t xml:space="preserve"> assay (b). Shown are data derived from triplicate treatment ± SD. RLU/s relative light units per second.</w:t>
      </w:r>
    </w:p>
    <w:p w:rsidR="00E858A7" w:rsidRDefault="00E858A7" w:rsidP="00E858A7">
      <w:pPr>
        <w:jc w:val="both"/>
        <w:rPr>
          <w:rFonts w:ascii="Arial" w:hAnsi="Arial" w:cs="Arial"/>
          <w:sz w:val="18"/>
        </w:rPr>
      </w:pPr>
    </w:p>
    <w:p w:rsidR="00E858A7" w:rsidRPr="00AA2F25" w:rsidRDefault="00E858A7" w:rsidP="00E858A7">
      <w:pPr>
        <w:jc w:val="both"/>
        <w:rPr>
          <w:rFonts w:ascii="Arial" w:hAnsi="Arial" w:cs="Arial"/>
          <w:sz w:val="18"/>
        </w:rPr>
      </w:pPr>
    </w:p>
    <w:p w:rsidR="00E858A7" w:rsidRPr="00AA2F25" w:rsidRDefault="00E858A7" w:rsidP="00E858A7">
      <w:pPr>
        <w:jc w:val="both"/>
        <w:rPr>
          <w:rFonts w:ascii="Arial" w:hAnsi="Arial" w:cs="Arial"/>
          <w:b/>
          <w:sz w:val="18"/>
        </w:rPr>
      </w:pPr>
      <w:r w:rsidRPr="00AA2F25">
        <w:rPr>
          <w:rFonts w:ascii="Arial" w:hAnsi="Arial" w:cs="Arial"/>
          <w:b/>
          <w:noProof/>
          <w:sz w:val="18"/>
        </w:rPr>
        <w:lastRenderedPageBreak/>
        <w:drawing>
          <wp:inline distT="0" distB="0" distL="0" distR="0" wp14:anchorId="08D7A532" wp14:editId="53E91899">
            <wp:extent cx="5779827" cy="16033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4771" cy="1610249"/>
                    </a:xfrm>
                    <a:prstGeom prst="rect">
                      <a:avLst/>
                    </a:prstGeom>
                    <a:noFill/>
                  </pic:spPr>
                </pic:pic>
              </a:graphicData>
            </a:graphic>
          </wp:inline>
        </w:drawing>
      </w:r>
    </w:p>
    <w:p w:rsidR="00E858A7" w:rsidRPr="00C6687F" w:rsidRDefault="00E858A7" w:rsidP="00E858A7">
      <w:pPr>
        <w:jc w:val="both"/>
        <w:rPr>
          <w:rFonts w:ascii="Arial" w:hAnsi="Arial" w:cs="Arial"/>
          <w:b/>
          <w:sz w:val="22"/>
        </w:rPr>
      </w:pPr>
      <w:r w:rsidRPr="00C6687F">
        <w:rPr>
          <w:rFonts w:ascii="Arial" w:hAnsi="Arial" w:cs="Arial"/>
          <w:b/>
          <w:bCs/>
          <w:sz w:val="22"/>
        </w:rPr>
        <w:t>Figure S3. AG in serum-free medium strongly reduces seminal plasma-derived cytotoxic effects in primary vaginal tissue</w:t>
      </w:r>
      <w:r w:rsidRPr="00C6687F">
        <w:rPr>
          <w:rFonts w:ascii="Arial" w:hAnsi="Arial" w:cs="Arial"/>
          <w:b/>
          <w:sz w:val="22"/>
        </w:rPr>
        <w:t xml:space="preserve">. </w:t>
      </w:r>
      <w:r w:rsidRPr="00C6687F">
        <w:rPr>
          <w:rFonts w:ascii="Arial" w:hAnsi="Arial" w:cs="Arial"/>
          <w:sz w:val="22"/>
        </w:rPr>
        <w:t>2 x 2 x 1 mm</w:t>
      </w:r>
      <w:r w:rsidRPr="00C6687F">
        <w:rPr>
          <w:rFonts w:ascii="Arial" w:hAnsi="Arial" w:cs="Arial"/>
          <w:sz w:val="22"/>
          <w:vertAlign w:val="superscript"/>
        </w:rPr>
        <w:t>3</w:t>
      </w:r>
      <w:r w:rsidRPr="00C6687F">
        <w:rPr>
          <w:rFonts w:ascii="Arial" w:hAnsi="Arial" w:cs="Arial"/>
          <w:sz w:val="22"/>
        </w:rPr>
        <w:t xml:space="preserve"> vaginal tissue blocks derived from 4 individual donors were incubated with 10% or 20% seminal plasma (or buffer) in the presence of chemically defined, serum free medium (Xvivo15) supplemented with 0.05 mM AG or in the presence of ECM growth medium supplemented with 10% FCS. After 3 days the individual blocks were washed twice with PBS and analyzed using </w:t>
      </w:r>
      <w:proofErr w:type="spellStart"/>
      <w:r w:rsidRPr="00C6687F">
        <w:rPr>
          <w:rFonts w:ascii="Arial" w:hAnsi="Arial" w:cs="Arial"/>
          <w:sz w:val="22"/>
        </w:rPr>
        <w:t>CellTiterGlo</w:t>
      </w:r>
      <w:proofErr w:type="spellEnd"/>
      <w:r w:rsidRPr="00C6687F">
        <w:rPr>
          <w:rFonts w:ascii="Arial" w:hAnsi="Arial" w:cs="Arial"/>
          <w:sz w:val="22"/>
        </w:rPr>
        <w:t xml:space="preserve"> viability assay. 0.5% triton was used as toxic control. Black lines indicate averages, RLU/s relative light units per second.</w:t>
      </w:r>
    </w:p>
    <w:p w:rsidR="00E858A7" w:rsidRPr="00AA2F25" w:rsidRDefault="00E858A7" w:rsidP="00E858A7">
      <w:pPr>
        <w:rPr>
          <w:rFonts w:ascii="Arial" w:hAnsi="Arial" w:cs="Arial"/>
          <w:szCs w:val="24"/>
        </w:rPr>
      </w:pPr>
    </w:p>
    <w:p w:rsidR="00024100" w:rsidRDefault="00024100">
      <w:bookmarkStart w:id="0" w:name="_GoBack"/>
      <w:bookmarkEnd w:id="0"/>
    </w:p>
    <w:sectPr w:rsidR="00024100" w:rsidSect="00AA2F25">
      <w:footerReference w:type="default" r:id="rId8"/>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503629"/>
      <w:docPartObj>
        <w:docPartGallery w:val="Page Numbers (Bottom of Page)"/>
        <w:docPartUnique/>
      </w:docPartObj>
    </w:sdtPr>
    <w:sdtEndPr>
      <w:rPr>
        <w:noProof/>
      </w:rPr>
    </w:sdtEndPr>
    <w:sdtContent>
      <w:p w:rsidR="00AA2F25" w:rsidRDefault="00E858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A2F25" w:rsidRDefault="00E858A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A7"/>
    <w:rsid w:val="00024100"/>
    <w:rsid w:val="00E858A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391DE-8950-4979-B72B-644748F5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8A7"/>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8A7"/>
    <w:rPr>
      <w:color w:val="0563C1" w:themeColor="hyperlink"/>
      <w:u w:val="single"/>
    </w:rPr>
  </w:style>
  <w:style w:type="paragraph" w:styleId="Footer">
    <w:name w:val="footer"/>
    <w:basedOn w:val="Normal"/>
    <w:link w:val="FooterChar"/>
    <w:uiPriority w:val="99"/>
    <w:unhideWhenUsed/>
    <w:rsid w:val="00E85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8A7"/>
    <w:rPr>
      <w:rFonts w:ascii="Times New Roman" w:hAnsi="Times New Roman"/>
      <w:sz w:val="24"/>
      <w:lang w:val="en-US"/>
    </w:rPr>
  </w:style>
  <w:style w:type="paragraph" w:styleId="PlainText">
    <w:name w:val="Plain Text"/>
    <w:basedOn w:val="Normal"/>
    <w:link w:val="PlainTextChar"/>
    <w:uiPriority w:val="99"/>
    <w:semiHidden/>
    <w:unhideWhenUsed/>
    <w:rsid w:val="00E858A7"/>
    <w:pPr>
      <w:spacing w:after="0" w:line="240" w:lineRule="auto"/>
    </w:pPr>
    <w:rPr>
      <w:rFonts w:ascii="Calibri" w:hAnsi="Calibri"/>
      <w:sz w:val="22"/>
      <w:szCs w:val="21"/>
      <w:lang w:val="en-DE"/>
    </w:rPr>
  </w:style>
  <w:style w:type="character" w:customStyle="1" w:styleId="PlainTextChar">
    <w:name w:val="Plain Text Char"/>
    <w:basedOn w:val="DefaultParagraphFont"/>
    <w:link w:val="PlainText"/>
    <w:uiPriority w:val="99"/>
    <w:semiHidden/>
    <w:rsid w:val="00E858A7"/>
    <w:rPr>
      <w:rFonts w:ascii="Calibri" w:hAnsi="Calibri"/>
      <w:szCs w:val="21"/>
    </w:rPr>
  </w:style>
  <w:style w:type="character" w:styleId="LineNumber">
    <w:name w:val="line number"/>
    <w:basedOn w:val="DefaultParagraphFont"/>
    <w:uiPriority w:val="99"/>
    <w:semiHidden/>
    <w:unhideWhenUsed/>
    <w:rsid w:val="00E8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hyperlink" Target="mailto:jan.muench@uni-ulm.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Münch</dc:creator>
  <cp:keywords/>
  <dc:description/>
  <cp:lastModifiedBy>Jan Münch</cp:lastModifiedBy>
  <cp:revision>1</cp:revision>
  <dcterms:created xsi:type="dcterms:W3CDTF">2022-05-09T08:23:00Z</dcterms:created>
  <dcterms:modified xsi:type="dcterms:W3CDTF">2022-05-09T08:23:00Z</dcterms:modified>
</cp:coreProperties>
</file>