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7C0A0" w14:textId="77777777" w:rsidR="009B2A51" w:rsidRPr="00307998" w:rsidRDefault="009B2A51" w:rsidP="009B2A51">
      <w:pPr>
        <w:pStyle w:val="Body"/>
        <w:spacing w:line="480" w:lineRule="auto"/>
        <w:jc w:val="both"/>
        <w:rPr>
          <w:rFonts w:ascii="Times New Roman" w:hAnsi="Times New Roman" w:cs="Times New Roman"/>
          <w:b/>
          <w:sz w:val="25"/>
          <w:szCs w:val="25"/>
        </w:rPr>
      </w:pPr>
      <w:r w:rsidRPr="00307998">
        <w:rPr>
          <w:rFonts w:ascii="Times New Roman" w:hAnsi="Times New Roman" w:cs="Times New Roman"/>
          <w:bCs/>
          <w:sz w:val="25"/>
          <w:szCs w:val="25"/>
        </w:rPr>
        <w:t>Online Supplement For:</w:t>
      </w:r>
      <w:r w:rsidRPr="00307998">
        <w:rPr>
          <w:rFonts w:ascii="Times New Roman" w:hAnsi="Times New Roman" w:cs="Times New Roman"/>
          <w:b/>
          <w:sz w:val="25"/>
          <w:szCs w:val="25"/>
        </w:rPr>
        <w:t xml:space="preserve"> Blood Neutrophil Counts are Associated with Exacerbation Frequency and Mortality in </w:t>
      </w:r>
      <w:r>
        <w:rPr>
          <w:rFonts w:ascii="Times New Roman" w:hAnsi="Times New Roman" w:cs="Times New Roman"/>
          <w:b/>
          <w:sz w:val="25"/>
          <w:szCs w:val="25"/>
        </w:rPr>
        <w:t>COPD</w:t>
      </w:r>
    </w:p>
    <w:p w14:paraId="1515A6B3" w14:textId="77777777" w:rsidR="009B2A51" w:rsidRPr="00307998" w:rsidRDefault="009B2A51" w:rsidP="009B2A51">
      <w:pPr>
        <w:pStyle w:val="Body"/>
        <w:spacing w:line="480" w:lineRule="auto"/>
        <w:jc w:val="both"/>
        <w:rPr>
          <w:rFonts w:ascii="Times New Roman" w:hAnsi="Times New Roman" w:cs="Times New Roman"/>
          <w:sz w:val="25"/>
          <w:szCs w:val="25"/>
          <w:vertAlign w:val="superscript"/>
        </w:rPr>
      </w:pPr>
      <w:r w:rsidRPr="00307998">
        <w:rPr>
          <w:rFonts w:ascii="Times New Roman" w:hAnsi="Times New Roman" w:cs="Times New Roman"/>
          <w:sz w:val="25"/>
          <w:szCs w:val="25"/>
          <w:lang w:val="da-DK"/>
        </w:rPr>
        <w:t>Mike Lonergan*</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rPr>
        <w:t xml:space="preserve">, </w:t>
      </w:r>
      <w:r w:rsidRPr="00307998">
        <w:rPr>
          <w:rFonts w:ascii="Times New Roman" w:hAnsi="Times New Roman" w:cs="Times New Roman"/>
          <w:sz w:val="25"/>
          <w:szCs w:val="25"/>
          <w:lang w:val="de-DE"/>
        </w:rPr>
        <w:t>Alison J Dicker*</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lang w:val="it-IT"/>
        </w:rPr>
        <w:t xml:space="preserve">, </w:t>
      </w:r>
      <w:r w:rsidRPr="00307998">
        <w:rPr>
          <w:rFonts w:ascii="Times New Roman" w:hAnsi="Times New Roman" w:cs="Times New Roman"/>
          <w:sz w:val="25"/>
          <w:szCs w:val="25"/>
        </w:rPr>
        <w:t>Megan L Crichton</w:t>
      </w:r>
      <w:r w:rsidRPr="00307998">
        <w:rPr>
          <w:rFonts w:ascii="Times New Roman" w:hAnsi="Times New Roman" w:cs="Times New Roman"/>
          <w:sz w:val="25"/>
          <w:szCs w:val="25"/>
          <w:vertAlign w:val="superscript"/>
        </w:rPr>
        <w:t>1</w:t>
      </w:r>
      <w:r w:rsidRPr="00307998">
        <w:rPr>
          <w:rFonts w:ascii="Times New Roman" w:hAnsi="Times New Roman" w:cs="Times New Roman"/>
          <w:sz w:val="25"/>
          <w:szCs w:val="25"/>
        </w:rPr>
        <w:t xml:space="preserve">, Holly R Keir, </w:t>
      </w:r>
      <w:r w:rsidRPr="00307998">
        <w:rPr>
          <w:rFonts w:ascii="Times New Roman" w:hAnsi="Times New Roman" w:cs="Times New Roman"/>
          <w:sz w:val="25"/>
          <w:szCs w:val="25"/>
          <w:lang w:val="it-IT"/>
        </w:rPr>
        <w:t>Melissa K. Van Dyke</w:t>
      </w:r>
      <w:r w:rsidRPr="00307998">
        <w:rPr>
          <w:rFonts w:ascii="Times New Roman" w:hAnsi="Times New Roman" w:cs="Times New Roman"/>
          <w:sz w:val="25"/>
          <w:szCs w:val="25"/>
          <w:vertAlign w:val="superscript"/>
        </w:rPr>
        <w:t>2</w:t>
      </w:r>
      <w:r w:rsidRPr="00307998">
        <w:rPr>
          <w:rFonts w:ascii="Times New Roman" w:hAnsi="Times New Roman" w:cs="Times New Roman"/>
          <w:sz w:val="25"/>
          <w:szCs w:val="25"/>
        </w:rPr>
        <w:t>, Hana Mullerova</w:t>
      </w:r>
      <w:r w:rsidRPr="00307998">
        <w:rPr>
          <w:rFonts w:ascii="Times New Roman" w:hAnsi="Times New Roman" w:cs="Times New Roman"/>
          <w:sz w:val="25"/>
          <w:szCs w:val="25"/>
          <w:vertAlign w:val="superscript"/>
        </w:rPr>
        <w:t>3</w:t>
      </w:r>
      <w:r w:rsidRPr="00307998">
        <w:rPr>
          <w:rFonts w:ascii="Times New Roman" w:hAnsi="Times New Roman" w:cs="Times New Roman"/>
          <w:sz w:val="25"/>
          <w:szCs w:val="25"/>
        </w:rPr>
        <w:t>, Bruce E Miller</w:t>
      </w:r>
      <w:r w:rsidRPr="00307998">
        <w:rPr>
          <w:rFonts w:ascii="Times New Roman" w:hAnsi="Times New Roman" w:cs="Times New Roman"/>
          <w:sz w:val="25"/>
          <w:szCs w:val="25"/>
          <w:vertAlign w:val="superscript"/>
        </w:rPr>
        <w:t>4</w:t>
      </w:r>
      <w:r w:rsidRPr="00307998">
        <w:rPr>
          <w:rFonts w:ascii="Times New Roman" w:hAnsi="Times New Roman" w:cs="Times New Roman"/>
          <w:sz w:val="25"/>
          <w:szCs w:val="25"/>
        </w:rPr>
        <w:t>, Ruth Tal-Singer</w:t>
      </w:r>
      <w:r w:rsidRPr="00307998">
        <w:rPr>
          <w:rFonts w:ascii="Times New Roman" w:hAnsi="Times New Roman" w:cs="Times New Roman"/>
          <w:sz w:val="25"/>
          <w:szCs w:val="25"/>
          <w:vertAlign w:val="superscript"/>
        </w:rPr>
        <w:t>4</w:t>
      </w:r>
      <w:r w:rsidRPr="00307998">
        <w:rPr>
          <w:rFonts w:ascii="Times New Roman" w:hAnsi="Times New Roman" w:cs="Times New Roman"/>
          <w:sz w:val="25"/>
          <w:szCs w:val="25"/>
        </w:rPr>
        <w:t>, James D Chalmers</w:t>
      </w:r>
      <w:r w:rsidRPr="00307998">
        <w:rPr>
          <w:rFonts w:ascii="Times New Roman" w:hAnsi="Times New Roman" w:cs="Times New Roman"/>
          <w:sz w:val="25"/>
          <w:szCs w:val="25"/>
          <w:vertAlign w:val="superscript"/>
        </w:rPr>
        <w:t>1</w:t>
      </w:r>
    </w:p>
    <w:p w14:paraId="7AA8DC11"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rPr>
        <w:t>*Joint first authors</w:t>
      </w:r>
    </w:p>
    <w:p w14:paraId="3B0F7D79"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vertAlign w:val="superscript"/>
        </w:rPr>
        <w:t>1</w:t>
      </w:r>
      <w:r w:rsidRPr="00307998">
        <w:rPr>
          <w:rFonts w:ascii="Times New Roman" w:hAnsi="Times New Roman" w:cs="Times New Roman"/>
          <w:bCs/>
          <w:sz w:val="25"/>
          <w:szCs w:val="25"/>
        </w:rPr>
        <w:t>Scottish Centre for Respiratory Research, University of Dundee, United Kingdom</w:t>
      </w:r>
    </w:p>
    <w:p w14:paraId="5C4D6A31"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sz w:val="25"/>
          <w:szCs w:val="25"/>
          <w:vertAlign w:val="superscript"/>
        </w:rPr>
        <w:t>2</w:t>
      </w:r>
      <w:r w:rsidRPr="00307998">
        <w:rPr>
          <w:rFonts w:ascii="Times New Roman" w:hAnsi="Times New Roman" w:cs="Times New Roman"/>
          <w:sz w:val="25"/>
          <w:szCs w:val="25"/>
        </w:rPr>
        <w:t>Epidemiology, Value Evidence and Outcomes GSK R&amp;D, Collegeville, PA, USA</w:t>
      </w:r>
    </w:p>
    <w:p w14:paraId="20EFAE79" w14:textId="77777777" w:rsidR="009B2A51" w:rsidRPr="00307998" w:rsidRDefault="009B2A51" w:rsidP="009B2A51">
      <w:pPr>
        <w:pStyle w:val="Body"/>
        <w:spacing w:line="480" w:lineRule="auto"/>
        <w:jc w:val="both"/>
        <w:rPr>
          <w:rFonts w:ascii="Times New Roman" w:hAnsi="Times New Roman" w:cs="Times New Roman"/>
          <w:bCs/>
          <w:sz w:val="25"/>
          <w:szCs w:val="25"/>
        </w:rPr>
      </w:pPr>
      <w:r w:rsidRPr="00307998">
        <w:rPr>
          <w:rFonts w:ascii="Times New Roman" w:hAnsi="Times New Roman" w:cs="Times New Roman"/>
          <w:bCs/>
          <w:sz w:val="25"/>
          <w:szCs w:val="25"/>
          <w:vertAlign w:val="superscript"/>
        </w:rPr>
        <w:t>3</w:t>
      </w:r>
      <w:r w:rsidRPr="00307998">
        <w:rPr>
          <w:rFonts w:ascii="Times New Roman" w:hAnsi="Times New Roman" w:cs="Times New Roman"/>
          <w:bCs/>
          <w:sz w:val="25"/>
          <w:szCs w:val="25"/>
        </w:rPr>
        <w:t xml:space="preserve"> Epidemiology, Value Evidence and Outcomes, GSK R&amp;D, Uxbridge, UK</w:t>
      </w:r>
    </w:p>
    <w:p w14:paraId="2605152D" w14:textId="77777777" w:rsidR="009B2A51" w:rsidRPr="00307998" w:rsidRDefault="009B2A51" w:rsidP="009B2A51">
      <w:pPr>
        <w:pStyle w:val="Body"/>
        <w:spacing w:line="480" w:lineRule="auto"/>
        <w:jc w:val="both"/>
        <w:rPr>
          <w:rFonts w:ascii="Times New Roman" w:hAnsi="Times New Roman" w:cs="Times New Roman"/>
          <w:bCs/>
          <w:sz w:val="25"/>
          <w:szCs w:val="25"/>
          <w:vertAlign w:val="superscript"/>
        </w:rPr>
      </w:pPr>
      <w:r w:rsidRPr="00307998">
        <w:rPr>
          <w:rFonts w:ascii="Times New Roman" w:hAnsi="Times New Roman" w:cs="Times New Roman"/>
          <w:bCs/>
          <w:sz w:val="25"/>
          <w:szCs w:val="25"/>
          <w:vertAlign w:val="superscript"/>
        </w:rPr>
        <w:t>4</w:t>
      </w:r>
      <w:r w:rsidRPr="00307998">
        <w:rPr>
          <w:rFonts w:ascii="Times New Roman" w:hAnsi="Times New Roman" w:cs="Times New Roman"/>
          <w:bCs/>
          <w:sz w:val="25"/>
          <w:szCs w:val="25"/>
        </w:rPr>
        <w:t xml:space="preserve">Medical Innovation, Value Evidence and Outcomes, GSK </w:t>
      </w:r>
      <w:r w:rsidRPr="00307998">
        <w:rPr>
          <w:rFonts w:ascii="Times New Roman" w:hAnsi="Times New Roman" w:cs="Times New Roman"/>
          <w:bCs/>
          <w:sz w:val="25"/>
          <w:szCs w:val="25"/>
          <w:lang w:val="nl-NL"/>
        </w:rPr>
        <w:t>R&amp;D, Collegeville, PA, USA</w:t>
      </w:r>
      <w:r w:rsidRPr="00307998">
        <w:rPr>
          <w:rFonts w:ascii="Times New Roman" w:hAnsi="Times New Roman" w:cs="Times New Roman"/>
          <w:bCs/>
          <w:sz w:val="25"/>
          <w:szCs w:val="25"/>
          <w:vertAlign w:val="superscript"/>
        </w:rPr>
        <w:t>2</w:t>
      </w:r>
    </w:p>
    <w:p w14:paraId="2C0A222F" w14:textId="77777777" w:rsidR="009B2A51" w:rsidRPr="00307998" w:rsidRDefault="009B2A51" w:rsidP="009B2A51">
      <w:pPr>
        <w:pStyle w:val="Body"/>
        <w:spacing w:line="480" w:lineRule="auto"/>
        <w:jc w:val="both"/>
        <w:rPr>
          <w:rFonts w:ascii="Times New Roman" w:hAnsi="Times New Roman" w:cs="Times New Roman"/>
          <w:sz w:val="25"/>
          <w:szCs w:val="25"/>
        </w:rPr>
      </w:pPr>
      <w:r w:rsidRPr="00307998">
        <w:rPr>
          <w:rFonts w:ascii="Times New Roman" w:hAnsi="Times New Roman" w:cs="Times New Roman"/>
          <w:sz w:val="25"/>
          <w:szCs w:val="25"/>
        </w:rPr>
        <w:t xml:space="preserve">Corresponding author: James D Chalmers, Scottish Centre for Respiratory Research, University of Dundee, Ninewells Hospital and Medical School, Dundee, DD1 9SY, </w:t>
      </w:r>
      <w:hyperlink r:id="rId6" w:history="1">
        <w:r w:rsidRPr="00307998">
          <w:rPr>
            <w:rStyle w:val="Hyperlink"/>
            <w:rFonts w:ascii="Times New Roman" w:hAnsi="Times New Roman" w:cs="Times New Roman"/>
            <w:sz w:val="25"/>
            <w:szCs w:val="25"/>
          </w:rPr>
          <w:t>jchalmers@dundee.ac.uk</w:t>
        </w:r>
      </w:hyperlink>
    </w:p>
    <w:p w14:paraId="1BCE3FD1" w14:textId="77777777" w:rsidR="009B2A51" w:rsidRPr="00A44A2B" w:rsidRDefault="009B2A51" w:rsidP="009B2A51">
      <w:pPr>
        <w:spacing w:line="480" w:lineRule="auto"/>
        <w:jc w:val="both"/>
        <w:rPr>
          <w:b/>
          <w:sz w:val="25"/>
          <w:szCs w:val="25"/>
        </w:rPr>
      </w:pPr>
      <w:r w:rsidRPr="00307998">
        <w:rPr>
          <w:sz w:val="25"/>
          <w:szCs w:val="25"/>
        </w:rPr>
        <w:br w:type="page"/>
      </w:r>
      <w:r w:rsidRPr="00A44A2B">
        <w:rPr>
          <w:b/>
          <w:sz w:val="25"/>
          <w:szCs w:val="25"/>
        </w:rPr>
        <w:lastRenderedPageBreak/>
        <w:t>Supplementary Methods</w:t>
      </w:r>
    </w:p>
    <w:p w14:paraId="1D19AB4A" w14:textId="77777777" w:rsidR="009B2A51" w:rsidRPr="00A44A2B"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b/>
          <w:sz w:val="25"/>
          <w:szCs w:val="25"/>
        </w:rPr>
      </w:pPr>
      <w:r w:rsidRPr="00A44A2B">
        <w:rPr>
          <w:b/>
          <w:sz w:val="25"/>
          <w:szCs w:val="25"/>
        </w:rPr>
        <w:t>Microbiome Sequencing</w:t>
      </w:r>
    </w:p>
    <w:p w14:paraId="7CCD089A" w14:textId="57D7BD20" w:rsidR="009B2A51"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sz w:val="25"/>
          <w:szCs w:val="25"/>
        </w:rPr>
      </w:pPr>
      <w:r w:rsidRPr="00D30398">
        <w:rPr>
          <w:sz w:val="25"/>
          <w:szCs w:val="25"/>
        </w:rPr>
        <w:t xml:space="preserve">DNA was extracted from </w:t>
      </w:r>
      <w:r>
        <w:rPr>
          <w:sz w:val="25"/>
          <w:szCs w:val="25"/>
        </w:rPr>
        <w:t xml:space="preserve">a minimum of </w:t>
      </w:r>
      <w:r w:rsidRPr="00E30760">
        <w:rPr>
          <w:sz w:val="25"/>
          <w:szCs w:val="25"/>
        </w:rPr>
        <w:t xml:space="preserve">0.1 g </w:t>
      </w:r>
      <w:r w:rsidRPr="00D30398">
        <w:rPr>
          <w:sz w:val="25"/>
          <w:szCs w:val="25"/>
        </w:rPr>
        <w:t xml:space="preserve">whole </w:t>
      </w:r>
      <w:r>
        <w:rPr>
          <w:sz w:val="25"/>
          <w:szCs w:val="25"/>
        </w:rPr>
        <w:t xml:space="preserve">induced </w:t>
      </w:r>
      <w:r w:rsidR="006E5BC7">
        <w:rPr>
          <w:sz w:val="25"/>
          <w:szCs w:val="25"/>
        </w:rPr>
        <w:t xml:space="preserve">sputum. </w:t>
      </w:r>
      <w:r w:rsidRPr="00D30398">
        <w:rPr>
          <w:sz w:val="25"/>
          <w:szCs w:val="25"/>
        </w:rPr>
        <w:t>16S rRNA gene sequencing was performed using the Illumina library prep guide (https://www.illumina.com/content/dam/illumina-support/documents/documentation/chemistry_documentation/16s/16s-metagenomic-library-prep-guide-15044223-b.pdf), using primers targeting the V3 and V4 region.</w:t>
      </w:r>
      <w:r w:rsidRPr="00D30398">
        <w:rPr>
          <w:sz w:val="25"/>
          <w:szCs w:val="25"/>
        </w:rPr>
        <w:fldChar w:fldCharType="begin"/>
      </w:r>
      <w:r w:rsidR="00865D5E">
        <w:rPr>
          <w:sz w:val="25"/>
          <w:szCs w:val="25"/>
        </w:rPr>
        <w:instrText xml:space="preserve"> ADDIN EN.CITE &lt;EndNote&gt;&lt;Cite&gt;&lt;Author&gt;Klindworth&lt;/Author&gt;&lt;Year&gt;2013&lt;/Year&gt;&lt;RecNum&gt;42&lt;/RecNum&gt;&lt;DisplayText&gt;&lt;style face="superscript"&gt;1&lt;/style&gt;&lt;/DisplayText&gt;&lt;record&gt;&lt;rec-number&gt;42&lt;/rec-number&gt;&lt;foreign-keys&gt;&lt;key app="EN" db-id="r2r92xzfyws9vqe0rf4pvrf4axaxarrztppw" timestamp="1385639336"&gt;42&lt;/key&gt;&lt;/foreign-keys&gt;&lt;ref-type name="Journal Article"&gt;17&lt;/ref-type&gt;&lt;contributors&gt;&lt;authors&gt;&lt;author&gt;Klindworth, Anna&lt;/author&gt;&lt;author&gt;Pruesse, Elmar&lt;/author&gt;&lt;author&gt;Schweer, Timmy&lt;/author&gt;&lt;author&gt;Peplies, Joerg&lt;/author&gt;&lt;author&gt;Quast, Christian&lt;/author&gt;&lt;author&gt;Horn, Matthias&lt;/author&gt;&lt;author&gt;Gloeckner, Frank Oliver&lt;/author&gt;&lt;/authors&gt;&lt;/contributors&gt;&lt;titles&gt;&lt;title&gt;Evaluation of general 16S ribosomal RNA gene PCR primers for classical and next-generation sequencing-based diversity studies&lt;/title&gt;&lt;secondary-title&gt;Nucleic Acids Research&lt;/secondary-title&gt;&lt;/titles&gt;&lt;periodical&gt;&lt;full-title&gt;Nucleic Acids Research&lt;/full-title&gt;&lt;/periodical&gt;&lt;volume&gt;41&lt;/volume&gt;&lt;number&gt;1&lt;/number&gt;&lt;dates&gt;&lt;year&gt;2013&lt;/year&gt;&lt;pub-dates&gt;&lt;date&gt;Jan&lt;/date&gt;&lt;/pub-dates&gt;&lt;/dates&gt;&lt;isbn&gt;0305-1048&lt;/isbn&gt;&lt;accession-num&gt;WOS:000312889900001&lt;/accession-num&gt;&lt;urls&gt;&lt;related-urls&gt;&lt;url&gt;&amp;lt;Go to ISI&amp;gt;://WOS:000312889900001&lt;/url&gt;&lt;/related-urls&gt;&lt;/urls&gt;&lt;custom7&gt;e1&lt;/custom7&gt;&lt;electronic-resource-num&gt;10.1093/nar/gks808&lt;/electronic-resource-num&gt;&lt;/record&gt;&lt;/Cite&gt;&lt;/EndNote&gt;</w:instrText>
      </w:r>
      <w:r w:rsidRPr="00D30398">
        <w:rPr>
          <w:sz w:val="25"/>
          <w:szCs w:val="25"/>
        </w:rPr>
        <w:fldChar w:fldCharType="separate"/>
      </w:r>
      <w:r w:rsidR="00865D5E" w:rsidRPr="00865D5E">
        <w:rPr>
          <w:noProof/>
          <w:sz w:val="25"/>
          <w:szCs w:val="25"/>
          <w:vertAlign w:val="superscript"/>
        </w:rPr>
        <w:t>1</w:t>
      </w:r>
      <w:r w:rsidRPr="00D30398">
        <w:rPr>
          <w:sz w:val="25"/>
          <w:szCs w:val="25"/>
        </w:rPr>
        <w:fldChar w:fldCharType="end"/>
      </w:r>
      <w:r w:rsidRPr="00D30398">
        <w:rPr>
          <w:sz w:val="25"/>
          <w:szCs w:val="25"/>
        </w:rPr>
        <w:t xml:space="preserve"> Multiplexing of samples was achieved with Nextera XT Indices and the libraries sequenced using 2 x 300 paired end sequencing on the MiSeq platform using a MiSeq V3 kit (Illumina).  Extraction, amplification and sequencing of matched</w:t>
      </w:r>
      <w:r>
        <w:rPr>
          <w:sz w:val="25"/>
          <w:szCs w:val="25"/>
        </w:rPr>
        <w:t xml:space="preserve"> water</w:t>
      </w:r>
      <w:r w:rsidRPr="00D30398">
        <w:rPr>
          <w:sz w:val="25"/>
          <w:szCs w:val="25"/>
        </w:rPr>
        <w:t xml:space="preserve"> negative controls was performed to act as contamination controls. FastQ files were imported into QIIME (version 1.9.0) and paired end reads were joined together for each sample and the quality of reads checked; any reads with a Phred quality score less than Q20 were excluded. Un-joined reads were excluded from subsequent analysis.  Sequences were clustered into operational taxonomic units (OTUs) based on 97% sequence similarity using the UCLUST algorithm,</w:t>
      </w:r>
      <w:r w:rsidRPr="00D30398">
        <w:rPr>
          <w:sz w:val="25"/>
          <w:szCs w:val="25"/>
        </w:rPr>
        <w:fldChar w:fldCharType="begin"/>
      </w:r>
      <w:r w:rsidR="00865D5E">
        <w:rPr>
          <w:sz w:val="25"/>
          <w:szCs w:val="25"/>
        </w:rPr>
        <w:instrText xml:space="preserve"> ADDIN EN.CITE &lt;EndNote&gt;&lt;Cite&gt;&lt;Author&gt;Edgar&lt;/Author&gt;&lt;Year&gt;2010&lt;/Year&gt;&lt;RecNum&gt;157&lt;/RecNum&gt;&lt;DisplayText&gt;&lt;style face="superscript"&gt;2&lt;/style&gt;&lt;/DisplayText&gt;&lt;record&gt;&lt;rec-number&gt;157&lt;/rec-number&gt;&lt;foreign-keys&gt;&lt;key app="EN" db-id="r2r92xzfyws9vqe0rf4pvrf4axaxarrztppw" timestamp="1444821435"&gt;157&lt;/key&gt;&lt;/foreign-keys&gt;&lt;ref-type name="Journal Article"&gt;17&lt;/ref-type&gt;&lt;contributors&gt;&lt;authors&gt;&lt;author&gt;Edgar, R. C.&lt;/author&gt;&lt;/authors&gt;&lt;/contributors&gt;&lt;auth-address&gt;Tiburon, CA 94920, USA. robert@drive5.com&lt;/auth-address&gt;&lt;titles&gt;&lt;title&gt;Search and clustering orders of magnitude faster than BLAST&lt;/title&gt;&lt;secondary-title&gt;Bioinformatics&lt;/secondary-title&gt;&lt;alt-title&gt;Bioinformatics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England)&lt;/abbr-1&gt;&lt;/alt-periodical&gt;&lt;pages&gt;2460-1&lt;/pages&gt;&lt;volume&gt;26&lt;/volume&gt;&lt;number&gt;19&lt;/number&gt;&lt;edition&gt;2010/08/17&lt;/edition&gt;&lt;keywords&gt;&lt;keyword&gt;Algorithms&lt;/keyword&gt;&lt;keyword&gt;Cluster Analysis&lt;/keyword&gt;&lt;keyword&gt;Computational Biology/ methods&lt;/keyword&gt;&lt;keyword&gt;Databases, Protein&lt;/keyword&gt;&lt;keyword&gt;Proteins/chemistry&lt;/keyword&gt;&lt;keyword&gt;Sequence Alignment/ methods&lt;/keyword&gt;&lt;keyword&gt;Sequence Analysis, Protein/ methods&lt;/keyword&gt;&lt;/keywords&gt;&lt;dates&gt;&lt;year&gt;2010&lt;/year&gt;&lt;pub-dates&gt;&lt;date&gt;Oct 1&lt;/date&gt;&lt;/pub-dates&gt;&lt;/dates&gt;&lt;isbn&gt;1367-4811 (Electronic)&amp;#xD;1367-4803 (Linking)&lt;/isbn&gt;&lt;accession-num&gt;20709691&lt;/accession-num&gt;&lt;urls&gt;&lt;/urls&gt;&lt;electronic-resource-num&gt;10.1093/bioinformatics/btq461&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2</w:t>
      </w:r>
      <w:r w:rsidRPr="00D30398">
        <w:rPr>
          <w:sz w:val="25"/>
          <w:szCs w:val="25"/>
        </w:rPr>
        <w:fldChar w:fldCharType="end"/>
      </w:r>
      <w:r w:rsidRPr="00D30398">
        <w:rPr>
          <w:sz w:val="25"/>
          <w:szCs w:val="25"/>
        </w:rPr>
        <w:t xml:space="preserve"> aligned against the Greengenes Core reference alignment (Version 13.8)</w:t>
      </w:r>
      <w:r w:rsidRPr="00D30398">
        <w:rPr>
          <w:sz w:val="25"/>
          <w:szCs w:val="25"/>
        </w:rPr>
        <w:fldChar w:fldCharType="begin">
          <w:fldData xml:space="preserve">PEVuZE5vdGU+PENpdGU+PEF1dGhvcj5EZVNhbnRpczwvQXV0aG9yPjxZZWFyPjIwMDY8L1llYXI+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</w:fldData>
        </w:fldChar>
      </w:r>
      <w:r w:rsidR="00865D5E">
        <w:rPr>
          <w:sz w:val="25"/>
          <w:szCs w:val="25"/>
        </w:rPr>
        <w:instrText xml:space="preserve"> ADDIN EN.CITE </w:instrText>
      </w:r>
      <w:r w:rsidR="00865D5E">
        <w:rPr>
          <w:sz w:val="25"/>
          <w:szCs w:val="25"/>
        </w:rPr>
        <w:fldChar w:fldCharType="begin">
          <w:fldData xml:space="preserve">PEVuZE5vdGU+PENpdGU+PEF1dGhvcj5EZVNhbnRpczwvQXV0aG9yPjxZZWFyPjIwMDY8L1llYXI+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</w:fldData>
        </w:fldChar>
      </w:r>
      <w:r w:rsidR="00865D5E">
        <w:rPr>
          <w:sz w:val="25"/>
          <w:szCs w:val="25"/>
        </w:rPr>
        <w:instrText xml:space="preserve"> ADDIN EN.CITE.DATA </w:instrText>
      </w:r>
      <w:r w:rsidR="00865D5E">
        <w:rPr>
          <w:sz w:val="25"/>
          <w:szCs w:val="25"/>
        </w:rPr>
      </w:r>
      <w:r w:rsidR="00865D5E">
        <w:rPr>
          <w:sz w:val="25"/>
          <w:szCs w:val="25"/>
        </w:rPr>
        <w:fldChar w:fldCharType="end"/>
      </w:r>
      <w:r w:rsidRPr="00D30398">
        <w:rPr>
          <w:sz w:val="25"/>
          <w:szCs w:val="25"/>
        </w:rPr>
      </w:r>
      <w:r w:rsidRPr="00D30398">
        <w:rPr>
          <w:sz w:val="25"/>
          <w:szCs w:val="25"/>
        </w:rPr>
        <w:fldChar w:fldCharType="separate"/>
      </w:r>
      <w:r w:rsidR="00865D5E" w:rsidRPr="00865D5E">
        <w:rPr>
          <w:noProof/>
          <w:sz w:val="25"/>
          <w:szCs w:val="25"/>
          <w:vertAlign w:val="superscript"/>
        </w:rPr>
        <w:t>3</w:t>
      </w:r>
      <w:r w:rsidRPr="00D30398">
        <w:rPr>
          <w:sz w:val="25"/>
          <w:szCs w:val="25"/>
        </w:rPr>
        <w:fldChar w:fldCharType="end"/>
      </w:r>
      <w:r w:rsidRPr="00D30398">
        <w:rPr>
          <w:sz w:val="25"/>
          <w:szCs w:val="25"/>
        </w:rPr>
        <w:t xml:space="preserve"> using PyNAST (Version 1.2.2).</w:t>
      </w:r>
      <w:r w:rsidRPr="00D30398">
        <w:rPr>
          <w:sz w:val="25"/>
          <w:szCs w:val="25"/>
        </w:rPr>
        <w:fldChar w:fldCharType="begin"/>
      </w:r>
      <w:r w:rsidR="00865D5E">
        <w:rPr>
          <w:sz w:val="25"/>
          <w:szCs w:val="25"/>
        </w:rPr>
        <w:instrText xml:space="preserve"> ADDIN EN.CITE &lt;EndNote&gt;&lt;Cite&gt;&lt;Author&gt;Caporaso&lt;/Author&gt;&lt;Year&gt;2010&lt;/Year&gt;&lt;RecNum&gt;323&lt;/RecNum&gt;&lt;DisplayText&gt;&lt;style face="superscript"&gt;4&lt;/style&gt;&lt;/DisplayText&gt;&lt;record&gt;&lt;rec-number&gt;323&lt;/rec-number&gt;&lt;foreign-keys&gt;&lt;key app="EN" db-id="r2r92xzfyws9vqe0rf4pvrf4axaxarrztppw" timestamp="1453819198"&gt;323&lt;/key&gt;&lt;/foreign-keys&gt;&lt;ref-type name="Journal Article"&gt;17&lt;/ref-type&gt;&lt;contributors&gt;&lt;authors&gt;&lt;author&gt;Caporaso, J. G.&lt;/author&gt;&lt;author&gt;Bittinger, K.&lt;/author&gt;&lt;author&gt;Bushman, F. D.&lt;/author&gt;&lt;author&gt;DeSantis, T. Z.&lt;/author&gt;&lt;author&gt;Andersen, G. L.&lt;/author&gt;&lt;author&gt;Knight, R.&lt;/author&gt;&lt;/authors&gt;&lt;/contributors&gt;&lt;auth-address&gt;Department of Chemistry and Biochemistry, University of Colorado at Boulder, Boulder, CO, USA.&lt;/auth-address&gt;&lt;titles&gt;&lt;title&gt;PyNAST: a flexible tool for aligning sequences to a template alignment&lt;/title&gt;&lt;secondary-title&gt;Bioinformatics&lt;/secondary-title&gt;&lt;alt-title&gt;Bioinformatics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England)&lt;/abbr-1&gt;&lt;/alt-periodical&gt;&lt;pages&gt;266-7&lt;/pages&gt;&lt;volume&gt;26&lt;/volume&gt;&lt;number&gt;2&lt;/number&gt;&lt;edition&gt;2009/11/17&lt;/edition&gt;&lt;keywords&gt;&lt;keyword&gt;Algorithms&lt;/keyword&gt;&lt;keyword&gt;Databases, Genetic&lt;/keyword&gt;&lt;keyword&gt;Sequence Alignment/ methods&lt;/keyword&gt;&lt;keyword&gt;Sequence Analysis, RNA/methods&lt;/keyword&gt;&lt;keyword&gt;Software&lt;/keyword&gt;&lt;keyword&gt;User-Computer Interface&lt;/keyword&gt;&lt;/keywords&gt;&lt;dates&gt;&lt;year&gt;2010&lt;/year&gt;&lt;pub-dates&gt;&lt;date&gt;Jan 15&lt;/date&gt;&lt;/pub-dates&gt;&lt;/dates&gt;&lt;isbn&gt;1367-4811 (Electronic)&amp;#xD;1367-4803 (Linking)&lt;/isbn&gt;&lt;accession-num&gt;19914921&lt;/accession-num&gt;&lt;urls&gt;&lt;/urls&gt;&lt;custom2&gt;PMC2804299&lt;/custom2&gt;&lt;electronic-resource-num&gt;10.1093/bioinformatics/btp636&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4</w:t>
      </w:r>
      <w:r w:rsidRPr="00D30398">
        <w:rPr>
          <w:sz w:val="25"/>
          <w:szCs w:val="25"/>
        </w:rPr>
        <w:fldChar w:fldCharType="end"/>
      </w:r>
      <w:r w:rsidRPr="00D30398">
        <w:rPr>
          <w:sz w:val="25"/>
          <w:szCs w:val="25"/>
        </w:rPr>
        <w:t xml:space="preserve"> Taxonomy of the OTUs was assigned using the Ribosomal Database Project Classifier (Version 2.2) with the </w:t>
      </w:r>
      <w:r w:rsidRPr="00D30398">
        <w:rPr>
          <w:i/>
          <w:iCs/>
          <w:sz w:val="25"/>
          <w:szCs w:val="25"/>
        </w:rPr>
        <w:t xml:space="preserve">de novo </w:t>
      </w:r>
      <w:r w:rsidRPr="00D30398">
        <w:rPr>
          <w:sz w:val="25"/>
          <w:szCs w:val="25"/>
        </w:rPr>
        <w:t>OTU picking option.</w:t>
      </w:r>
      <w:r w:rsidRPr="00D30398">
        <w:rPr>
          <w:sz w:val="25"/>
          <w:szCs w:val="25"/>
        </w:rPr>
        <w:fldChar w:fldCharType="begin"/>
      </w:r>
      <w:r w:rsidR="00865D5E">
        <w:rPr>
          <w:sz w:val="25"/>
          <w:szCs w:val="25"/>
        </w:rPr>
        <w:instrText xml:space="preserve"> ADDIN EN.CITE &lt;EndNote&gt;&lt;Cite&gt;&lt;Author&gt;Wang&lt;/Author&gt;&lt;Year&gt;2007&lt;/Year&gt;&lt;RecNum&gt;326&lt;/RecNum&gt;&lt;DisplayText&gt;&lt;style face="superscript"&gt;5&lt;/style&gt;&lt;/DisplayText&gt;&lt;record&gt;&lt;rec-number&gt;326&lt;/rec-number&gt;&lt;foreign-keys&gt;&lt;key app="EN" db-id="r2r92xzfyws9vqe0rf4pvrf4axaxarrztppw" timestamp="1453819459"&gt;326&lt;/key&gt;&lt;/foreign-keys&gt;&lt;ref-type name="Journal Article"&gt;17&lt;/ref-type&gt;&lt;contributors&gt;&lt;authors&gt;&lt;author&gt;Wang, Q.&lt;/author&gt;&lt;author&gt;Garrity, G. M.&lt;/author&gt;&lt;author&gt;Tiedje, J. M.&lt;/author&gt;&lt;author&gt;Cole, J. R.&lt;/author&gt;&lt;/authors&gt;&lt;/contributors&gt;&lt;auth-address&gt;Center for Microbial Ecology, Michigan State University, East Lansing, MI 48824, USA.&lt;/auth-address&gt;&lt;titles&gt;&lt;title&gt;Naive Bayesian classifier for rapid assignment of rRNA sequences into the new bacterial taxonomy&lt;/title&gt;&lt;secondary-title&gt;Appl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microbiology&lt;/abbr-1&gt;&lt;/alt-periodical&gt;&lt;pages&gt;5261-7&lt;/pages&gt;&lt;volume&gt;73&lt;/volume&gt;&lt;number&gt;16&lt;/number&gt;&lt;edition&gt;2007/06/26&lt;/edition&gt;&lt;keywords&gt;&lt;keyword&gt;Algorithms&lt;/keyword&gt;&lt;keyword&gt;Bacteria/ classification/ genetics&lt;/keyword&gt;&lt;keyword&gt;Bayes Theorem&lt;/keyword&gt;&lt;keyword&gt;Classification/methods&lt;/keyword&gt;&lt;keyword&gt;Databases, Nucleic Acid&lt;/keyword&gt;&lt;keyword&gt;Phylogeny&lt;/keyword&gt;&lt;keyword&gt;RNA, Ribosomal/ genetics&lt;/keyword&gt;&lt;keyword&gt;RNA, Ribosomal, 16S/genetics&lt;/keyword&gt;&lt;/keywords&gt;&lt;dates&gt;&lt;year&gt;2007&lt;/year&gt;&lt;pub-dates&gt;&lt;date&gt;Aug&lt;/date&gt;&lt;/pub-dates&gt;&lt;/dates&gt;&lt;isbn&gt;0099-2240 (Print)&amp;#xD;0099-2240 (Linking)&lt;/isbn&gt;&lt;accession-num&gt;17586664&lt;/accession-num&gt;&lt;urls&gt;&lt;/urls&gt;&lt;custom2&gt;PMC1950982&lt;/custom2&gt;&lt;electronic-resource-num&gt;10.1128/aem.00062-07&lt;/electronic-resource-num&gt;&lt;remote-database-provider&gt;NLM&lt;/remote-database-provider&gt;&lt;language&gt;eng&lt;/language&gt;&lt;/record&gt;&lt;/Cite&gt;&lt;/EndNote&gt;</w:instrText>
      </w:r>
      <w:r w:rsidRPr="00D30398">
        <w:rPr>
          <w:sz w:val="25"/>
          <w:szCs w:val="25"/>
        </w:rPr>
        <w:fldChar w:fldCharType="separate"/>
      </w:r>
      <w:r w:rsidR="00865D5E" w:rsidRPr="00865D5E">
        <w:rPr>
          <w:noProof/>
          <w:sz w:val="25"/>
          <w:szCs w:val="25"/>
          <w:vertAlign w:val="superscript"/>
        </w:rPr>
        <w:t>5</w:t>
      </w:r>
      <w:r w:rsidRPr="00D30398">
        <w:rPr>
          <w:sz w:val="25"/>
          <w:szCs w:val="25"/>
        </w:rPr>
        <w:fldChar w:fldCharType="end"/>
      </w:r>
      <w:r w:rsidRPr="00D30398">
        <w:rPr>
          <w:sz w:val="25"/>
          <w:szCs w:val="25"/>
        </w:rPr>
        <w:t xml:space="preserve"> OTUs were filtered to remove singletons and unassigned OTUs, or OTUs identified as </w:t>
      </w:r>
      <w:r w:rsidRPr="0050391E">
        <w:rPr>
          <w:sz w:val="25"/>
          <w:szCs w:val="25"/>
        </w:rPr>
        <w:t>Human</w:t>
      </w:r>
      <w:r>
        <w:rPr>
          <w:sz w:val="25"/>
          <w:szCs w:val="25"/>
        </w:rPr>
        <w:t>,</w:t>
      </w:r>
      <w:r w:rsidRPr="00E30760">
        <w:rPr>
          <w:sz w:val="25"/>
          <w:szCs w:val="25"/>
        </w:rPr>
        <w:t xml:space="preserve"> Eukaryota or Cyanobacteria. </w:t>
      </w:r>
      <w:r w:rsidRPr="00D30398">
        <w:rPr>
          <w:sz w:val="25"/>
          <w:szCs w:val="25"/>
        </w:rPr>
        <w:t>The dataset was normalized to a number of OTUs above those observed in the majority of negative controls, no sample passing quality checks had fewer reads than its related negative control, and the phylogeny of all the OTUs determined. Negative controls OTUs were compared to samples to identify potential contaminants</w:t>
      </w:r>
      <w:r>
        <w:rPr>
          <w:sz w:val="25"/>
          <w:szCs w:val="25"/>
        </w:rPr>
        <w:t>;</w:t>
      </w:r>
      <w:r w:rsidRPr="00D30398">
        <w:rPr>
          <w:sz w:val="25"/>
          <w:szCs w:val="25"/>
        </w:rPr>
        <w:t xml:space="preserve"> the numbers of sequence reads obtained from negative controls was markedly lower than </w:t>
      </w:r>
      <w:r w:rsidRPr="00D30398">
        <w:rPr>
          <w:sz w:val="25"/>
          <w:szCs w:val="25"/>
        </w:rPr>
        <w:lastRenderedPageBreak/>
        <w:t xml:space="preserve">samples. </w:t>
      </w:r>
      <w:r w:rsidRPr="006973FA">
        <w:rPr>
          <w:sz w:val="25"/>
          <w:szCs w:val="25"/>
        </w:rPr>
        <w:t xml:space="preserve">Shannon-Wiener Diversity Index (SWDI) and </w:t>
      </w:r>
      <w:r>
        <w:rPr>
          <w:sz w:val="25"/>
          <w:szCs w:val="25"/>
        </w:rPr>
        <w:t>Dominance</w:t>
      </w:r>
      <w:r w:rsidRPr="006973FA">
        <w:rPr>
          <w:sz w:val="25"/>
          <w:szCs w:val="25"/>
        </w:rPr>
        <w:t xml:space="preserve"> </w:t>
      </w:r>
      <w:r>
        <w:rPr>
          <w:sz w:val="25"/>
          <w:szCs w:val="25"/>
        </w:rPr>
        <w:t>were calculated in PAST3 to determine alpha diversity of each sample</w:t>
      </w:r>
      <w:r w:rsidRPr="006973FA">
        <w:rPr>
          <w:sz w:val="25"/>
          <w:szCs w:val="25"/>
        </w:rPr>
        <w:t xml:space="preserve">. </w:t>
      </w:r>
      <w:r>
        <w:rPr>
          <w:sz w:val="25"/>
          <w:szCs w:val="25"/>
        </w:rPr>
        <w:t>The dominant phyla or genera of individual samples was defined as the phyla or genus with the highest percentage.</w:t>
      </w:r>
    </w:p>
    <w:p w14:paraId="60CFEA2A" w14:textId="77777777" w:rsidR="009B2A51" w:rsidRPr="00307998" w:rsidRDefault="009B2A51" w:rsidP="009B2A51">
      <w:pPr>
        <w:pStyle w:val="Body"/>
        <w:spacing w:line="480" w:lineRule="auto"/>
        <w:jc w:val="both"/>
        <w:rPr>
          <w:rFonts w:ascii="Times New Roman" w:hAnsi="Times New Roman" w:cs="Times New Roman"/>
          <w:sz w:val="25"/>
          <w:szCs w:val="25"/>
        </w:rPr>
      </w:pPr>
    </w:p>
    <w:p w14:paraId="23572E97" w14:textId="3EC2EE1B" w:rsidR="009B2A51" w:rsidRPr="00307998" w:rsidRDefault="009B2A51" w:rsidP="009B2A51">
      <w:pPr>
        <w:jc w:val="both"/>
        <w:rPr>
          <w:sz w:val="25"/>
          <w:szCs w:val="25"/>
        </w:rPr>
      </w:pPr>
      <w:r w:rsidRPr="00307998">
        <w:rPr>
          <w:sz w:val="25"/>
          <w:szCs w:val="25"/>
        </w:rPr>
        <w:br w:type="page"/>
      </w:r>
      <w:r w:rsidR="00374D5F">
        <w:rPr>
          <w:sz w:val="25"/>
          <w:szCs w:val="25"/>
        </w:rPr>
        <w:lastRenderedPageBreak/>
        <w:t>e-</w:t>
      </w:r>
      <w:r w:rsidRPr="00307998">
        <w:rPr>
          <w:b/>
          <w:sz w:val="25"/>
          <w:szCs w:val="25"/>
        </w:rPr>
        <w:t xml:space="preserve">Table </w:t>
      </w:r>
      <w:r>
        <w:rPr>
          <w:b/>
          <w:sz w:val="25"/>
          <w:szCs w:val="25"/>
        </w:rPr>
        <w:t>1</w:t>
      </w:r>
      <w:r w:rsidRPr="00307998">
        <w:rPr>
          <w:b/>
          <w:sz w:val="25"/>
          <w:szCs w:val="25"/>
        </w:rPr>
        <w:t>:</w:t>
      </w:r>
      <w:r w:rsidRPr="00307998">
        <w:rPr>
          <w:sz w:val="25"/>
          <w:szCs w:val="25"/>
        </w:rPr>
        <w:t xml:space="preserve"> Details of the confounding variables added into the Generalised Linear Models investigating the association between exacerbation rate and blood neutrophil counts. Two different definitions of multiple inhaler triple therapy were included.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7584"/>
      </w:tblGrid>
      <w:tr w:rsidR="009B2A51" w:rsidRPr="00307998" w14:paraId="4CD6DB5D" w14:textId="77777777" w:rsidTr="0002133E">
        <w:tc>
          <w:tcPr>
            <w:tcW w:w="2022" w:type="dxa"/>
            <w:shd w:val="clear" w:color="auto" w:fill="auto"/>
          </w:tcPr>
          <w:p w14:paraId="62A32ED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b/>
                <w:bCs/>
                <w:sz w:val="25"/>
                <w:szCs w:val="25"/>
              </w:rPr>
            </w:pPr>
            <w:r w:rsidRPr="00307998">
              <w:rPr>
                <w:b/>
                <w:bCs/>
                <w:sz w:val="25"/>
                <w:szCs w:val="25"/>
              </w:rPr>
              <w:t>Abbreviation</w:t>
            </w:r>
          </w:p>
        </w:tc>
        <w:tc>
          <w:tcPr>
            <w:tcW w:w="7584" w:type="dxa"/>
            <w:shd w:val="clear" w:color="auto" w:fill="auto"/>
          </w:tcPr>
          <w:p w14:paraId="2948119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b/>
                <w:bCs/>
                <w:sz w:val="25"/>
                <w:szCs w:val="25"/>
              </w:rPr>
            </w:pPr>
            <w:r w:rsidRPr="00307998">
              <w:rPr>
                <w:b/>
                <w:bCs/>
                <w:sz w:val="25"/>
                <w:szCs w:val="25"/>
              </w:rPr>
              <w:t>Description</w:t>
            </w:r>
          </w:p>
        </w:tc>
      </w:tr>
      <w:tr w:rsidR="009B2A51" w:rsidRPr="00307998" w14:paraId="3F323922" w14:textId="77777777" w:rsidTr="0002133E">
        <w:tc>
          <w:tcPr>
            <w:tcW w:w="2022" w:type="dxa"/>
            <w:tcBorders>
              <w:top w:val="single" w:sz="4" w:space="0" w:color="auto"/>
              <w:left w:val="single" w:sz="4" w:space="0" w:color="auto"/>
              <w:bottom w:val="single" w:sz="4" w:space="0" w:color="auto"/>
              <w:right w:val="single" w:sz="4" w:space="0" w:color="auto"/>
            </w:tcBorders>
            <w:shd w:val="clear" w:color="auto" w:fill="auto"/>
          </w:tcPr>
          <w:p w14:paraId="69AA6A0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Index date</w:t>
            </w:r>
          </w:p>
        </w:tc>
        <w:tc>
          <w:tcPr>
            <w:tcW w:w="7584" w:type="dxa"/>
            <w:tcBorders>
              <w:top w:val="single" w:sz="4" w:space="0" w:color="auto"/>
              <w:left w:val="single" w:sz="4" w:space="0" w:color="auto"/>
              <w:bottom w:val="single" w:sz="4" w:space="0" w:color="auto"/>
              <w:right w:val="single" w:sz="4" w:space="0" w:color="auto"/>
            </w:tcBorders>
            <w:shd w:val="clear" w:color="auto" w:fill="auto"/>
          </w:tcPr>
          <w:p w14:paraId="49B1A5CB"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Index date, expressed as number of days elapsed since 1st January 1900.</w:t>
            </w:r>
          </w:p>
        </w:tc>
      </w:tr>
      <w:tr w:rsidR="009B2A51" w:rsidRPr="00307998" w14:paraId="4292236D" w14:textId="77777777" w:rsidTr="0002133E">
        <w:tc>
          <w:tcPr>
            <w:tcW w:w="2022" w:type="dxa"/>
            <w:shd w:val="clear" w:color="auto" w:fill="auto"/>
          </w:tcPr>
          <w:p w14:paraId="04C6A5C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Birth year</w:t>
            </w:r>
          </w:p>
        </w:tc>
        <w:tc>
          <w:tcPr>
            <w:tcW w:w="7584" w:type="dxa"/>
            <w:shd w:val="clear" w:color="auto" w:fill="auto"/>
          </w:tcPr>
          <w:p w14:paraId="53D236E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Year of birth</w:t>
            </w:r>
          </w:p>
        </w:tc>
      </w:tr>
      <w:tr w:rsidR="009B2A51" w:rsidRPr="00307998" w14:paraId="60C3C225" w14:textId="77777777" w:rsidTr="0002133E">
        <w:tc>
          <w:tcPr>
            <w:tcW w:w="2022" w:type="dxa"/>
            <w:shd w:val="clear" w:color="auto" w:fill="auto"/>
          </w:tcPr>
          <w:p w14:paraId="7B65D3B4"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Height</w:t>
            </w:r>
          </w:p>
        </w:tc>
        <w:tc>
          <w:tcPr>
            <w:tcW w:w="7584" w:type="dxa"/>
            <w:shd w:val="clear" w:color="auto" w:fill="auto"/>
          </w:tcPr>
          <w:p w14:paraId="0C7788B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Height – the last height (in m) recorded for the individual before their index date.</w:t>
            </w:r>
          </w:p>
        </w:tc>
      </w:tr>
      <w:tr w:rsidR="009B2A51" w:rsidRPr="00307998" w14:paraId="4C2F3415" w14:textId="77777777" w:rsidTr="0002133E">
        <w:tc>
          <w:tcPr>
            <w:tcW w:w="2022" w:type="dxa"/>
            <w:shd w:val="clear" w:color="auto" w:fill="auto"/>
          </w:tcPr>
          <w:p w14:paraId="50FBE91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Weight</w:t>
            </w:r>
          </w:p>
        </w:tc>
        <w:tc>
          <w:tcPr>
            <w:tcW w:w="7584" w:type="dxa"/>
            <w:shd w:val="clear" w:color="auto" w:fill="auto"/>
          </w:tcPr>
          <w:p w14:paraId="6B2A2DE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Weight – the last weight (in kg) recorded for the individual before their index date.</w:t>
            </w:r>
          </w:p>
        </w:tc>
      </w:tr>
      <w:tr w:rsidR="009B2A51" w:rsidRPr="00307998" w14:paraId="65C6C767" w14:textId="77777777" w:rsidTr="0002133E">
        <w:tc>
          <w:tcPr>
            <w:tcW w:w="2022" w:type="dxa"/>
            <w:shd w:val="clear" w:color="auto" w:fill="auto"/>
          </w:tcPr>
          <w:p w14:paraId="49EDE29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BMI</w:t>
            </w:r>
          </w:p>
        </w:tc>
        <w:tc>
          <w:tcPr>
            <w:tcW w:w="7584" w:type="dxa"/>
            <w:shd w:val="clear" w:color="auto" w:fill="auto"/>
          </w:tcPr>
          <w:p w14:paraId="4619C5D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Body Mass Index: weight/ height^2; using last height and weight before index date (above)</w:t>
            </w:r>
          </w:p>
        </w:tc>
      </w:tr>
      <w:tr w:rsidR="009B2A51" w:rsidRPr="00307998" w14:paraId="30688839" w14:textId="77777777" w:rsidTr="0002133E">
        <w:tc>
          <w:tcPr>
            <w:tcW w:w="2022" w:type="dxa"/>
            <w:shd w:val="clear" w:color="auto" w:fill="auto"/>
          </w:tcPr>
          <w:p w14:paraId="15DCAA8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SCSIMD5</w:t>
            </w:r>
          </w:p>
        </w:tc>
        <w:tc>
          <w:tcPr>
            <w:tcW w:w="7584" w:type="dxa"/>
            <w:shd w:val="clear" w:color="auto" w:fill="auto"/>
          </w:tcPr>
          <w:p w14:paraId="4D86333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Socioeconomic status –this is the quintile (1= most deprived, 5 = most affluent) of the Scottish index of multiple deprivation for the individual’s last recorded postcode</w:t>
            </w:r>
          </w:p>
        </w:tc>
      </w:tr>
      <w:tr w:rsidR="009B2A51" w:rsidRPr="00307998" w14:paraId="1CF14D52" w14:textId="77777777" w:rsidTr="0002133E">
        <w:tc>
          <w:tcPr>
            <w:tcW w:w="2022" w:type="dxa"/>
            <w:shd w:val="clear" w:color="auto" w:fill="auto"/>
          </w:tcPr>
          <w:p w14:paraId="353EBD1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Exacerbations</w:t>
            </w:r>
          </w:p>
        </w:tc>
        <w:tc>
          <w:tcPr>
            <w:tcW w:w="7584" w:type="dxa"/>
            <w:shd w:val="clear" w:color="auto" w:fill="auto"/>
          </w:tcPr>
          <w:p w14:paraId="42E9C32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 xml:space="preserve">Number of acute exacerbations in the year up to index date. These were defined as distinct occasions when the individual received a short course, either in the community or in A&amp;E, of prednisolone (150mg&lt; total dose </w:t>
            </w:r>
            <w:r w:rsidRPr="00307998">
              <w:rPr>
                <w:sz w:val="25"/>
                <w:szCs w:val="25"/>
                <w:u w:val="single"/>
              </w:rPr>
              <w:t>&lt;</w:t>
            </w:r>
            <w:r w:rsidRPr="00307998">
              <w:rPr>
                <w:sz w:val="25"/>
                <w:szCs w:val="25"/>
              </w:rPr>
              <w:t xml:space="preserve"> 1g; if daily dose recorded it must be </w:t>
            </w:r>
            <w:r w:rsidRPr="00307998">
              <w:rPr>
                <w:sz w:val="25"/>
                <w:szCs w:val="25"/>
                <w:u w:val="single"/>
              </w:rPr>
              <w:t>&gt;</w:t>
            </w:r>
            <w:r w:rsidRPr="00307998">
              <w:rPr>
                <w:sz w:val="25"/>
                <w:szCs w:val="25"/>
              </w:rPr>
              <w:t>30mg, though directions are only available for ~30% of community prescriptions).  (Inpatient prescriptions are not recorded in the TARDIS database.)</w:t>
            </w:r>
          </w:p>
        </w:tc>
      </w:tr>
      <w:tr w:rsidR="009B2A51" w:rsidRPr="00307998" w14:paraId="17944BF7" w14:textId="77777777" w:rsidTr="0002133E">
        <w:tc>
          <w:tcPr>
            <w:tcW w:w="2022" w:type="dxa"/>
            <w:shd w:val="clear" w:color="auto" w:fill="auto"/>
          </w:tcPr>
          <w:p w14:paraId="7030109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Severe exac.</w:t>
            </w:r>
          </w:p>
        </w:tc>
        <w:tc>
          <w:tcPr>
            <w:tcW w:w="7584" w:type="dxa"/>
            <w:shd w:val="clear" w:color="auto" w:fill="auto"/>
          </w:tcPr>
          <w:p w14:paraId="7EF852F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Number of severe exacerbations in the year up to index date. These were defined as hospital inpatient admissions where the main condition was recorded as being within ICD10 code J44.</w:t>
            </w:r>
          </w:p>
        </w:tc>
      </w:tr>
      <w:tr w:rsidR="009B2A51" w:rsidRPr="00307998" w14:paraId="4E9D5836" w14:textId="77777777" w:rsidTr="0002133E">
        <w:tc>
          <w:tcPr>
            <w:tcW w:w="2022" w:type="dxa"/>
            <w:shd w:val="clear" w:color="auto" w:fill="auto"/>
          </w:tcPr>
          <w:p w14:paraId="2F33020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GOLD</w:t>
            </w:r>
          </w:p>
        </w:tc>
        <w:tc>
          <w:tcPr>
            <w:tcW w:w="7584" w:type="dxa"/>
            <w:shd w:val="clear" w:color="auto" w:fill="auto"/>
          </w:tcPr>
          <w:p w14:paraId="52E24C7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GOLD score (A-D) based on acute exacerbations, severe exacerbations and MRC dyspnoea scores recorded in the year up to index date</w:t>
            </w:r>
          </w:p>
        </w:tc>
      </w:tr>
      <w:tr w:rsidR="009B2A51" w:rsidRPr="00307998" w14:paraId="787C1B49" w14:textId="77777777" w:rsidTr="0002133E">
        <w:tc>
          <w:tcPr>
            <w:tcW w:w="2022" w:type="dxa"/>
            <w:shd w:val="clear" w:color="auto" w:fill="auto"/>
          </w:tcPr>
          <w:p w14:paraId="054DF2A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Eosinophils</w:t>
            </w:r>
          </w:p>
        </w:tc>
        <w:tc>
          <w:tcPr>
            <w:tcW w:w="7584" w:type="dxa"/>
            <w:shd w:val="clear" w:color="auto" w:fill="auto"/>
          </w:tcPr>
          <w:p w14:paraId="1A638F4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 last blood eosinophil count recorded for the individual in the year up to their index date. This is almost always from the same date as the BNC.</w:t>
            </w:r>
          </w:p>
        </w:tc>
      </w:tr>
      <w:tr w:rsidR="009B2A51" w:rsidRPr="00307998" w14:paraId="299A07B0" w14:textId="77777777" w:rsidTr="0002133E">
        <w:tc>
          <w:tcPr>
            <w:tcW w:w="2022" w:type="dxa"/>
            <w:shd w:val="clear" w:color="auto" w:fill="auto"/>
          </w:tcPr>
          <w:p w14:paraId="4C2FBBD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ICS</w:t>
            </w:r>
          </w:p>
        </w:tc>
        <w:tc>
          <w:tcPr>
            <w:tcW w:w="7584" w:type="dxa"/>
            <w:shd w:val="clear" w:color="auto" w:fill="auto"/>
          </w:tcPr>
          <w:p w14:paraId="5E4574A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inhaled corticosteriods (budesonide, ciclesonide, fluticasone, beclometasone, mometasone) in the year up to the index date.</w:t>
            </w:r>
          </w:p>
        </w:tc>
      </w:tr>
      <w:tr w:rsidR="009B2A51" w:rsidRPr="00307998" w14:paraId="10F58F83" w14:textId="77777777" w:rsidTr="0002133E">
        <w:tc>
          <w:tcPr>
            <w:tcW w:w="2022" w:type="dxa"/>
            <w:shd w:val="clear" w:color="auto" w:fill="auto"/>
          </w:tcPr>
          <w:p w14:paraId="1525A19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LABA</w:t>
            </w:r>
          </w:p>
        </w:tc>
        <w:tc>
          <w:tcPr>
            <w:tcW w:w="7584" w:type="dxa"/>
            <w:shd w:val="clear" w:color="auto" w:fill="auto"/>
          </w:tcPr>
          <w:p w14:paraId="5FB3D4B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long acting beta2-agonists (olodaterol, indacaterol, formoterol, salmeterol, vilanterol) in the year up to the index date.</w:t>
            </w:r>
          </w:p>
        </w:tc>
      </w:tr>
      <w:tr w:rsidR="009B2A51" w:rsidRPr="00307998" w14:paraId="08586F36" w14:textId="77777777" w:rsidTr="0002133E">
        <w:tc>
          <w:tcPr>
            <w:tcW w:w="2022" w:type="dxa"/>
            <w:shd w:val="clear" w:color="auto" w:fill="auto"/>
          </w:tcPr>
          <w:p w14:paraId="378F4C3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LAMA</w:t>
            </w:r>
          </w:p>
        </w:tc>
        <w:tc>
          <w:tcPr>
            <w:tcW w:w="7584" w:type="dxa"/>
            <w:shd w:val="clear" w:color="auto" w:fill="auto"/>
          </w:tcPr>
          <w:p w14:paraId="0F6A9EB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long-acting muscarinic antagonists (aclidinium, tiotropium, glycopyrronium, umeclidinium) in the year up to the index date.</w:t>
            </w:r>
          </w:p>
        </w:tc>
      </w:tr>
      <w:tr w:rsidR="009B2A51" w:rsidRPr="00307998" w14:paraId="60748898" w14:textId="77777777" w:rsidTr="0002133E">
        <w:tc>
          <w:tcPr>
            <w:tcW w:w="2022" w:type="dxa"/>
            <w:shd w:val="clear" w:color="auto" w:fill="auto"/>
          </w:tcPr>
          <w:p w14:paraId="43AF271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SABA</w:t>
            </w:r>
          </w:p>
        </w:tc>
        <w:tc>
          <w:tcPr>
            <w:tcW w:w="7584" w:type="dxa"/>
            <w:shd w:val="clear" w:color="auto" w:fill="auto"/>
          </w:tcPr>
          <w:p w14:paraId="317B40D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short acting beta2-agonists (salbutamol, terbutaline) in the year up to the index date.</w:t>
            </w:r>
          </w:p>
        </w:tc>
      </w:tr>
      <w:tr w:rsidR="009B2A51" w:rsidRPr="00307998" w14:paraId="1CD3CE13" w14:textId="77777777" w:rsidTr="0002133E">
        <w:tc>
          <w:tcPr>
            <w:tcW w:w="2022" w:type="dxa"/>
            <w:shd w:val="clear" w:color="auto" w:fill="auto"/>
          </w:tcPr>
          <w:p w14:paraId="71A92A6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SAMA</w:t>
            </w:r>
          </w:p>
        </w:tc>
        <w:tc>
          <w:tcPr>
            <w:tcW w:w="7584" w:type="dxa"/>
            <w:shd w:val="clear" w:color="auto" w:fill="auto"/>
          </w:tcPr>
          <w:p w14:paraId="01CC7C9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short-acting muscarinic antagonists (ipratropium) in the year up to the index date.</w:t>
            </w:r>
          </w:p>
        </w:tc>
      </w:tr>
      <w:tr w:rsidR="009B2A51" w:rsidRPr="00307998" w14:paraId="113371C3" w14:textId="77777777" w:rsidTr="0002133E">
        <w:tc>
          <w:tcPr>
            <w:tcW w:w="2022" w:type="dxa"/>
            <w:shd w:val="clear" w:color="auto" w:fill="auto"/>
          </w:tcPr>
          <w:p w14:paraId="04956B0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Macrolides</w:t>
            </w:r>
          </w:p>
        </w:tc>
        <w:tc>
          <w:tcPr>
            <w:tcW w:w="7584" w:type="dxa"/>
            <w:shd w:val="clear" w:color="auto" w:fill="auto"/>
          </w:tcPr>
          <w:p w14:paraId="73369D0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macrolides (erythromycin, clarithromycin, azithromycin) in the year up to the index date.</w:t>
            </w:r>
          </w:p>
        </w:tc>
      </w:tr>
      <w:tr w:rsidR="009B2A51" w:rsidRPr="00307998" w14:paraId="35EE035F" w14:textId="77777777" w:rsidTr="0002133E">
        <w:tc>
          <w:tcPr>
            <w:tcW w:w="2022" w:type="dxa"/>
            <w:shd w:val="clear" w:color="auto" w:fill="auto"/>
          </w:tcPr>
          <w:p w14:paraId="7D9FF35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Mucolytics</w:t>
            </w:r>
          </w:p>
        </w:tc>
        <w:tc>
          <w:tcPr>
            <w:tcW w:w="7584" w:type="dxa"/>
            <w:shd w:val="clear" w:color="auto" w:fill="auto"/>
          </w:tcPr>
          <w:p w14:paraId="7C46747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mucolytics (carbocisteine, erdosteine) in the year up to the index date.</w:t>
            </w:r>
          </w:p>
        </w:tc>
      </w:tr>
      <w:tr w:rsidR="009B2A51" w:rsidRPr="00307998" w14:paraId="008562C7" w14:textId="77777777" w:rsidTr="0002133E">
        <w:tc>
          <w:tcPr>
            <w:tcW w:w="2022" w:type="dxa"/>
            <w:shd w:val="clear" w:color="auto" w:fill="auto"/>
          </w:tcPr>
          <w:p w14:paraId="070411C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Theophylline</w:t>
            </w:r>
          </w:p>
        </w:tc>
        <w:tc>
          <w:tcPr>
            <w:tcW w:w="7584" w:type="dxa"/>
            <w:shd w:val="clear" w:color="auto" w:fill="auto"/>
          </w:tcPr>
          <w:p w14:paraId="422AD6F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theophylline in the year up to the index date.</w:t>
            </w:r>
          </w:p>
        </w:tc>
      </w:tr>
      <w:tr w:rsidR="009B2A51" w:rsidRPr="00307998" w14:paraId="07B3E743" w14:textId="77777777" w:rsidTr="0002133E">
        <w:tc>
          <w:tcPr>
            <w:tcW w:w="2022" w:type="dxa"/>
            <w:shd w:val="clear" w:color="auto" w:fill="auto"/>
          </w:tcPr>
          <w:p w14:paraId="182B23BE"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lastRenderedPageBreak/>
              <w:t>Antibiotics</w:t>
            </w:r>
          </w:p>
        </w:tc>
        <w:tc>
          <w:tcPr>
            <w:tcW w:w="7584" w:type="dxa"/>
            <w:shd w:val="clear" w:color="auto" w:fill="auto"/>
          </w:tcPr>
          <w:p w14:paraId="4A06F36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Received at least one prescription for relevant antibiotics (amoxicillin; co-amoxiclav; doxycycline; clarithromycin) in the year up to the index date.</w:t>
            </w:r>
          </w:p>
        </w:tc>
      </w:tr>
      <w:tr w:rsidR="009B2A51" w:rsidRPr="00307998" w14:paraId="05CDC69C" w14:textId="77777777" w:rsidTr="0002133E">
        <w:tc>
          <w:tcPr>
            <w:tcW w:w="2022" w:type="dxa"/>
            <w:shd w:val="clear" w:color="auto" w:fill="auto"/>
          </w:tcPr>
          <w:p w14:paraId="1BBB994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Short ab</w:t>
            </w:r>
          </w:p>
        </w:tc>
        <w:tc>
          <w:tcPr>
            <w:tcW w:w="7584" w:type="dxa"/>
            <w:shd w:val="clear" w:color="auto" w:fill="auto"/>
          </w:tcPr>
          <w:p w14:paraId="06F5265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The number of short courses (prescriptions  lasting 5-7 days, where directions were recorded) of antibiotics (for a total amount of: up to 21g total amoxicillin; 9-14g co-amoxiclav; up to 1.4g doxycycline; or up to 7g clarithromycin) in the year up to the index date.</w:t>
            </w:r>
          </w:p>
        </w:tc>
      </w:tr>
      <w:tr w:rsidR="009B2A51" w:rsidRPr="00307998" w14:paraId="1E6EA0DD" w14:textId="77777777" w:rsidTr="0002133E">
        <w:tc>
          <w:tcPr>
            <w:tcW w:w="2022" w:type="dxa"/>
            <w:shd w:val="clear" w:color="auto" w:fill="auto"/>
          </w:tcPr>
          <w:p w14:paraId="4248F5B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MITT1</w:t>
            </w:r>
          </w:p>
        </w:tc>
        <w:tc>
          <w:tcPr>
            <w:tcW w:w="7584" w:type="dxa"/>
            <w:shd w:val="clear" w:color="auto" w:fill="auto"/>
          </w:tcPr>
          <w:p w14:paraId="040712F3"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 xml:space="preserve">Multiple inhaler triple therapy. Definition 1: At least 1 day in the year up to the index date where the coverage of a LABA a LAMA and an ICS prescription overlapped. </w:t>
            </w:r>
          </w:p>
        </w:tc>
      </w:tr>
      <w:tr w:rsidR="009B2A51" w:rsidRPr="00307998" w14:paraId="020B77B8" w14:textId="77777777" w:rsidTr="0002133E">
        <w:tc>
          <w:tcPr>
            <w:tcW w:w="2022" w:type="dxa"/>
            <w:shd w:val="clear" w:color="auto" w:fill="auto"/>
          </w:tcPr>
          <w:p w14:paraId="151DF4B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MITT2</w:t>
            </w:r>
          </w:p>
        </w:tc>
        <w:tc>
          <w:tcPr>
            <w:tcW w:w="7584" w:type="dxa"/>
            <w:shd w:val="clear" w:color="auto" w:fill="auto"/>
          </w:tcPr>
          <w:p w14:paraId="3940B278"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Multiple inhaler triple therapy. Definition 2: At least 2 prescriptions of LABA, LAMA and ICS received in the year up to index date.</w:t>
            </w:r>
          </w:p>
        </w:tc>
      </w:tr>
      <w:tr w:rsidR="009B2A51" w:rsidRPr="00307998" w14:paraId="44BE42E0" w14:textId="77777777" w:rsidTr="0002133E">
        <w:tc>
          <w:tcPr>
            <w:tcW w:w="2022" w:type="dxa"/>
            <w:shd w:val="clear" w:color="auto" w:fill="auto"/>
          </w:tcPr>
          <w:p w14:paraId="0CFC845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Chronicbronchitis</w:t>
            </w:r>
          </w:p>
        </w:tc>
        <w:tc>
          <w:tcPr>
            <w:tcW w:w="7584" w:type="dxa"/>
            <w:shd w:val="clear" w:color="auto" w:fill="auto"/>
          </w:tcPr>
          <w:p w14:paraId="4E6CF34A"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hospital inpatient admission where ICD10 code J41 or J42 is recorded as the main condition in the year up to the index date, or a record of sputum production at a TARDIS visit.</w:t>
            </w:r>
          </w:p>
        </w:tc>
      </w:tr>
      <w:tr w:rsidR="009B2A51" w:rsidRPr="00307998" w14:paraId="548E96B1" w14:textId="77777777" w:rsidTr="0002133E">
        <w:tc>
          <w:tcPr>
            <w:tcW w:w="2022" w:type="dxa"/>
            <w:shd w:val="clear" w:color="auto" w:fill="auto"/>
          </w:tcPr>
          <w:p w14:paraId="52187699"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CMHs</w:t>
            </w:r>
          </w:p>
        </w:tc>
        <w:tc>
          <w:tcPr>
            <w:tcW w:w="7584" w:type="dxa"/>
            <w:shd w:val="clear" w:color="auto" w:fill="auto"/>
          </w:tcPr>
          <w:p w14:paraId="0F8AA2A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rStyle w:val="st"/>
                <w:sz w:val="25"/>
                <w:szCs w:val="25"/>
              </w:rPr>
              <w:t>Chronic mucus hypersecretion, defined as more than one record of both cough and sputum production, within the TARDIS dataset, in the year up to the index date.</w:t>
            </w:r>
          </w:p>
        </w:tc>
      </w:tr>
      <w:tr w:rsidR="009B2A51" w:rsidRPr="00307998" w14:paraId="2754AF4B" w14:textId="77777777" w:rsidTr="0002133E">
        <w:tc>
          <w:tcPr>
            <w:tcW w:w="2022" w:type="dxa"/>
            <w:shd w:val="clear" w:color="auto" w:fill="auto"/>
          </w:tcPr>
          <w:p w14:paraId="7D37DCB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Asthma</w:t>
            </w:r>
          </w:p>
        </w:tc>
        <w:tc>
          <w:tcPr>
            <w:tcW w:w="7584" w:type="dxa"/>
            <w:shd w:val="clear" w:color="auto" w:fill="auto"/>
          </w:tcPr>
          <w:p w14:paraId="631B3F3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 record in TARDIS or EMBARC of the individual reporting having asthma, or an admission with main condition recorded as ICD10 code J10 before the individuals’ index date.</w:t>
            </w:r>
          </w:p>
        </w:tc>
      </w:tr>
      <w:tr w:rsidR="009B2A51" w:rsidRPr="00307998" w14:paraId="15646564" w14:textId="77777777" w:rsidTr="0002133E">
        <w:tc>
          <w:tcPr>
            <w:tcW w:w="2022" w:type="dxa"/>
            <w:shd w:val="clear" w:color="auto" w:fill="auto"/>
          </w:tcPr>
          <w:p w14:paraId="76D59E5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Cancer</w:t>
            </w:r>
          </w:p>
        </w:tc>
        <w:tc>
          <w:tcPr>
            <w:tcW w:w="7584" w:type="dxa"/>
            <w:shd w:val="clear" w:color="auto" w:fill="auto"/>
          </w:tcPr>
          <w:p w14:paraId="7C2793F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 diagnosis of any cancer recorded the Scottish Cancer Registry. TARDIS or EMBARC.</w:t>
            </w:r>
          </w:p>
        </w:tc>
      </w:tr>
      <w:tr w:rsidR="009B2A51" w:rsidRPr="00307998" w14:paraId="05E24528" w14:textId="77777777" w:rsidTr="0002133E">
        <w:tc>
          <w:tcPr>
            <w:tcW w:w="2022" w:type="dxa"/>
            <w:shd w:val="clear" w:color="auto" w:fill="auto"/>
          </w:tcPr>
          <w:p w14:paraId="47926E24"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CVD</w:t>
            </w:r>
          </w:p>
        </w:tc>
        <w:tc>
          <w:tcPr>
            <w:tcW w:w="7584" w:type="dxa"/>
            <w:shd w:val="clear" w:color="auto" w:fill="auto"/>
          </w:tcPr>
          <w:p w14:paraId="5798397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Any record of cardiovascular disease in the EMBARC or TARDIS datasets or an admission, with main condition in ICD codes I20-I25 in the year up to index date.</w:t>
            </w:r>
          </w:p>
        </w:tc>
      </w:tr>
      <w:tr w:rsidR="009B2A51" w:rsidRPr="00307998" w14:paraId="10156111" w14:textId="77777777" w:rsidTr="0002133E">
        <w:tc>
          <w:tcPr>
            <w:tcW w:w="2022" w:type="dxa"/>
            <w:shd w:val="clear" w:color="auto" w:fill="auto"/>
          </w:tcPr>
          <w:p w14:paraId="5483D3B7"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Depressionp</w:t>
            </w:r>
          </w:p>
        </w:tc>
        <w:tc>
          <w:tcPr>
            <w:tcW w:w="7584" w:type="dxa"/>
            <w:shd w:val="clear" w:color="auto" w:fill="auto"/>
          </w:tcPr>
          <w:p w14:paraId="605DF88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Depression: At least one prescription within BNF code 4.3 in the year to index date.</w:t>
            </w:r>
          </w:p>
        </w:tc>
      </w:tr>
      <w:tr w:rsidR="009B2A51" w:rsidRPr="00307998" w14:paraId="7CFD3DFD" w14:textId="77777777" w:rsidTr="0002133E">
        <w:tc>
          <w:tcPr>
            <w:tcW w:w="2022" w:type="dxa"/>
            <w:shd w:val="clear" w:color="auto" w:fill="auto"/>
          </w:tcPr>
          <w:p w14:paraId="1F3977D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Diabetes</w:t>
            </w:r>
          </w:p>
        </w:tc>
        <w:tc>
          <w:tcPr>
            <w:tcW w:w="7584" w:type="dxa"/>
            <w:shd w:val="clear" w:color="auto" w:fill="auto"/>
          </w:tcPr>
          <w:p w14:paraId="7AB7EC9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Diabetes: either presence in the SCIDIABETES dataset before the index date or a prescription within BNF code 6.1in the year to index, or diabetes recorded in the EMBARC database.</w:t>
            </w:r>
          </w:p>
        </w:tc>
      </w:tr>
      <w:tr w:rsidR="009B2A51" w:rsidRPr="00307998" w14:paraId="72598F5B" w14:textId="77777777" w:rsidTr="0002133E">
        <w:tc>
          <w:tcPr>
            <w:tcW w:w="2022" w:type="dxa"/>
            <w:shd w:val="clear" w:color="auto" w:fill="auto"/>
          </w:tcPr>
          <w:p w14:paraId="1A4015F6"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Hypertension</w:t>
            </w:r>
          </w:p>
        </w:tc>
        <w:tc>
          <w:tcPr>
            <w:tcW w:w="7584" w:type="dxa"/>
            <w:shd w:val="clear" w:color="auto" w:fill="auto"/>
          </w:tcPr>
          <w:p w14:paraId="27974C5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Hypertension: a hospital inpatient admission where ICD10 code I1 is recorded as the main condition in the year up to the index date</w:t>
            </w:r>
          </w:p>
        </w:tc>
      </w:tr>
      <w:tr w:rsidR="009B2A51" w:rsidRPr="00307998" w14:paraId="593E989C" w14:textId="77777777" w:rsidTr="0002133E">
        <w:tc>
          <w:tcPr>
            <w:tcW w:w="2022" w:type="dxa"/>
            <w:shd w:val="clear" w:color="auto" w:fill="auto"/>
          </w:tcPr>
          <w:p w14:paraId="70DD94C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Osteoporosis</w:t>
            </w:r>
          </w:p>
        </w:tc>
        <w:tc>
          <w:tcPr>
            <w:tcW w:w="7584" w:type="dxa"/>
            <w:shd w:val="clear" w:color="auto" w:fill="auto"/>
          </w:tcPr>
          <w:p w14:paraId="7FA0DCAB"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record of osteoporosis in the TARDIS or EMBARC datasets or receipt of a prescription within BNF code 6.6.</w:t>
            </w:r>
          </w:p>
        </w:tc>
      </w:tr>
      <w:tr w:rsidR="009B2A51" w:rsidRPr="00307998" w14:paraId="09999C5F" w14:textId="77777777" w:rsidTr="0002133E">
        <w:tc>
          <w:tcPr>
            <w:tcW w:w="2022" w:type="dxa"/>
            <w:shd w:val="clear" w:color="auto" w:fill="auto"/>
          </w:tcPr>
          <w:p w14:paraId="517188B0"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Stroke</w:t>
            </w:r>
          </w:p>
        </w:tc>
        <w:tc>
          <w:tcPr>
            <w:tcW w:w="7584" w:type="dxa"/>
            <w:shd w:val="clear" w:color="auto" w:fill="auto"/>
          </w:tcPr>
          <w:p w14:paraId="0B95B6FC"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Either a hospital inpatient admission where the main condition was recorded as being within ICD10 code I6 in the year up to the index date, or a record of “VascularComorbiditiesStrokeorTransientIschaemicAttack” in the EMBARC dataset.</w:t>
            </w:r>
          </w:p>
        </w:tc>
      </w:tr>
      <w:tr w:rsidR="009B2A51" w:rsidRPr="00307998" w14:paraId="61C28896" w14:textId="77777777" w:rsidTr="0002133E">
        <w:tc>
          <w:tcPr>
            <w:tcW w:w="2022" w:type="dxa"/>
            <w:shd w:val="clear" w:color="auto" w:fill="auto"/>
          </w:tcPr>
          <w:p w14:paraId="65108C2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ACEI</w:t>
            </w:r>
          </w:p>
        </w:tc>
        <w:tc>
          <w:tcPr>
            <w:tcW w:w="7584" w:type="dxa"/>
            <w:shd w:val="clear" w:color="auto" w:fill="auto"/>
          </w:tcPr>
          <w:p w14:paraId="46DE85DF"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an ACE inhibitor (BNF code 2.5.5.1) in the year to index date.</w:t>
            </w:r>
          </w:p>
        </w:tc>
      </w:tr>
      <w:tr w:rsidR="009B2A51" w:rsidRPr="00307998" w14:paraId="36F704F8" w14:textId="77777777" w:rsidTr="0002133E">
        <w:tc>
          <w:tcPr>
            <w:tcW w:w="2022" w:type="dxa"/>
            <w:shd w:val="clear" w:color="auto" w:fill="auto"/>
          </w:tcPr>
          <w:p w14:paraId="7EFED4C1"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PPI</w:t>
            </w:r>
          </w:p>
        </w:tc>
        <w:tc>
          <w:tcPr>
            <w:tcW w:w="7584" w:type="dxa"/>
            <w:shd w:val="clear" w:color="auto" w:fill="auto"/>
          </w:tcPr>
          <w:p w14:paraId="1134F065"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proton pump inhibitors (BNF code 1.3.5) in the year to index date.</w:t>
            </w:r>
          </w:p>
        </w:tc>
      </w:tr>
      <w:tr w:rsidR="009B2A51" w:rsidRPr="00307998" w14:paraId="4A7DEF32" w14:textId="77777777" w:rsidTr="0002133E">
        <w:tc>
          <w:tcPr>
            <w:tcW w:w="2022" w:type="dxa"/>
            <w:shd w:val="clear" w:color="auto" w:fill="auto"/>
          </w:tcPr>
          <w:p w14:paraId="3D86735D"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Statin</w:t>
            </w:r>
          </w:p>
        </w:tc>
        <w:tc>
          <w:tcPr>
            <w:tcW w:w="7584" w:type="dxa"/>
            <w:shd w:val="clear" w:color="auto" w:fill="auto"/>
          </w:tcPr>
          <w:p w14:paraId="6A048562" w14:textId="77777777" w:rsidR="009B2A51" w:rsidRPr="00307998" w:rsidRDefault="009B2A51" w:rsidP="0002133E">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t>At least one prescription for a statin (BNF code in 2.12) in the year to index date.</w:t>
            </w:r>
          </w:p>
        </w:tc>
      </w:tr>
    </w:tbl>
    <w:p w14:paraId="5C4E2EE6" w14:textId="77777777" w:rsidR="009B2A51" w:rsidRPr="00307998" w:rsidRDefault="009B2A51" w:rsidP="009B2A51">
      <w:pPr>
        <w:rPr>
          <w:sz w:val="25"/>
          <w:szCs w:val="25"/>
        </w:rPr>
      </w:pPr>
    </w:p>
    <w:p w14:paraId="3E6A1050" w14:textId="77777777" w:rsidR="009B2A51" w:rsidRPr="00307998" w:rsidRDefault="009B2A51" w:rsidP="009B2A51">
      <w:pPr>
        <w:rPr>
          <w:noProof/>
          <w:sz w:val="25"/>
          <w:szCs w:val="25"/>
          <w:lang w:eastAsia="zh-CN"/>
        </w:rPr>
      </w:pPr>
      <w:r w:rsidRPr="00307998">
        <w:rPr>
          <w:noProof/>
          <w:sz w:val="25"/>
          <w:szCs w:val="25"/>
          <w:lang w:eastAsia="en-GB"/>
        </w:rPr>
        <w:lastRenderedPageBreak/>
        <w:drawing>
          <wp:inline distT="0" distB="0" distL="0" distR="0" wp14:anchorId="29988FA0" wp14:editId="5CCAC5EA">
            <wp:extent cx="5727700" cy="5118100"/>
            <wp:effectExtent l="0" t="0" r="6350" b="6350"/>
            <wp:docPr id="17" name="Picture 17" descr="C:\mike\COPD\GSK\results260819\paper_eosinophil_figure_su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ke\COPD\GSK\results260819\paper_eosinophil_figure_supp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p>
    <w:p w14:paraId="06008FFA" w14:textId="6E52E662" w:rsidR="009B2A51" w:rsidRDefault="00374D5F" w:rsidP="009B2A51">
      <w:pPr>
        <w:pStyle w:val="Body"/>
        <w:spacing w:line="240" w:lineRule="auto"/>
        <w:jc w:val="both"/>
        <w:rPr>
          <w:sz w:val="25"/>
          <w:szCs w:val="25"/>
        </w:rPr>
      </w:pPr>
      <w:r>
        <w:rPr>
          <w:rFonts w:ascii="Times New Roman" w:hAnsi="Times New Roman" w:cs="Times New Roman"/>
          <w:b/>
          <w:bCs/>
          <w:noProof/>
          <w:sz w:val="25"/>
          <w:szCs w:val="25"/>
          <w:lang w:eastAsia="zh-CN"/>
        </w:rPr>
        <w:t>e-</w:t>
      </w:r>
      <w:r w:rsidR="009B2A51" w:rsidRPr="00307998">
        <w:rPr>
          <w:rFonts w:ascii="Times New Roman" w:hAnsi="Times New Roman" w:cs="Times New Roman"/>
          <w:b/>
          <w:bCs/>
          <w:noProof/>
          <w:sz w:val="25"/>
          <w:szCs w:val="25"/>
          <w:lang w:eastAsia="zh-CN"/>
        </w:rPr>
        <w:t>Figure 1:</w:t>
      </w:r>
      <w:r w:rsidR="009B2A51" w:rsidRPr="00307998">
        <w:rPr>
          <w:rFonts w:ascii="Times New Roman" w:hAnsi="Times New Roman" w:cs="Times New Roman"/>
          <w:noProof/>
          <w:sz w:val="25"/>
          <w:szCs w:val="25"/>
          <w:lang w:eastAsia="zh-CN"/>
        </w:rPr>
        <w:t xml:space="preserve"> </w:t>
      </w:r>
      <w:r w:rsidR="009B2A51" w:rsidRPr="00307998">
        <w:rPr>
          <w:rFonts w:ascii="Times New Roman" w:hAnsi="Times New Roman" w:cs="Times New Roman"/>
          <w:b/>
          <w:bCs/>
          <w:sz w:val="25"/>
          <w:szCs w:val="25"/>
        </w:rPr>
        <w:t>A</w:t>
      </w:r>
      <w:r w:rsidR="009B2A51" w:rsidRPr="00307998">
        <w:rPr>
          <w:rFonts w:ascii="Times New Roman" w:hAnsi="Times New Roman" w:cs="Times New Roman"/>
          <w:sz w:val="25"/>
          <w:szCs w:val="25"/>
        </w:rPr>
        <w:t xml:space="preserve">: Kaplan Meier survival curves, with 95% confidence intervals, showing all-cause mortality for the blood eosinophil groups adjusted for age, sex, and smoking status. The low eosinophil group is blue; the normal group is black; the elevated group is red and the extreme group is green. </w:t>
      </w:r>
      <w:r w:rsidR="009B2A51" w:rsidRPr="00307998">
        <w:rPr>
          <w:rFonts w:ascii="Times New Roman" w:hAnsi="Times New Roman" w:cs="Times New Roman"/>
          <w:b/>
          <w:bCs/>
          <w:sz w:val="25"/>
          <w:szCs w:val="25"/>
        </w:rPr>
        <w:t>B</w:t>
      </w:r>
      <w:r w:rsidR="009B2A51" w:rsidRPr="00307998">
        <w:rPr>
          <w:rFonts w:ascii="Times New Roman" w:hAnsi="Times New Roman" w:cs="Times New Roman"/>
          <w:sz w:val="25"/>
          <w:szCs w:val="25"/>
        </w:rPr>
        <w:t xml:space="preserve">: As </w:t>
      </w:r>
      <w:r w:rsidR="009B2A51" w:rsidRPr="00307998">
        <w:rPr>
          <w:rFonts w:ascii="Times New Roman" w:hAnsi="Times New Roman" w:cs="Times New Roman"/>
          <w:b/>
          <w:bCs/>
          <w:sz w:val="25"/>
          <w:szCs w:val="25"/>
        </w:rPr>
        <w:t>A</w:t>
      </w:r>
      <w:r w:rsidR="009B2A51" w:rsidRPr="00307998">
        <w:rPr>
          <w:rFonts w:ascii="Times New Roman" w:hAnsi="Times New Roman" w:cs="Times New Roman"/>
          <w:sz w:val="25"/>
          <w:szCs w:val="25"/>
        </w:rPr>
        <w:t xml:space="preserve">, but representing mortality recorded as ICD10 J44, with all other mortality as a competing risk. </w:t>
      </w:r>
      <w:r w:rsidR="009B2A51" w:rsidRPr="00307998">
        <w:rPr>
          <w:rFonts w:ascii="Times New Roman" w:hAnsi="Times New Roman" w:cs="Times New Roman"/>
          <w:b/>
          <w:bCs/>
          <w:sz w:val="25"/>
          <w:szCs w:val="25"/>
        </w:rPr>
        <w:t>C</w:t>
      </w:r>
      <w:r w:rsidR="009B2A51" w:rsidRPr="00307998">
        <w:rPr>
          <w:rFonts w:ascii="Times New Roman" w:hAnsi="Times New Roman" w:cs="Times New Roman"/>
          <w:sz w:val="25"/>
          <w:szCs w:val="25"/>
        </w:rPr>
        <w:t xml:space="preserve">: Ratios of the numbers of all, and severe, exacerbations over the year from the index date from both unadjusted models and models adjusted for age, sex and smoking status. All are relative to the normal blood eosinophil group. </w:t>
      </w:r>
      <w:r w:rsidR="009B2A51" w:rsidRPr="00307998">
        <w:rPr>
          <w:rFonts w:ascii="Times New Roman" w:hAnsi="Times New Roman" w:cs="Times New Roman"/>
          <w:b/>
          <w:sz w:val="25"/>
          <w:szCs w:val="25"/>
        </w:rPr>
        <w:t>D:</w:t>
      </w:r>
      <w:r w:rsidR="009B2A51" w:rsidRPr="00307998">
        <w:rPr>
          <w:rFonts w:ascii="Times New Roman" w:hAnsi="Times New Roman" w:cs="Times New Roman"/>
          <w:sz w:val="25"/>
          <w:szCs w:val="25"/>
        </w:rPr>
        <w:t xml:space="preserve"> Rates of change of FEV</w:t>
      </w:r>
      <w:r w:rsidR="009B2A51" w:rsidRPr="00307998">
        <w:rPr>
          <w:rFonts w:ascii="Times New Roman" w:hAnsi="Times New Roman" w:cs="Times New Roman"/>
          <w:sz w:val="25"/>
          <w:szCs w:val="25"/>
          <w:vertAlign w:val="subscript"/>
        </w:rPr>
        <w:t>1</w:t>
      </w:r>
      <w:r w:rsidR="009B2A51" w:rsidRPr="00307998">
        <w:rPr>
          <w:rFonts w:ascii="Times New Roman" w:hAnsi="Times New Roman" w:cs="Times New Roman"/>
          <w:sz w:val="25"/>
          <w:szCs w:val="25"/>
        </w:rPr>
        <w:t xml:space="preserve">, estimated by fitting mixed models to either all data or only that obtained in the three years from each individual’s index date. </w:t>
      </w:r>
      <w:r w:rsidR="009B2A51">
        <w:rPr>
          <w:rFonts w:ascii="Times New Roman" w:hAnsi="Times New Roman" w:cs="Times New Roman"/>
          <w:sz w:val="25"/>
          <w:szCs w:val="25"/>
        </w:rPr>
        <w:br w:type="page"/>
      </w:r>
    </w:p>
    <w:p w14:paraId="5EA02529" w14:textId="2BA39395" w:rsidR="009B2A51" w:rsidRPr="00307998" w:rsidRDefault="00374D5F" w:rsidP="009B2A51">
      <w:pPr>
        <w:jc w:val="both"/>
        <w:rPr>
          <w:sz w:val="25"/>
          <w:szCs w:val="25"/>
        </w:rPr>
      </w:pPr>
      <w:r>
        <w:rPr>
          <w:b/>
          <w:sz w:val="25"/>
          <w:szCs w:val="25"/>
        </w:rPr>
        <w:lastRenderedPageBreak/>
        <w:t>e-</w:t>
      </w:r>
      <w:r w:rsidR="009B2A51" w:rsidRPr="00307998">
        <w:rPr>
          <w:b/>
          <w:sz w:val="25"/>
          <w:szCs w:val="25"/>
        </w:rPr>
        <w:t xml:space="preserve">Table </w:t>
      </w:r>
      <w:r w:rsidR="009B2A51">
        <w:rPr>
          <w:b/>
          <w:sz w:val="25"/>
          <w:szCs w:val="25"/>
        </w:rPr>
        <w:t>2</w:t>
      </w:r>
      <w:r w:rsidR="009B2A51" w:rsidRPr="00307998">
        <w:rPr>
          <w:sz w:val="25"/>
          <w:szCs w:val="25"/>
        </w:rPr>
        <w:t>: Effect sizes (95% confidence intervals), for the group with elevated blood eosinophils relative to those with eosinophils in the normal range, estimated from the models.</w:t>
      </w:r>
    </w:p>
    <w:tbl>
      <w:tblPr>
        <w:tblStyle w:val="TableGrid"/>
        <w:tblW w:w="0" w:type="auto"/>
        <w:tblLook w:val="04A0" w:firstRow="1" w:lastRow="0" w:firstColumn="1" w:lastColumn="0" w:noHBand="0" w:noVBand="1"/>
      </w:tblPr>
      <w:tblGrid>
        <w:gridCol w:w="1794"/>
        <w:gridCol w:w="1251"/>
        <w:gridCol w:w="985"/>
        <w:gridCol w:w="2469"/>
        <w:gridCol w:w="2511"/>
      </w:tblGrid>
      <w:tr w:rsidR="009B2A51" w:rsidRPr="00307998" w14:paraId="74B4558A" w14:textId="77777777" w:rsidTr="0002133E">
        <w:tc>
          <w:tcPr>
            <w:tcW w:w="3085" w:type="dxa"/>
            <w:gridSpan w:val="2"/>
          </w:tcPr>
          <w:p w14:paraId="40BE90B4" w14:textId="77777777" w:rsidR="009B2A51" w:rsidRPr="00307998" w:rsidRDefault="009B2A51" w:rsidP="0002133E">
            <w:pPr>
              <w:jc w:val="center"/>
              <w:rPr>
                <w:sz w:val="25"/>
                <w:szCs w:val="25"/>
              </w:rPr>
            </w:pPr>
            <w:r w:rsidRPr="00307998">
              <w:rPr>
                <w:sz w:val="25"/>
                <w:szCs w:val="25"/>
              </w:rPr>
              <w:t>Response</w:t>
            </w:r>
          </w:p>
        </w:tc>
        <w:tc>
          <w:tcPr>
            <w:tcW w:w="992" w:type="dxa"/>
          </w:tcPr>
          <w:p w14:paraId="69C21810" w14:textId="77777777" w:rsidR="009B2A51" w:rsidRPr="00307998" w:rsidRDefault="009B2A51" w:rsidP="0002133E">
            <w:pPr>
              <w:rPr>
                <w:sz w:val="25"/>
                <w:szCs w:val="25"/>
              </w:rPr>
            </w:pPr>
          </w:p>
        </w:tc>
        <w:tc>
          <w:tcPr>
            <w:tcW w:w="2552" w:type="dxa"/>
          </w:tcPr>
          <w:p w14:paraId="56221360" w14:textId="77777777" w:rsidR="009B2A51" w:rsidRPr="00307998" w:rsidRDefault="009B2A51" w:rsidP="0002133E">
            <w:pPr>
              <w:rPr>
                <w:sz w:val="25"/>
                <w:szCs w:val="25"/>
              </w:rPr>
            </w:pPr>
            <w:r w:rsidRPr="00307998">
              <w:rPr>
                <w:sz w:val="25"/>
                <w:szCs w:val="25"/>
              </w:rPr>
              <w:t>unadjusted</w:t>
            </w:r>
          </w:p>
        </w:tc>
        <w:tc>
          <w:tcPr>
            <w:tcW w:w="2613" w:type="dxa"/>
          </w:tcPr>
          <w:p w14:paraId="744E237D" w14:textId="77777777" w:rsidR="009B2A51" w:rsidRPr="00307998" w:rsidRDefault="009B2A51" w:rsidP="0002133E">
            <w:pPr>
              <w:rPr>
                <w:sz w:val="25"/>
                <w:szCs w:val="25"/>
              </w:rPr>
            </w:pPr>
            <w:r w:rsidRPr="00307998">
              <w:rPr>
                <w:sz w:val="25"/>
                <w:szCs w:val="25"/>
              </w:rPr>
              <w:t>adjusted for age, sex and smoking</w:t>
            </w:r>
          </w:p>
        </w:tc>
      </w:tr>
      <w:tr w:rsidR="009B2A51" w:rsidRPr="00307998" w14:paraId="19B6A7ED" w14:textId="77777777" w:rsidTr="0002133E">
        <w:tc>
          <w:tcPr>
            <w:tcW w:w="1806" w:type="dxa"/>
            <w:vMerge w:val="restart"/>
          </w:tcPr>
          <w:p w14:paraId="454274F6" w14:textId="77777777" w:rsidR="009B2A51" w:rsidRPr="00307998" w:rsidRDefault="009B2A51" w:rsidP="0002133E">
            <w:pPr>
              <w:rPr>
                <w:sz w:val="25"/>
                <w:szCs w:val="25"/>
              </w:rPr>
            </w:pPr>
            <w:r>
              <w:rPr>
                <w:sz w:val="25"/>
                <w:szCs w:val="25"/>
              </w:rPr>
              <w:t>M</w:t>
            </w:r>
            <w:r w:rsidRPr="00307998">
              <w:rPr>
                <w:sz w:val="25"/>
                <w:szCs w:val="25"/>
              </w:rPr>
              <w:t>ortality</w:t>
            </w:r>
          </w:p>
        </w:tc>
        <w:tc>
          <w:tcPr>
            <w:tcW w:w="1279" w:type="dxa"/>
          </w:tcPr>
          <w:p w14:paraId="218DD584" w14:textId="77777777" w:rsidR="009B2A51" w:rsidRPr="00307998" w:rsidRDefault="009B2A51" w:rsidP="0002133E">
            <w:pPr>
              <w:rPr>
                <w:sz w:val="25"/>
                <w:szCs w:val="25"/>
              </w:rPr>
            </w:pPr>
            <w:r w:rsidRPr="00307998">
              <w:rPr>
                <w:sz w:val="25"/>
                <w:szCs w:val="25"/>
              </w:rPr>
              <w:t>all</w:t>
            </w:r>
          </w:p>
        </w:tc>
        <w:tc>
          <w:tcPr>
            <w:tcW w:w="992" w:type="dxa"/>
            <w:vMerge w:val="restart"/>
          </w:tcPr>
          <w:p w14:paraId="5944DBC1" w14:textId="77777777" w:rsidR="009B2A51" w:rsidRPr="00307998" w:rsidRDefault="009B2A51" w:rsidP="0002133E">
            <w:pPr>
              <w:rPr>
                <w:sz w:val="25"/>
                <w:szCs w:val="25"/>
              </w:rPr>
            </w:pPr>
            <w:r w:rsidRPr="00307998">
              <w:rPr>
                <w:sz w:val="25"/>
                <w:szCs w:val="25"/>
              </w:rPr>
              <w:t>hazard ratio</w:t>
            </w:r>
          </w:p>
        </w:tc>
        <w:tc>
          <w:tcPr>
            <w:tcW w:w="2552" w:type="dxa"/>
          </w:tcPr>
          <w:p w14:paraId="41AF5ACC" w14:textId="77777777" w:rsidR="009B2A51" w:rsidRPr="00307998" w:rsidRDefault="009B2A51" w:rsidP="0002133E">
            <w:pPr>
              <w:rPr>
                <w:sz w:val="25"/>
                <w:szCs w:val="25"/>
              </w:rPr>
            </w:pPr>
            <w:r w:rsidRPr="00307998">
              <w:rPr>
                <w:sz w:val="25"/>
                <w:szCs w:val="25"/>
              </w:rPr>
              <w:t>1.06 (0.96, 1.16)</w:t>
            </w:r>
          </w:p>
        </w:tc>
        <w:tc>
          <w:tcPr>
            <w:tcW w:w="2613" w:type="dxa"/>
          </w:tcPr>
          <w:p w14:paraId="7F3B1C39" w14:textId="77777777" w:rsidR="009B2A51" w:rsidRPr="00307998" w:rsidRDefault="009B2A51" w:rsidP="0002133E">
            <w:pPr>
              <w:rPr>
                <w:sz w:val="25"/>
                <w:szCs w:val="25"/>
              </w:rPr>
            </w:pPr>
            <w:r w:rsidRPr="00307998">
              <w:rPr>
                <w:sz w:val="25"/>
                <w:szCs w:val="25"/>
              </w:rPr>
              <w:t>1.03 (0.94, 1.13)</w:t>
            </w:r>
          </w:p>
        </w:tc>
      </w:tr>
      <w:tr w:rsidR="009B2A51" w:rsidRPr="00307998" w14:paraId="76855903" w14:textId="77777777" w:rsidTr="0002133E">
        <w:trPr>
          <w:trHeight w:val="180"/>
        </w:trPr>
        <w:tc>
          <w:tcPr>
            <w:tcW w:w="1806" w:type="dxa"/>
            <w:vMerge/>
          </w:tcPr>
          <w:p w14:paraId="0F54F443" w14:textId="77777777" w:rsidR="009B2A51" w:rsidRPr="00307998" w:rsidRDefault="009B2A51" w:rsidP="0002133E">
            <w:pPr>
              <w:rPr>
                <w:sz w:val="25"/>
                <w:szCs w:val="25"/>
              </w:rPr>
            </w:pPr>
          </w:p>
        </w:tc>
        <w:tc>
          <w:tcPr>
            <w:tcW w:w="1279" w:type="dxa"/>
          </w:tcPr>
          <w:p w14:paraId="492B548E" w14:textId="77777777" w:rsidR="009B2A51" w:rsidRPr="00307998" w:rsidRDefault="009B2A51" w:rsidP="0002133E">
            <w:pPr>
              <w:rPr>
                <w:sz w:val="25"/>
                <w:szCs w:val="25"/>
              </w:rPr>
            </w:pPr>
            <w:r w:rsidRPr="00307998">
              <w:rPr>
                <w:sz w:val="25"/>
                <w:szCs w:val="25"/>
              </w:rPr>
              <w:t>J44</w:t>
            </w:r>
          </w:p>
        </w:tc>
        <w:tc>
          <w:tcPr>
            <w:tcW w:w="992" w:type="dxa"/>
            <w:vMerge/>
          </w:tcPr>
          <w:p w14:paraId="1E57977E" w14:textId="77777777" w:rsidR="009B2A51" w:rsidRPr="00307998" w:rsidRDefault="009B2A51" w:rsidP="0002133E">
            <w:pPr>
              <w:rPr>
                <w:sz w:val="25"/>
                <w:szCs w:val="25"/>
              </w:rPr>
            </w:pPr>
          </w:p>
        </w:tc>
        <w:tc>
          <w:tcPr>
            <w:tcW w:w="2552" w:type="dxa"/>
          </w:tcPr>
          <w:p w14:paraId="215B7054" w14:textId="77777777" w:rsidR="009B2A51" w:rsidRPr="00307998" w:rsidRDefault="009B2A51" w:rsidP="0002133E">
            <w:pPr>
              <w:rPr>
                <w:sz w:val="25"/>
                <w:szCs w:val="25"/>
              </w:rPr>
            </w:pPr>
            <w:r w:rsidRPr="00307998">
              <w:rPr>
                <w:sz w:val="25"/>
                <w:szCs w:val="25"/>
              </w:rPr>
              <w:t>0.96 (0.79, 1.16)</w:t>
            </w:r>
          </w:p>
        </w:tc>
        <w:tc>
          <w:tcPr>
            <w:tcW w:w="2613" w:type="dxa"/>
          </w:tcPr>
          <w:p w14:paraId="4BF0F8CB" w14:textId="77777777" w:rsidR="009B2A51" w:rsidRPr="00307998" w:rsidRDefault="009B2A51" w:rsidP="0002133E">
            <w:pPr>
              <w:rPr>
                <w:sz w:val="25"/>
                <w:szCs w:val="25"/>
              </w:rPr>
            </w:pPr>
            <w:r w:rsidRPr="00307998">
              <w:rPr>
                <w:sz w:val="25"/>
                <w:szCs w:val="25"/>
              </w:rPr>
              <w:t>0.95 (0.78, 1.15)</w:t>
            </w:r>
          </w:p>
        </w:tc>
      </w:tr>
      <w:tr w:rsidR="009B2A51" w:rsidRPr="00307998" w14:paraId="4B9CF7BA" w14:textId="77777777" w:rsidTr="0002133E">
        <w:tc>
          <w:tcPr>
            <w:tcW w:w="1806" w:type="dxa"/>
            <w:vMerge w:val="restart"/>
          </w:tcPr>
          <w:p w14:paraId="74B4BD0D" w14:textId="77777777" w:rsidR="009B2A51" w:rsidRPr="00307998" w:rsidRDefault="009B2A51" w:rsidP="0002133E">
            <w:pPr>
              <w:rPr>
                <w:sz w:val="25"/>
                <w:szCs w:val="25"/>
              </w:rPr>
            </w:pPr>
            <w:r>
              <w:rPr>
                <w:sz w:val="25"/>
                <w:szCs w:val="25"/>
              </w:rPr>
              <w:t>E</w:t>
            </w:r>
            <w:r w:rsidRPr="00307998">
              <w:rPr>
                <w:sz w:val="25"/>
                <w:szCs w:val="25"/>
              </w:rPr>
              <w:t>xacerbations</w:t>
            </w:r>
          </w:p>
          <w:p w14:paraId="54C58A64" w14:textId="77777777" w:rsidR="009B2A51" w:rsidRPr="00307998" w:rsidRDefault="009B2A51" w:rsidP="0002133E">
            <w:pPr>
              <w:rPr>
                <w:sz w:val="25"/>
                <w:szCs w:val="25"/>
              </w:rPr>
            </w:pPr>
          </w:p>
        </w:tc>
        <w:tc>
          <w:tcPr>
            <w:tcW w:w="1279" w:type="dxa"/>
          </w:tcPr>
          <w:p w14:paraId="395B031B" w14:textId="77777777" w:rsidR="009B2A51" w:rsidRPr="00307998" w:rsidRDefault="009B2A51" w:rsidP="0002133E">
            <w:pPr>
              <w:rPr>
                <w:sz w:val="25"/>
                <w:szCs w:val="25"/>
              </w:rPr>
            </w:pPr>
            <w:r w:rsidRPr="00307998">
              <w:rPr>
                <w:sz w:val="25"/>
                <w:szCs w:val="25"/>
              </w:rPr>
              <w:t>all</w:t>
            </w:r>
          </w:p>
        </w:tc>
        <w:tc>
          <w:tcPr>
            <w:tcW w:w="992" w:type="dxa"/>
            <w:vMerge w:val="restart"/>
          </w:tcPr>
          <w:p w14:paraId="73930869" w14:textId="77777777" w:rsidR="009B2A51" w:rsidRPr="00307998" w:rsidRDefault="009B2A51" w:rsidP="0002133E">
            <w:pPr>
              <w:rPr>
                <w:sz w:val="25"/>
                <w:szCs w:val="25"/>
              </w:rPr>
            </w:pPr>
          </w:p>
          <w:p w14:paraId="6AB689AC" w14:textId="77777777" w:rsidR="009B2A51" w:rsidRPr="00307998" w:rsidRDefault="009B2A51" w:rsidP="0002133E">
            <w:pPr>
              <w:rPr>
                <w:sz w:val="25"/>
                <w:szCs w:val="25"/>
              </w:rPr>
            </w:pPr>
            <w:r w:rsidRPr="00307998">
              <w:rPr>
                <w:sz w:val="25"/>
                <w:szCs w:val="25"/>
              </w:rPr>
              <w:t>rate ratio</w:t>
            </w:r>
          </w:p>
        </w:tc>
        <w:tc>
          <w:tcPr>
            <w:tcW w:w="2552" w:type="dxa"/>
          </w:tcPr>
          <w:p w14:paraId="77CC6A1E" w14:textId="77777777" w:rsidR="009B2A51" w:rsidRPr="00307998" w:rsidRDefault="009B2A51" w:rsidP="0002133E">
            <w:pPr>
              <w:rPr>
                <w:sz w:val="25"/>
                <w:szCs w:val="25"/>
              </w:rPr>
            </w:pPr>
            <w:r w:rsidRPr="00307998">
              <w:rPr>
                <w:sz w:val="25"/>
                <w:szCs w:val="25"/>
              </w:rPr>
              <w:t>-0.049</w:t>
            </w:r>
          </w:p>
          <w:p w14:paraId="780FEA8B" w14:textId="77777777" w:rsidR="009B2A51" w:rsidRPr="00307998" w:rsidRDefault="009B2A51" w:rsidP="0002133E">
            <w:pPr>
              <w:rPr>
                <w:sz w:val="25"/>
                <w:szCs w:val="25"/>
              </w:rPr>
            </w:pPr>
            <w:r w:rsidRPr="00307998">
              <w:rPr>
                <w:sz w:val="25"/>
                <w:szCs w:val="25"/>
              </w:rPr>
              <w:t xml:space="preserve">  (-0.147, 0.049)</w:t>
            </w:r>
          </w:p>
        </w:tc>
        <w:tc>
          <w:tcPr>
            <w:tcW w:w="2613" w:type="dxa"/>
          </w:tcPr>
          <w:p w14:paraId="15A5DB32" w14:textId="77777777" w:rsidR="009B2A51" w:rsidRPr="00307998" w:rsidRDefault="009B2A51" w:rsidP="0002133E">
            <w:pPr>
              <w:rPr>
                <w:sz w:val="25"/>
                <w:szCs w:val="25"/>
              </w:rPr>
            </w:pPr>
            <w:r w:rsidRPr="00307998">
              <w:rPr>
                <w:sz w:val="25"/>
                <w:szCs w:val="25"/>
              </w:rPr>
              <w:t xml:space="preserve">-0.031 </w:t>
            </w:r>
          </w:p>
          <w:p w14:paraId="16D6DB04" w14:textId="77777777" w:rsidR="009B2A51" w:rsidRPr="00307998" w:rsidRDefault="009B2A51" w:rsidP="0002133E">
            <w:pPr>
              <w:rPr>
                <w:sz w:val="25"/>
                <w:szCs w:val="25"/>
              </w:rPr>
            </w:pPr>
            <w:r w:rsidRPr="00307998">
              <w:rPr>
                <w:sz w:val="25"/>
                <w:szCs w:val="25"/>
              </w:rPr>
              <w:t xml:space="preserve">  (-0.129, 0.067)</w:t>
            </w:r>
          </w:p>
        </w:tc>
      </w:tr>
      <w:tr w:rsidR="009B2A51" w:rsidRPr="00307998" w14:paraId="6BA0EC19" w14:textId="77777777" w:rsidTr="0002133E">
        <w:tc>
          <w:tcPr>
            <w:tcW w:w="1806" w:type="dxa"/>
            <w:vMerge/>
          </w:tcPr>
          <w:p w14:paraId="5FD87B27" w14:textId="77777777" w:rsidR="009B2A51" w:rsidRPr="00307998" w:rsidRDefault="009B2A51" w:rsidP="0002133E">
            <w:pPr>
              <w:rPr>
                <w:sz w:val="25"/>
                <w:szCs w:val="25"/>
              </w:rPr>
            </w:pPr>
          </w:p>
        </w:tc>
        <w:tc>
          <w:tcPr>
            <w:tcW w:w="1279" w:type="dxa"/>
          </w:tcPr>
          <w:p w14:paraId="0EF9662E" w14:textId="77777777" w:rsidR="009B2A51" w:rsidRPr="00307998" w:rsidRDefault="009B2A51" w:rsidP="0002133E">
            <w:pPr>
              <w:rPr>
                <w:sz w:val="25"/>
                <w:szCs w:val="25"/>
              </w:rPr>
            </w:pPr>
            <w:r w:rsidRPr="00307998">
              <w:rPr>
                <w:sz w:val="25"/>
                <w:szCs w:val="25"/>
              </w:rPr>
              <w:t>severe</w:t>
            </w:r>
          </w:p>
        </w:tc>
        <w:tc>
          <w:tcPr>
            <w:tcW w:w="992" w:type="dxa"/>
            <w:vMerge/>
          </w:tcPr>
          <w:p w14:paraId="10D1B27A" w14:textId="77777777" w:rsidR="009B2A51" w:rsidRPr="00307998" w:rsidRDefault="009B2A51" w:rsidP="0002133E">
            <w:pPr>
              <w:rPr>
                <w:sz w:val="25"/>
                <w:szCs w:val="25"/>
              </w:rPr>
            </w:pPr>
          </w:p>
        </w:tc>
        <w:tc>
          <w:tcPr>
            <w:tcW w:w="2552" w:type="dxa"/>
          </w:tcPr>
          <w:p w14:paraId="57B8BBE6" w14:textId="77777777" w:rsidR="009B2A51" w:rsidRPr="00307998" w:rsidRDefault="009B2A51" w:rsidP="0002133E">
            <w:pPr>
              <w:rPr>
                <w:sz w:val="25"/>
                <w:szCs w:val="25"/>
              </w:rPr>
            </w:pPr>
            <w:r w:rsidRPr="00307998">
              <w:rPr>
                <w:sz w:val="25"/>
                <w:szCs w:val="25"/>
              </w:rPr>
              <w:t xml:space="preserve">-0.45 </w:t>
            </w:r>
          </w:p>
          <w:p w14:paraId="650D4EA1" w14:textId="77777777" w:rsidR="009B2A51" w:rsidRPr="00307998" w:rsidRDefault="009B2A51" w:rsidP="0002133E">
            <w:pPr>
              <w:rPr>
                <w:sz w:val="25"/>
                <w:szCs w:val="25"/>
              </w:rPr>
            </w:pPr>
            <w:r w:rsidRPr="00307998">
              <w:rPr>
                <w:sz w:val="25"/>
                <w:szCs w:val="25"/>
              </w:rPr>
              <w:t xml:space="preserve">  (-0.78, -0.11)</w:t>
            </w:r>
          </w:p>
        </w:tc>
        <w:tc>
          <w:tcPr>
            <w:tcW w:w="2613" w:type="dxa"/>
          </w:tcPr>
          <w:p w14:paraId="4A8E5BCA" w14:textId="77777777" w:rsidR="009B2A51" w:rsidRPr="00307998" w:rsidRDefault="009B2A51" w:rsidP="0002133E">
            <w:pPr>
              <w:rPr>
                <w:sz w:val="25"/>
                <w:szCs w:val="25"/>
              </w:rPr>
            </w:pPr>
            <w:r w:rsidRPr="00307998">
              <w:rPr>
                <w:sz w:val="25"/>
                <w:szCs w:val="25"/>
              </w:rPr>
              <w:t xml:space="preserve">-0.44 </w:t>
            </w:r>
          </w:p>
          <w:p w14:paraId="52644466" w14:textId="77777777" w:rsidR="009B2A51" w:rsidRPr="00307998" w:rsidRDefault="009B2A51" w:rsidP="0002133E">
            <w:pPr>
              <w:rPr>
                <w:sz w:val="25"/>
                <w:szCs w:val="25"/>
              </w:rPr>
            </w:pPr>
            <w:r w:rsidRPr="00307998">
              <w:rPr>
                <w:sz w:val="25"/>
                <w:szCs w:val="25"/>
              </w:rPr>
              <w:t xml:space="preserve">  (-0.78, -0.11)</w:t>
            </w:r>
          </w:p>
        </w:tc>
      </w:tr>
      <w:tr w:rsidR="009B2A51" w:rsidRPr="00307998" w14:paraId="0EE0F1F6" w14:textId="77777777" w:rsidTr="0002133E">
        <w:tc>
          <w:tcPr>
            <w:tcW w:w="1806" w:type="dxa"/>
            <w:vMerge w:val="restart"/>
          </w:tcPr>
          <w:p w14:paraId="178E5C44" w14:textId="77777777" w:rsidR="009B2A51" w:rsidRPr="00307998" w:rsidRDefault="009B2A51" w:rsidP="0002133E">
            <w:pPr>
              <w:rPr>
                <w:sz w:val="25"/>
                <w:szCs w:val="25"/>
              </w:rPr>
            </w:pPr>
            <w:r w:rsidRPr="00307998">
              <w:rPr>
                <w:sz w:val="25"/>
                <w:szCs w:val="25"/>
              </w:rPr>
              <w:t xml:space="preserve">FEV1 decline </w:t>
            </w:r>
          </w:p>
        </w:tc>
        <w:tc>
          <w:tcPr>
            <w:tcW w:w="1279" w:type="dxa"/>
          </w:tcPr>
          <w:p w14:paraId="4B7666CF" w14:textId="77777777" w:rsidR="009B2A51" w:rsidRPr="00307998" w:rsidRDefault="009B2A51" w:rsidP="0002133E">
            <w:pPr>
              <w:rPr>
                <w:sz w:val="25"/>
                <w:szCs w:val="25"/>
              </w:rPr>
            </w:pPr>
            <w:r w:rsidRPr="00307998">
              <w:rPr>
                <w:sz w:val="25"/>
                <w:szCs w:val="25"/>
              </w:rPr>
              <w:t>all data</w:t>
            </w:r>
          </w:p>
        </w:tc>
        <w:tc>
          <w:tcPr>
            <w:tcW w:w="992" w:type="dxa"/>
            <w:vMerge w:val="restart"/>
          </w:tcPr>
          <w:p w14:paraId="1852DF54" w14:textId="77777777" w:rsidR="009B2A51" w:rsidRPr="00307998" w:rsidRDefault="009B2A51" w:rsidP="0002133E">
            <w:pPr>
              <w:rPr>
                <w:sz w:val="25"/>
                <w:szCs w:val="25"/>
              </w:rPr>
            </w:pPr>
          </w:p>
          <w:p w14:paraId="3E4E61F9" w14:textId="77777777" w:rsidR="009B2A51" w:rsidRPr="00307998" w:rsidRDefault="009B2A51" w:rsidP="0002133E">
            <w:pPr>
              <w:rPr>
                <w:sz w:val="25"/>
                <w:szCs w:val="25"/>
              </w:rPr>
            </w:pPr>
            <w:r w:rsidRPr="00307998">
              <w:rPr>
                <w:sz w:val="25"/>
                <w:szCs w:val="25"/>
              </w:rPr>
              <w:t>L/year</w:t>
            </w:r>
          </w:p>
        </w:tc>
        <w:tc>
          <w:tcPr>
            <w:tcW w:w="2552" w:type="dxa"/>
          </w:tcPr>
          <w:p w14:paraId="601159BB" w14:textId="77777777" w:rsidR="009B2A51" w:rsidRPr="00307998" w:rsidRDefault="009B2A51" w:rsidP="0002133E">
            <w:pPr>
              <w:rPr>
                <w:sz w:val="25"/>
                <w:szCs w:val="25"/>
              </w:rPr>
            </w:pPr>
            <w:r w:rsidRPr="00307998">
              <w:rPr>
                <w:sz w:val="25"/>
                <w:szCs w:val="25"/>
              </w:rPr>
              <w:t xml:space="preserve">-0.0037 </w:t>
            </w:r>
          </w:p>
          <w:p w14:paraId="14AC57B1" w14:textId="77777777" w:rsidR="009B2A51" w:rsidRPr="00307998" w:rsidRDefault="009B2A51" w:rsidP="0002133E">
            <w:pPr>
              <w:rPr>
                <w:sz w:val="25"/>
                <w:szCs w:val="25"/>
              </w:rPr>
            </w:pPr>
            <w:r w:rsidRPr="00307998">
              <w:rPr>
                <w:sz w:val="25"/>
                <w:szCs w:val="25"/>
              </w:rPr>
              <w:t xml:space="preserve">  (-0.0122  0.0048)</w:t>
            </w:r>
          </w:p>
        </w:tc>
        <w:tc>
          <w:tcPr>
            <w:tcW w:w="2613" w:type="dxa"/>
          </w:tcPr>
          <w:p w14:paraId="32ACE556" w14:textId="77777777" w:rsidR="009B2A51" w:rsidRPr="00307998" w:rsidRDefault="009B2A51" w:rsidP="0002133E">
            <w:pPr>
              <w:rPr>
                <w:sz w:val="25"/>
                <w:szCs w:val="25"/>
              </w:rPr>
            </w:pPr>
            <w:r w:rsidRPr="00307998">
              <w:rPr>
                <w:sz w:val="25"/>
                <w:szCs w:val="25"/>
              </w:rPr>
              <w:t xml:space="preserve">-0.0042 </w:t>
            </w:r>
          </w:p>
          <w:p w14:paraId="2DE6EB63" w14:textId="77777777" w:rsidR="009B2A51" w:rsidRPr="00307998" w:rsidRDefault="009B2A51" w:rsidP="0002133E">
            <w:pPr>
              <w:rPr>
                <w:sz w:val="25"/>
                <w:szCs w:val="25"/>
              </w:rPr>
            </w:pPr>
            <w:r w:rsidRPr="00307998">
              <w:rPr>
                <w:sz w:val="25"/>
                <w:szCs w:val="25"/>
              </w:rPr>
              <w:t xml:space="preserve">  (-0.0127, 0.0043)</w:t>
            </w:r>
          </w:p>
        </w:tc>
      </w:tr>
      <w:tr w:rsidR="009B2A51" w:rsidRPr="00307998" w14:paraId="1041B5B5" w14:textId="77777777" w:rsidTr="0002133E">
        <w:tc>
          <w:tcPr>
            <w:tcW w:w="1806" w:type="dxa"/>
            <w:vMerge/>
          </w:tcPr>
          <w:p w14:paraId="66AF184C" w14:textId="77777777" w:rsidR="009B2A51" w:rsidRPr="00307998" w:rsidRDefault="009B2A51" w:rsidP="0002133E">
            <w:pPr>
              <w:rPr>
                <w:sz w:val="25"/>
                <w:szCs w:val="25"/>
              </w:rPr>
            </w:pPr>
          </w:p>
        </w:tc>
        <w:tc>
          <w:tcPr>
            <w:tcW w:w="1279" w:type="dxa"/>
          </w:tcPr>
          <w:p w14:paraId="664402B5" w14:textId="77777777" w:rsidR="009B2A51" w:rsidRPr="00307998" w:rsidRDefault="009B2A51" w:rsidP="0002133E">
            <w:pPr>
              <w:rPr>
                <w:sz w:val="25"/>
                <w:szCs w:val="25"/>
              </w:rPr>
            </w:pPr>
            <w:r w:rsidRPr="00307998">
              <w:rPr>
                <w:sz w:val="25"/>
                <w:szCs w:val="25"/>
              </w:rPr>
              <w:t>3 year</w:t>
            </w:r>
          </w:p>
        </w:tc>
        <w:tc>
          <w:tcPr>
            <w:tcW w:w="992" w:type="dxa"/>
            <w:vMerge/>
          </w:tcPr>
          <w:p w14:paraId="5A28D78F" w14:textId="77777777" w:rsidR="009B2A51" w:rsidRPr="00307998" w:rsidRDefault="009B2A51" w:rsidP="0002133E">
            <w:pPr>
              <w:rPr>
                <w:sz w:val="25"/>
                <w:szCs w:val="25"/>
              </w:rPr>
            </w:pPr>
          </w:p>
        </w:tc>
        <w:tc>
          <w:tcPr>
            <w:tcW w:w="2552" w:type="dxa"/>
          </w:tcPr>
          <w:p w14:paraId="6BE261D0" w14:textId="77777777" w:rsidR="009B2A51" w:rsidRPr="00307998" w:rsidRDefault="009B2A51" w:rsidP="0002133E">
            <w:pPr>
              <w:rPr>
                <w:sz w:val="25"/>
                <w:szCs w:val="25"/>
              </w:rPr>
            </w:pPr>
            <w:r w:rsidRPr="00307998">
              <w:rPr>
                <w:sz w:val="25"/>
                <w:szCs w:val="25"/>
              </w:rPr>
              <w:t>-0.0005</w:t>
            </w:r>
          </w:p>
          <w:p w14:paraId="66CF52BC" w14:textId="77777777" w:rsidR="009B2A51" w:rsidRPr="00307998" w:rsidRDefault="009B2A51" w:rsidP="0002133E">
            <w:pPr>
              <w:rPr>
                <w:sz w:val="25"/>
                <w:szCs w:val="25"/>
              </w:rPr>
            </w:pPr>
            <w:r w:rsidRPr="00307998">
              <w:rPr>
                <w:sz w:val="25"/>
                <w:szCs w:val="25"/>
              </w:rPr>
              <w:t xml:space="preserve">  (-0.0177, 0.0168)</w:t>
            </w:r>
          </w:p>
        </w:tc>
        <w:tc>
          <w:tcPr>
            <w:tcW w:w="2613" w:type="dxa"/>
          </w:tcPr>
          <w:p w14:paraId="3AA5DEF9" w14:textId="77777777" w:rsidR="009B2A51" w:rsidRPr="00307998" w:rsidRDefault="009B2A51" w:rsidP="0002133E">
            <w:pPr>
              <w:rPr>
                <w:sz w:val="25"/>
                <w:szCs w:val="25"/>
              </w:rPr>
            </w:pPr>
            <w:r w:rsidRPr="00307998">
              <w:rPr>
                <w:sz w:val="25"/>
                <w:szCs w:val="25"/>
              </w:rPr>
              <w:t xml:space="preserve">-0.0001 </w:t>
            </w:r>
          </w:p>
          <w:p w14:paraId="0867C6C9" w14:textId="77777777" w:rsidR="009B2A51" w:rsidRPr="00307998" w:rsidRDefault="009B2A51" w:rsidP="0002133E">
            <w:pPr>
              <w:rPr>
                <w:sz w:val="25"/>
                <w:szCs w:val="25"/>
              </w:rPr>
            </w:pPr>
            <w:r w:rsidRPr="00307998">
              <w:rPr>
                <w:sz w:val="25"/>
                <w:szCs w:val="25"/>
              </w:rPr>
              <w:t xml:space="preserve">  (-0.0173, 0.0171)</w:t>
            </w:r>
          </w:p>
        </w:tc>
      </w:tr>
    </w:tbl>
    <w:p w14:paraId="43E4AC6E" w14:textId="77777777" w:rsidR="009B2A51"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rPr>
          <w:rFonts w:eastAsia="Calibri"/>
          <w:color w:val="000000"/>
          <w:sz w:val="25"/>
          <w:szCs w:val="25"/>
          <w:u w:color="000000"/>
          <w:lang w:val="en-US" w:eastAsia="en-GB"/>
        </w:rPr>
      </w:pPr>
      <w:r>
        <w:rPr>
          <w:sz w:val="25"/>
          <w:szCs w:val="25"/>
        </w:rPr>
        <w:br w:type="page"/>
      </w:r>
    </w:p>
    <w:p w14:paraId="36B7E356" w14:textId="77777777" w:rsidR="009B2A51" w:rsidRPr="00307998" w:rsidRDefault="009B2A51" w:rsidP="009B2A51">
      <w:pPr>
        <w:pStyle w:val="Body"/>
        <w:spacing w:line="240" w:lineRule="auto"/>
        <w:jc w:val="both"/>
        <w:rPr>
          <w:rFonts w:ascii="Times New Roman" w:hAnsi="Times New Roman" w:cs="Times New Roman"/>
          <w:sz w:val="25"/>
          <w:szCs w:val="25"/>
        </w:rPr>
      </w:pPr>
      <w:r w:rsidRPr="00307998">
        <w:rPr>
          <w:rFonts w:ascii="Times New Roman" w:hAnsi="Times New Roman" w:cs="Times New Roman"/>
          <w:noProof/>
          <w:sz w:val="25"/>
          <w:szCs w:val="25"/>
          <w:lang w:val="en-GB"/>
        </w:rPr>
        <w:lastRenderedPageBreak/>
        <w:drawing>
          <wp:inline distT="0" distB="0" distL="0" distR="0" wp14:anchorId="6A178536" wp14:editId="235E5557">
            <wp:extent cx="5727700" cy="4794250"/>
            <wp:effectExtent l="0" t="0" r="6350" b="6350"/>
            <wp:docPr id="18" name="Picture 18" descr="C:\mike\COPD\GSK\results260819\mean_sd_Supp_figure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ke\COPD\GSK\results260819\mean_sd_Supp_figure_v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297"/>
                    <a:stretch/>
                  </pic:blipFill>
                  <pic:spPr bwMode="auto">
                    <a:xfrm>
                      <a:off x="0" y="0"/>
                      <a:ext cx="5727700" cy="4794250"/>
                    </a:xfrm>
                    <a:prstGeom prst="rect">
                      <a:avLst/>
                    </a:prstGeom>
                    <a:noFill/>
                    <a:ln>
                      <a:noFill/>
                    </a:ln>
                    <a:extLst>
                      <a:ext uri="{53640926-AAD7-44D8-BBD7-CCE9431645EC}">
                        <a14:shadowObscured xmlns:a14="http://schemas.microsoft.com/office/drawing/2010/main"/>
                      </a:ext>
                    </a:extLst>
                  </pic:spPr>
                </pic:pic>
              </a:graphicData>
            </a:graphic>
          </wp:inline>
        </w:drawing>
      </w:r>
    </w:p>
    <w:p w14:paraId="479918E2" w14:textId="700E71B6" w:rsidR="009B2A51" w:rsidRPr="00307998" w:rsidRDefault="00374D5F" w:rsidP="009B2A51">
      <w:pPr>
        <w:jc w:val="both"/>
        <w:rPr>
          <w:sz w:val="25"/>
          <w:szCs w:val="25"/>
        </w:rPr>
      </w:pPr>
      <w:r>
        <w:rPr>
          <w:b/>
          <w:sz w:val="25"/>
          <w:szCs w:val="25"/>
        </w:rPr>
        <w:t>e-</w:t>
      </w:r>
      <w:r w:rsidR="009B2A51" w:rsidRPr="00307998">
        <w:rPr>
          <w:b/>
          <w:sz w:val="25"/>
          <w:szCs w:val="25"/>
        </w:rPr>
        <w:t>Figure 2:</w:t>
      </w:r>
      <w:r w:rsidR="009B2A51" w:rsidRPr="00307998">
        <w:rPr>
          <w:sz w:val="25"/>
          <w:szCs w:val="25"/>
        </w:rPr>
        <w:t xml:space="preserve"> The mean and standard deviation of stable BNC for each individual, those with ten or less measurements are shown in grey.</w:t>
      </w:r>
    </w:p>
    <w:p w14:paraId="575C6A3F" w14:textId="77777777" w:rsidR="009B2A51" w:rsidRPr="00307998" w:rsidRDefault="009B2A51" w:rsidP="009B2A51">
      <w:pPr>
        <w:rPr>
          <w:noProof/>
          <w:sz w:val="25"/>
          <w:szCs w:val="25"/>
          <w:lang w:eastAsia="en-GB"/>
        </w:rPr>
      </w:pPr>
      <w:r w:rsidRPr="00307998">
        <w:rPr>
          <w:noProof/>
          <w:sz w:val="25"/>
          <w:szCs w:val="25"/>
          <w:lang w:eastAsia="en-GB"/>
        </w:rPr>
        <w:lastRenderedPageBreak/>
        <w:drawing>
          <wp:inline distT="0" distB="0" distL="0" distR="0" wp14:anchorId="74FCB395" wp14:editId="1D825830">
            <wp:extent cx="5727700" cy="5118100"/>
            <wp:effectExtent l="0" t="0" r="6350" b="6350"/>
            <wp:docPr id="19" name="Picture 19" descr="C:\mike\COPD\GSK\results260819\paper_supp_survival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ke\COPD\GSK\results260819\paper_supp_survival_figure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p>
    <w:p w14:paraId="0F64CC0E" w14:textId="1A7B971F" w:rsidR="009B2A51" w:rsidRDefault="00B436C2" w:rsidP="009B2A51">
      <w:pPr>
        <w:jc w:val="both"/>
        <w:rPr>
          <w:sz w:val="25"/>
          <w:szCs w:val="25"/>
        </w:rPr>
      </w:pPr>
      <w:r>
        <w:rPr>
          <w:b/>
          <w:sz w:val="25"/>
          <w:szCs w:val="25"/>
        </w:rPr>
        <w:t>e-</w:t>
      </w:r>
      <w:r w:rsidR="009B2A51" w:rsidRPr="00307998">
        <w:rPr>
          <w:b/>
          <w:sz w:val="25"/>
          <w:szCs w:val="25"/>
        </w:rPr>
        <w:t>Figure 3</w:t>
      </w:r>
      <w:r w:rsidR="009B2A51" w:rsidRPr="00307998">
        <w:rPr>
          <w:sz w:val="25"/>
          <w:szCs w:val="25"/>
        </w:rPr>
        <w:t xml:space="preserve">: Kaplan-Meier survival curves for: </w:t>
      </w:r>
      <w:r w:rsidR="009B2A51" w:rsidRPr="00307998">
        <w:rPr>
          <w:b/>
          <w:sz w:val="25"/>
          <w:szCs w:val="25"/>
        </w:rPr>
        <w:t>A:</w:t>
      </w:r>
      <w:r w:rsidR="009B2A51" w:rsidRPr="00307998">
        <w:rPr>
          <w:sz w:val="25"/>
          <w:szCs w:val="25"/>
        </w:rPr>
        <w:t xml:space="preserve"> all mortality, unadjusted model; </w:t>
      </w:r>
      <w:r w:rsidR="009B2A51" w:rsidRPr="00307998">
        <w:rPr>
          <w:b/>
          <w:sz w:val="25"/>
          <w:szCs w:val="25"/>
        </w:rPr>
        <w:t>B:</w:t>
      </w:r>
      <w:r w:rsidR="009B2A51" w:rsidRPr="00307998">
        <w:rPr>
          <w:sz w:val="25"/>
          <w:szCs w:val="25"/>
        </w:rPr>
        <w:t xml:space="preserve"> mortality from J44, unadjusted model; </w:t>
      </w:r>
      <w:r w:rsidR="009B2A51" w:rsidRPr="00307998">
        <w:rPr>
          <w:b/>
          <w:sz w:val="25"/>
          <w:szCs w:val="25"/>
        </w:rPr>
        <w:t>C:</w:t>
      </w:r>
      <w:r w:rsidR="009B2A51" w:rsidRPr="00307998">
        <w:rPr>
          <w:sz w:val="25"/>
          <w:szCs w:val="25"/>
        </w:rPr>
        <w:t xml:space="preserve"> mortality from all ICD J codes; model adjusted for age sex and smoking status; </w:t>
      </w:r>
      <w:r w:rsidR="009B2A51" w:rsidRPr="00307998">
        <w:rPr>
          <w:b/>
          <w:sz w:val="25"/>
          <w:szCs w:val="25"/>
        </w:rPr>
        <w:t>D</w:t>
      </w:r>
      <w:r w:rsidR="009B2A51" w:rsidRPr="00307998">
        <w:rPr>
          <w:sz w:val="25"/>
          <w:szCs w:val="25"/>
        </w:rPr>
        <w:t xml:space="preserve">: as </w:t>
      </w:r>
      <w:r w:rsidR="009B2A51" w:rsidRPr="00307998">
        <w:rPr>
          <w:b/>
          <w:sz w:val="25"/>
          <w:szCs w:val="25"/>
        </w:rPr>
        <w:t>C</w:t>
      </w:r>
      <w:r w:rsidR="009B2A51" w:rsidRPr="00307998">
        <w:rPr>
          <w:sz w:val="25"/>
          <w:szCs w:val="25"/>
        </w:rPr>
        <w:t xml:space="preserve">, but unadjusted model. </w:t>
      </w:r>
      <w:r w:rsidR="009B2A51">
        <w:rPr>
          <w:sz w:val="25"/>
          <w:szCs w:val="25"/>
        </w:rPr>
        <w:br w:type="page"/>
      </w:r>
    </w:p>
    <w:p w14:paraId="28F4EE68" w14:textId="6BCFF8BD" w:rsidR="009B2A51" w:rsidRPr="00307998" w:rsidRDefault="00B436C2" w:rsidP="009B2A51">
      <w:pPr>
        <w:jc w:val="both"/>
        <w:rPr>
          <w:sz w:val="25"/>
          <w:szCs w:val="25"/>
        </w:rPr>
      </w:pPr>
      <w:r>
        <w:rPr>
          <w:b/>
          <w:sz w:val="25"/>
          <w:szCs w:val="25"/>
        </w:rPr>
        <w:lastRenderedPageBreak/>
        <w:t>e-</w:t>
      </w:r>
      <w:r w:rsidR="009B2A51" w:rsidRPr="00307998">
        <w:rPr>
          <w:b/>
          <w:sz w:val="25"/>
          <w:szCs w:val="25"/>
        </w:rPr>
        <w:t xml:space="preserve">Table </w:t>
      </w:r>
      <w:r w:rsidR="009B2A51">
        <w:rPr>
          <w:b/>
          <w:sz w:val="25"/>
          <w:szCs w:val="25"/>
        </w:rPr>
        <w:t>3</w:t>
      </w:r>
      <w:r w:rsidR="009B2A51" w:rsidRPr="00307998">
        <w:rPr>
          <w:sz w:val="25"/>
          <w:szCs w:val="25"/>
        </w:rPr>
        <w:t>: Effect sizes (95% confidence intervals), for the group with elevated blood eosinophils relative to those with eosinophils in the normal range, estimated from the models.</w:t>
      </w:r>
    </w:p>
    <w:tbl>
      <w:tblPr>
        <w:tblStyle w:val="TableGrid"/>
        <w:tblW w:w="0" w:type="auto"/>
        <w:tblLook w:val="04A0" w:firstRow="1" w:lastRow="0" w:firstColumn="1" w:lastColumn="0" w:noHBand="0" w:noVBand="1"/>
      </w:tblPr>
      <w:tblGrid>
        <w:gridCol w:w="1794"/>
        <w:gridCol w:w="1251"/>
        <w:gridCol w:w="985"/>
        <w:gridCol w:w="2469"/>
        <w:gridCol w:w="2511"/>
      </w:tblGrid>
      <w:tr w:rsidR="009B2A51" w:rsidRPr="00307998" w14:paraId="53E96505" w14:textId="77777777" w:rsidTr="0002133E">
        <w:tc>
          <w:tcPr>
            <w:tcW w:w="3085" w:type="dxa"/>
            <w:gridSpan w:val="2"/>
          </w:tcPr>
          <w:p w14:paraId="576AE3E5" w14:textId="77777777" w:rsidR="009B2A51" w:rsidRPr="00307998" w:rsidRDefault="009B2A51" w:rsidP="0002133E">
            <w:pPr>
              <w:jc w:val="center"/>
              <w:rPr>
                <w:sz w:val="25"/>
                <w:szCs w:val="25"/>
              </w:rPr>
            </w:pPr>
            <w:r w:rsidRPr="00307998">
              <w:rPr>
                <w:sz w:val="25"/>
                <w:szCs w:val="25"/>
              </w:rPr>
              <w:t>Response</w:t>
            </w:r>
          </w:p>
        </w:tc>
        <w:tc>
          <w:tcPr>
            <w:tcW w:w="992" w:type="dxa"/>
          </w:tcPr>
          <w:p w14:paraId="3AB5B969" w14:textId="77777777" w:rsidR="009B2A51" w:rsidRPr="00307998" w:rsidRDefault="009B2A51" w:rsidP="0002133E">
            <w:pPr>
              <w:rPr>
                <w:sz w:val="25"/>
                <w:szCs w:val="25"/>
              </w:rPr>
            </w:pPr>
          </w:p>
        </w:tc>
        <w:tc>
          <w:tcPr>
            <w:tcW w:w="2552" w:type="dxa"/>
          </w:tcPr>
          <w:p w14:paraId="6896B63A" w14:textId="77777777" w:rsidR="009B2A51" w:rsidRPr="00307998" w:rsidRDefault="009B2A51" w:rsidP="0002133E">
            <w:pPr>
              <w:rPr>
                <w:sz w:val="25"/>
                <w:szCs w:val="25"/>
              </w:rPr>
            </w:pPr>
            <w:r w:rsidRPr="00307998">
              <w:rPr>
                <w:sz w:val="25"/>
                <w:szCs w:val="25"/>
              </w:rPr>
              <w:t>unadjusted</w:t>
            </w:r>
          </w:p>
        </w:tc>
        <w:tc>
          <w:tcPr>
            <w:tcW w:w="2613" w:type="dxa"/>
          </w:tcPr>
          <w:p w14:paraId="78D9BB0A" w14:textId="77777777" w:rsidR="009B2A51" w:rsidRPr="00307998" w:rsidRDefault="009B2A51" w:rsidP="0002133E">
            <w:pPr>
              <w:rPr>
                <w:sz w:val="25"/>
                <w:szCs w:val="25"/>
              </w:rPr>
            </w:pPr>
            <w:r w:rsidRPr="00307998">
              <w:rPr>
                <w:sz w:val="25"/>
                <w:szCs w:val="25"/>
              </w:rPr>
              <w:t>adjusted for age, sex and smoking</w:t>
            </w:r>
          </w:p>
        </w:tc>
      </w:tr>
      <w:tr w:rsidR="009B2A51" w:rsidRPr="00307998" w14:paraId="2AF5A32C" w14:textId="77777777" w:rsidTr="0002133E">
        <w:tc>
          <w:tcPr>
            <w:tcW w:w="1806" w:type="dxa"/>
            <w:vMerge w:val="restart"/>
          </w:tcPr>
          <w:p w14:paraId="3BD54A5B" w14:textId="77777777" w:rsidR="009B2A51" w:rsidRPr="00307998" w:rsidRDefault="009B2A51" w:rsidP="0002133E">
            <w:pPr>
              <w:rPr>
                <w:sz w:val="25"/>
                <w:szCs w:val="25"/>
              </w:rPr>
            </w:pPr>
            <w:r>
              <w:rPr>
                <w:sz w:val="25"/>
                <w:szCs w:val="25"/>
              </w:rPr>
              <w:t>M</w:t>
            </w:r>
            <w:r w:rsidRPr="00307998">
              <w:rPr>
                <w:sz w:val="25"/>
                <w:szCs w:val="25"/>
              </w:rPr>
              <w:t>ortality</w:t>
            </w:r>
          </w:p>
        </w:tc>
        <w:tc>
          <w:tcPr>
            <w:tcW w:w="1279" w:type="dxa"/>
          </w:tcPr>
          <w:p w14:paraId="00926139" w14:textId="77777777" w:rsidR="009B2A51" w:rsidRPr="00307998" w:rsidRDefault="009B2A51" w:rsidP="0002133E">
            <w:pPr>
              <w:rPr>
                <w:sz w:val="25"/>
                <w:szCs w:val="25"/>
              </w:rPr>
            </w:pPr>
            <w:r w:rsidRPr="00307998">
              <w:rPr>
                <w:sz w:val="25"/>
                <w:szCs w:val="25"/>
              </w:rPr>
              <w:t>all</w:t>
            </w:r>
          </w:p>
        </w:tc>
        <w:tc>
          <w:tcPr>
            <w:tcW w:w="992" w:type="dxa"/>
            <w:vMerge w:val="restart"/>
          </w:tcPr>
          <w:p w14:paraId="0AA88B39" w14:textId="77777777" w:rsidR="009B2A51" w:rsidRPr="00307998" w:rsidRDefault="009B2A51" w:rsidP="0002133E">
            <w:pPr>
              <w:rPr>
                <w:sz w:val="25"/>
                <w:szCs w:val="25"/>
              </w:rPr>
            </w:pPr>
            <w:r w:rsidRPr="00307998">
              <w:rPr>
                <w:sz w:val="25"/>
                <w:szCs w:val="25"/>
              </w:rPr>
              <w:t>hazard ratio</w:t>
            </w:r>
          </w:p>
        </w:tc>
        <w:tc>
          <w:tcPr>
            <w:tcW w:w="2552" w:type="dxa"/>
          </w:tcPr>
          <w:p w14:paraId="7EF1B011" w14:textId="77777777" w:rsidR="009B2A51" w:rsidRPr="00307998" w:rsidRDefault="009B2A51" w:rsidP="0002133E">
            <w:pPr>
              <w:rPr>
                <w:sz w:val="25"/>
                <w:szCs w:val="25"/>
              </w:rPr>
            </w:pPr>
            <w:r w:rsidRPr="00307998">
              <w:rPr>
                <w:sz w:val="25"/>
                <w:szCs w:val="25"/>
              </w:rPr>
              <w:t>1.06 (0.96, 1.16)</w:t>
            </w:r>
          </w:p>
        </w:tc>
        <w:tc>
          <w:tcPr>
            <w:tcW w:w="2613" w:type="dxa"/>
          </w:tcPr>
          <w:p w14:paraId="18FC87E2" w14:textId="77777777" w:rsidR="009B2A51" w:rsidRPr="00307998" w:rsidRDefault="009B2A51" w:rsidP="0002133E">
            <w:pPr>
              <w:rPr>
                <w:sz w:val="25"/>
                <w:szCs w:val="25"/>
              </w:rPr>
            </w:pPr>
            <w:r w:rsidRPr="00307998">
              <w:rPr>
                <w:sz w:val="25"/>
                <w:szCs w:val="25"/>
              </w:rPr>
              <w:t>1.03 (0.94, 1.13)</w:t>
            </w:r>
          </w:p>
        </w:tc>
      </w:tr>
      <w:tr w:rsidR="009B2A51" w:rsidRPr="00307998" w14:paraId="050DA04B" w14:textId="77777777" w:rsidTr="0002133E">
        <w:trPr>
          <w:trHeight w:val="180"/>
        </w:trPr>
        <w:tc>
          <w:tcPr>
            <w:tcW w:w="1806" w:type="dxa"/>
            <w:vMerge/>
          </w:tcPr>
          <w:p w14:paraId="2C81A00F" w14:textId="77777777" w:rsidR="009B2A51" w:rsidRPr="00307998" w:rsidRDefault="009B2A51" w:rsidP="0002133E">
            <w:pPr>
              <w:rPr>
                <w:sz w:val="25"/>
                <w:szCs w:val="25"/>
              </w:rPr>
            </w:pPr>
          </w:p>
        </w:tc>
        <w:tc>
          <w:tcPr>
            <w:tcW w:w="1279" w:type="dxa"/>
          </w:tcPr>
          <w:p w14:paraId="03E62776" w14:textId="77777777" w:rsidR="009B2A51" w:rsidRPr="00307998" w:rsidRDefault="009B2A51" w:rsidP="0002133E">
            <w:pPr>
              <w:rPr>
                <w:sz w:val="25"/>
                <w:szCs w:val="25"/>
              </w:rPr>
            </w:pPr>
            <w:r w:rsidRPr="00307998">
              <w:rPr>
                <w:sz w:val="25"/>
                <w:szCs w:val="25"/>
              </w:rPr>
              <w:t>J44</w:t>
            </w:r>
          </w:p>
        </w:tc>
        <w:tc>
          <w:tcPr>
            <w:tcW w:w="992" w:type="dxa"/>
            <w:vMerge/>
          </w:tcPr>
          <w:p w14:paraId="2F847C56" w14:textId="77777777" w:rsidR="009B2A51" w:rsidRPr="00307998" w:rsidRDefault="009B2A51" w:rsidP="0002133E">
            <w:pPr>
              <w:rPr>
                <w:sz w:val="25"/>
                <w:szCs w:val="25"/>
              </w:rPr>
            </w:pPr>
          </w:p>
        </w:tc>
        <w:tc>
          <w:tcPr>
            <w:tcW w:w="2552" w:type="dxa"/>
          </w:tcPr>
          <w:p w14:paraId="08A2B800" w14:textId="77777777" w:rsidR="009B2A51" w:rsidRPr="00307998" w:rsidRDefault="009B2A51" w:rsidP="0002133E">
            <w:pPr>
              <w:rPr>
                <w:sz w:val="25"/>
                <w:szCs w:val="25"/>
              </w:rPr>
            </w:pPr>
            <w:r w:rsidRPr="00307998">
              <w:rPr>
                <w:sz w:val="25"/>
                <w:szCs w:val="25"/>
              </w:rPr>
              <w:t>0.96 (0.79, 1.16)</w:t>
            </w:r>
          </w:p>
        </w:tc>
        <w:tc>
          <w:tcPr>
            <w:tcW w:w="2613" w:type="dxa"/>
          </w:tcPr>
          <w:p w14:paraId="657999C9" w14:textId="77777777" w:rsidR="009B2A51" w:rsidRPr="00307998" w:rsidRDefault="009B2A51" w:rsidP="0002133E">
            <w:pPr>
              <w:rPr>
                <w:sz w:val="25"/>
                <w:szCs w:val="25"/>
              </w:rPr>
            </w:pPr>
            <w:r w:rsidRPr="00307998">
              <w:rPr>
                <w:sz w:val="25"/>
                <w:szCs w:val="25"/>
              </w:rPr>
              <w:t>0.95 (0.78, 1.15)</w:t>
            </w:r>
          </w:p>
        </w:tc>
      </w:tr>
      <w:tr w:rsidR="009B2A51" w:rsidRPr="00307998" w14:paraId="40F47235" w14:textId="77777777" w:rsidTr="0002133E">
        <w:tc>
          <w:tcPr>
            <w:tcW w:w="1806" w:type="dxa"/>
            <w:vMerge w:val="restart"/>
          </w:tcPr>
          <w:p w14:paraId="76CB22C7" w14:textId="77777777" w:rsidR="009B2A51" w:rsidRPr="00307998" w:rsidRDefault="009B2A51" w:rsidP="0002133E">
            <w:pPr>
              <w:rPr>
                <w:sz w:val="25"/>
                <w:szCs w:val="25"/>
              </w:rPr>
            </w:pPr>
            <w:r>
              <w:rPr>
                <w:sz w:val="25"/>
                <w:szCs w:val="25"/>
              </w:rPr>
              <w:t>E</w:t>
            </w:r>
            <w:r w:rsidRPr="00307998">
              <w:rPr>
                <w:sz w:val="25"/>
                <w:szCs w:val="25"/>
              </w:rPr>
              <w:t>xacerbations</w:t>
            </w:r>
          </w:p>
          <w:p w14:paraId="6A021BB6" w14:textId="77777777" w:rsidR="009B2A51" w:rsidRPr="00307998" w:rsidRDefault="009B2A51" w:rsidP="0002133E">
            <w:pPr>
              <w:rPr>
                <w:sz w:val="25"/>
                <w:szCs w:val="25"/>
              </w:rPr>
            </w:pPr>
          </w:p>
        </w:tc>
        <w:tc>
          <w:tcPr>
            <w:tcW w:w="1279" w:type="dxa"/>
          </w:tcPr>
          <w:p w14:paraId="6DEDF2DA" w14:textId="77777777" w:rsidR="009B2A51" w:rsidRPr="00307998" w:rsidRDefault="009B2A51" w:rsidP="0002133E">
            <w:pPr>
              <w:rPr>
                <w:sz w:val="25"/>
                <w:szCs w:val="25"/>
              </w:rPr>
            </w:pPr>
            <w:r w:rsidRPr="00307998">
              <w:rPr>
                <w:sz w:val="25"/>
                <w:szCs w:val="25"/>
              </w:rPr>
              <w:t>all</w:t>
            </w:r>
          </w:p>
        </w:tc>
        <w:tc>
          <w:tcPr>
            <w:tcW w:w="992" w:type="dxa"/>
            <w:vMerge w:val="restart"/>
          </w:tcPr>
          <w:p w14:paraId="5C8A77F3" w14:textId="77777777" w:rsidR="009B2A51" w:rsidRPr="00307998" w:rsidRDefault="009B2A51" w:rsidP="0002133E">
            <w:pPr>
              <w:rPr>
                <w:sz w:val="25"/>
                <w:szCs w:val="25"/>
              </w:rPr>
            </w:pPr>
          </w:p>
          <w:p w14:paraId="47288EB4" w14:textId="77777777" w:rsidR="009B2A51" w:rsidRPr="00307998" w:rsidRDefault="009B2A51" w:rsidP="0002133E">
            <w:pPr>
              <w:rPr>
                <w:sz w:val="25"/>
                <w:szCs w:val="25"/>
              </w:rPr>
            </w:pPr>
            <w:r w:rsidRPr="00307998">
              <w:rPr>
                <w:sz w:val="25"/>
                <w:szCs w:val="25"/>
              </w:rPr>
              <w:t>rate ratio</w:t>
            </w:r>
          </w:p>
        </w:tc>
        <w:tc>
          <w:tcPr>
            <w:tcW w:w="2552" w:type="dxa"/>
          </w:tcPr>
          <w:p w14:paraId="79F758AB" w14:textId="77777777" w:rsidR="009B2A51" w:rsidRPr="00307998" w:rsidRDefault="009B2A51" w:rsidP="0002133E">
            <w:pPr>
              <w:rPr>
                <w:sz w:val="25"/>
                <w:szCs w:val="25"/>
              </w:rPr>
            </w:pPr>
            <w:r w:rsidRPr="00307998">
              <w:rPr>
                <w:sz w:val="25"/>
                <w:szCs w:val="25"/>
              </w:rPr>
              <w:t>-0.049</w:t>
            </w:r>
          </w:p>
          <w:p w14:paraId="21118AB0" w14:textId="77777777" w:rsidR="009B2A51" w:rsidRPr="00307998" w:rsidRDefault="009B2A51" w:rsidP="0002133E">
            <w:pPr>
              <w:rPr>
                <w:sz w:val="25"/>
                <w:szCs w:val="25"/>
              </w:rPr>
            </w:pPr>
            <w:r w:rsidRPr="00307998">
              <w:rPr>
                <w:sz w:val="25"/>
                <w:szCs w:val="25"/>
              </w:rPr>
              <w:t xml:space="preserve">  (-0.147, 0.049)</w:t>
            </w:r>
          </w:p>
        </w:tc>
        <w:tc>
          <w:tcPr>
            <w:tcW w:w="2613" w:type="dxa"/>
          </w:tcPr>
          <w:p w14:paraId="39025170" w14:textId="77777777" w:rsidR="009B2A51" w:rsidRPr="00307998" w:rsidRDefault="009B2A51" w:rsidP="0002133E">
            <w:pPr>
              <w:rPr>
                <w:sz w:val="25"/>
                <w:szCs w:val="25"/>
              </w:rPr>
            </w:pPr>
            <w:r w:rsidRPr="00307998">
              <w:rPr>
                <w:sz w:val="25"/>
                <w:szCs w:val="25"/>
              </w:rPr>
              <w:t xml:space="preserve">-0.031 </w:t>
            </w:r>
          </w:p>
          <w:p w14:paraId="28FB04D0" w14:textId="77777777" w:rsidR="009B2A51" w:rsidRPr="00307998" w:rsidRDefault="009B2A51" w:rsidP="0002133E">
            <w:pPr>
              <w:rPr>
                <w:sz w:val="25"/>
                <w:szCs w:val="25"/>
              </w:rPr>
            </w:pPr>
            <w:r w:rsidRPr="00307998">
              <w:rPr>
                <w:sz w:val="25"/>
                <w:szCs w:val="25"/>
              </w:rPr>
              <w:t xml:space="preserve">  (-0.129, 0.067)</w:t>
            </w:r>
          </w:p>
        </w:tc>
      </w:tr>
      <w:tr w:rsidR="009B2A51" w:rsidRPr="00307998" w14:paraId="619EDC42" w14:textId="77777777" w:rsidTr="0002133E">
        <w:tc>
          <w:tcPr>
            <w:tcW w:w="1806" w:type="dxa"/>
            <w:vMerge/>
          </w:tcPr>
          <w:p w14:paraId="7CCE4280" w14:textId="77777777" w:rsidR="009B2A51" w:rsidRPr="00307998" w:rsidRDefault="009B2A51" w:rsidP="0002133E">
            <w:pPr>
              <w:rPr>
                <w:sz w:val="25"/>
                <w:szCs w:val="25"/>
              </w:rPr>
            </w:pPr>
          </w:p>
        </w:tc>
        <w:tc>
          <w:tcPr>
            <w:tcW w:w="1279" w:type="dxa"/>
          </w:tcPr>
          <w:p w14:paraId="0FDA343F" w14:textId="77777777" w:rsidR="009B2A51" w:rsidRPr="00307998" w:rsidRDefault="009B2A51" w:rsidP="0002133E">
            <w:pPr>
              <w:rPr>
                <w:sz w:val="25"/>
                <w:szCs w:val="25"/>
              </w:rPr>
            </w:pPr>
            <w:r w:rsidRPr="00307998">
              <w:rPr>
                <w:sz w:val="25"/>
                <w:szCs w:val="25"/>
              </w:rPr>
              <w:t>severe</w:t>
            </w:r>
          </w:p>
        </w:tc>
        <w:tc>
          <w:tcPr>
            <w:tcW w:w="992" w:type="dxa"/>
            <w:vMerge/>
          </w:tcPr>
          <w:p w14:paraId="4112FF39" w14:textId="77777777" w:rsidR="009B2A51" w:rsidRPr="00307998" w:rsidRDefault="009B2A51" w:rsidP="0002133E">
            <w:pPr>
              <w:rPr>
                <w:sz w:val="25"/>
                <w:szCs w:val="25"/>
              </w:rPr>
            </w:pPr>
          </w:p>
        </w:tc>
        <w:tc>
          <w:tcPr>
            <w:tcW w:w="2552" w:type="dxa"/>
          </w:tcPr>
          <w:p w14:paraId="10D5F93D" w14:textId="77777777" w:rsidR="009B2A51" w:rsidRPr="00307998" w:rsidRDefault="009B2A51" w:rsidP="0002133E">
            <w:pPr>
              <w:rPr>
                <w:sz w:val="25"/>
                <w:szCs w:val="25"/>
              </w:rPr>
            </w:pPr>
            <w:r w:rsidRPr="00307998">
              <w:rPr>
                <w:sz w:val="25"/>
                <w:szCs w:val="25"/>
              </w:rPr>
              <w:t xml:space="preserve">-0.45 </w:t>
            </w:r>
          </w:p>
          <w:p w14:paraId="7BC7503B" w14:textId="77777777" w:rsidR="009B2A51" w:rsidRPr="00307998" w:rsidRDefault="009B2A51" w:rsidP="0002133E">
            <w:pPr>
              <w:rPr>
                <w:sz w:val="25"/>
                <w:szCs w:val="25"/>
              </w:rPr>
            </w:pPr>
            <w:r w:rsidRPr="00307998">
              <w:rPr>
                <w:sz w:val="25"/>
                <w:szCs w:val="25"/>
              </w:rPr>
              <w:t xml:space="preserve">  (-0.78, -0.11)</w:t>
            </w:r>
          </w:p>
        </w:tc>
        <w:tc>
          <w:tcPr>
            <w:tcW w:w="2613" w:type="dxa"/>
          </w:tcPr>
          <w:p w14:paraId="285DD4AE" w14:textId="77777777" w:rsidR="009B2A51" w:rsidRPr="00307998" w:rsidRDefault="009B2A51" w:rsidP="0002133E">
            <w:pPr>
              <w:rPr>
                <w:sz w:val="25"/>
                <w:szCs w:val="25"/>
              </w:rPr>
            </w:pPr>
            <w:r w:rsidRPr="00307998">
              <w:rPr>
                <w:sz w:val="25"/>
                <w:szCs w:val="25"/>
              </w:rPr>
              <w:t xml:space="preserve">-0.44 </w:t>
            </w:r>
          </w:p>
          <w:p w14:paraId="32B4EAC2" w14:textId="77777777" w:rsidR="009B2A51" w:rsidRPr="00307998" w:rsidRDefault="009B2A51" w:rsidP="0002133E">
            <w:pPr>
              <w:rPr>
                <w:sz w:val="25"/>
                <w:szCs w:val="25"/>
              </w:rPr>
            </w:pPr>
            <w:r w:rsidRPr="00307998">
              <w:rPr>
                <w:sz w:val="25"/>
                <w:szCs w:val="25"/>
              </w:rPr>
              <w:t xml:space="preserve">  (-0.78, -0.11)</w:t>
            </w:r>
          </w:p>
        </w:tc>
      </w:tr>
      <w:tr w:rsidR="009B2A51" w:rsidRPr="00307998" w14:paraId="77884BA6" w14:textId="77777777" w:rsidTr="0002133E">
        <w:tc>
          <w:tcPr>
            <w:tcW w:w="1806" w:type="dxa"/>
            <w:vMerge w:val="restart"/>
          </w:tcPr>
          <w:p w14:paraId="2674AA44" w14:textId="77777777" w:rsidR="009B2A51" w:rsidRPr="00307998" w:rsidRDefault="009B2A51" w:rsidP="0002133E">
            <w:pPr>
              <w:rPr>
                <w:sz w:val="25"/>
                <w:szCs w:val="25"/>
              </w:rPr>
            </w:pPr>
            <w:r w:rsidRPr="00307998">
              <w:rPr>
                <w:sz w:val="25"/>
                <w:szCs w:val="25"/>
              </w:rPr>
              <w:t xml:space="preserve">FEV1 decline </w:t>
            </w:r>
          </w:p>
        </w:tc>
        <w:tc>
          <w:tcPr>
            <w:tcW w:w="1279" w:type="dxa"/>
          </w:tcPr>
          <w:p w14:paraId="64B4C7D2" w14:textId="77777777" w:rsidR="009B2A51" w:rsidRPr="00307998" w:rsidRDefault="009B2A51" w:rsidP="0002133E">
            <w:pPr>
              <w:rPr>
                <w:sz w:val="25"/>
                <w:szCs w:val="25"/>
              </w:rPr>
            </w:pPr>
            <w:r w:rsidRPr="00307998">
              <w:rPr>
                <w:sz w:val="25"/>
                <w:szCs w:val="25"/>
              </w:rPr>
              <w:t>all data</w:t>
            </w:r>
          </w:p>
        </w:tc>
        <w:tc>
          <w:tcPr>
            <w:tcW w:w="992" w:type="dxa"/>
            <w:vMerge w:val="restart"/>
          </w:tcPr>
          <w:p w14:paraId="0662AA52" w14:textId="77777777" w:rsidR="009B2A51" w:rsidRPr="00307998" w:rsidRDefault="009B2A51" w:rsidP="0002133E">
            <w:pPr>
              <w:rPr>
                <w:sz w:val="25"/>
                <w:szCs w:val="25"/>
              </w:rPr>
            </w:pPr>
          </w:p>
          <w:p w14:paraId="122CB5E7" w14:textId="77777777" w:rsidR="009B2A51" w:rsidRPr="00307998" w:rsidRDefault="009B2A51" w:rsidP="0002133E">
            <w:pPr>
              <w:rPr>
                <w:sz w:val="25"/>
                <w:szCs w:val="25"/>
              </w:rPr>
            </w:pPr>
            <w:r w:rsidRPr="00307998">
              <w:rPr>
                <w:sz w:val="25"/>
                <w:szCs w:val="25"/>
              </w:rPr>
              <w:t>L/year</w:t>
            </w:r>
          </w:p>
        </w:tc>
        <w:tc>
          <w:tcPr>
            <w:tcW w:w="2552" w:type="dxa"/>
          </w:tcPr>
          <w:p w14:paraId="584B158A" w14:textId="77777777" w:rsidR="009B2A51" w:rsidRPr="00307998" w:rsidRDefault="009B2A51" w:rsidP="0002133E">
            <w:pPr>
              <w:rPr>
                <w:sz w:val="25"/>
                <w:szCs w:val="25"/>
              </w:rPr>
            </w:pPr>
            <w:r w:rsidRPr="00307998">
              <w:rPr>
                <w:sz w:val="25"/>
                <w:szCs w:val="25"/>
              </w:rPr>
              <w:t xml:space="preserve">-0.0037 </w:t>
            </w:r>
          </w:p>
          <w:p w14:paraId="538638EE" w14:textId="0D37FFA0" w:rsidR="009B2A51" w:rsidRPr="00307998" w:rsidRDefault="009B2A51" w:rsidP="0002133E">
            <w:pPr>
              <w:rPr>
                <w:sz w:val="25"/>
                <w:szCs w:val="25"/>
              </w:rPr>
            </w:pPr>
            <w:r w:rsidRPr="00307998">
              <w:rPr>
                <w:sz w:val="25"/>
                <w:szCs w:val="25"/>
              </w:rPr>
              <w:t xml:space="preserve">  (-0.0122</w:t>
            </w:r>
            <w:r w:rsidR="00096036">
              <w:rPr>
                <w:sz w:val="25"/>
                <w:szCs w:val="25"/>
              </w:rPr>
              <w:t>,</w:t>
            </w:r>
            <w:r w:rsidRPr="00307998">
              <w:rPr>
                <w:sz w:val="25"/>
                <w:szCs w:val="25"/>
              </w:rPr>
              <w:t xml:space="preserve"> 0.0048)</w:t>
            </w:r>
          </w:p>
        </w:tc>
        <w:tc>
          <w:tcPr>
            <w:tcW w:w="2613" w:type="dxa"/>
          </w:tcPr>
          <w:p w14:paraId="5F42EE95" w14:textId="77777777" w:rsidR="009B2A51" w:rsidRPr="00307998" w:rsidRDefault="009B2A51" w:rsidP="0002133E">
            <w:pPr>
              <w:rPr>
                <w:sz w:val="25"/>
                <w:szCs w:val="25"/>
              </w:rPr>
            </w:pPr>
            <w:r w:rsidRPr="00307998">
              <w:rPr>
                <w:sz w:val="25"/>
                <w:szCs w:val="25"/>
              </w:rPr>
              <w:t xml:space="preserve">-0.0042 </w:t>
            </w:r>
          </w:p>
          <w:p w14:paraId="25C7A817" w14:textId="77777777" w:rsidR="009B2A51" w:rsidRPr="00307998" w:rsidRDefault="009B2A51" w:rsidP="0002133E">
            <w:pPr>
              <w:rPr>
                <w:sz w:val="25"/>
                <w:szCs w:val="25"/>
              </w:rPr>
            </w:pPr>
            <w:r w:rsidRPr="00307998">
              <w:rPr>
                <w:sz w:val="25"/>
                <w:szCs w:val="25"/>
              </w:rPr>
              <w:t xml:space="preserve">  (-0.0127, 0.0043)</w:t>
            </w:r>
          </w:p>
        </w:tc>
      </w:tr>
      <w:tr w:rsidR="009B2A51" w:rsidRPr="00307998" w14:paraId="0D684D04" w14:textId="77777777" w:rsidTr="0002133E">
        <w:tc>
          <w:tcPr>
            <w:tcW w:w="1806" w:type="dxa"/>
            <w:vMerge/>
          </w:tcPr>
          <w:p w14:paraId="42CB2294" w14:textId="77777777" w:rsidR="009B2A51" w:rsidRPr="00307998" w:rsidRDefault="009B2A51" w:rsidP="0002133E">
            <w:pPr>
              <w:rPr>
                <w:sz w:val="25"/>
                <w:szCs w:val="25"/>
              </w:rPr>
            </w:pPr>
          </w:p>
        </w:tc>
        <w:tc>
          <w:tcPr>
            <w:tcW w:w="1279" w:type="dxa"/>
          </w:tcPr>
          <w:p w14:paraId="05FA6A9A" w14:textId="77777777" w:rsidR="009B2A51" w:rsidRPr="00307998" w:rsidRDefault="009B2A51" w:rsidP="0002133E">
            <w:pPr>
              <w:rPr>
                <w:sz w:val="25"/>
                <w:szCs w:val="25"/>
              </w:rPr>
            </w:pPr>
            <w:r w:rsidRPr="00307998">
              <w:rPr>
                <w:sz w:val="25"/>
                <w:szCs w:val="25"/>
              </w:rPr>
              <w:t>3 year</w:t>
            </w:r>
          </w:p>
        </w:tc>
        <w:tc>
          <w:tcPr>
            <w:tcW w:w="992" w:type="dxa"/>
            <w:vMerge/>
          </w:tcPr>
          <w:p w14:paraId="72D83975" w14:textId="77777777" w:rsidR="009B2A51" w:rsidRPr="00307998" w:rsidRDefault="009B2A51" w:rsidP="0002133E">
            <w:pPr>
              <w:rPr>
                <w:sz w:val="25"/>
                <w:szCs w:val="25"/>
              </w:rPr>
            </w:pPr>
          </w:p>
        </w:tc>
        <w:tc>
          <w:tcPr>
            <w:tcW w:w="2552" w:type="dxa"/>
          </w:tcPr>
          <w:p w14:paraId="6C214173" w14:textId="77777777" w:rsidR="009B2A51" w:rsidRPr="00307998" w:rsidRDefault="009B2A51" w:rsidP="0002133E">
            <w:pPr>
              <w:rPr>
                <w:sz w:val="25"/>
                <w:szCs w:val="25"/>
              </w:rPr>
            </w:pPr>
            <w:r w:rsidRPr="00307998">
              <w:rPr>
                <w:sz w:val="25"/>
                <w:szCs w:val="25"/>
              </w:rPr>
              <w:t>-0.0005</w:t>
            </w:r>
          </w:p>
          <w:p w14:paraId="52D8D409" w14:textId="77777777" w:rsidR="009B2A51" w:rsidRPr="00307998" w:rsidRDefault="009B2A51" w:rsidP="0002133E">
            <w:pPr>
              <w:rPr>
                <w:sz w:val="25"/>
                <w:szCs w:val="25"/>
              </w:rPr>
            </w:pPr>
            <w:r w:rsidRPr="00307998">
              <w:rPr>
                <w:sz w:val="25"/>
                <w:szCs w:val="25"/>
              </w:rPr>
              <w:t xml:space="preserve">  (-0.0177, 0.0168)</w:t>
            </w:r>
          </w:p>
        </w:tc>
        <w:tc>
          <w:tcPr>
            <w:tcW w:w="2613" w:type="dxa"/>
          </w:tcPr>
          <w:p w14:paraId="634B2F77" w14:textId="77777777" w:rsidR="009B2A51" w:rsidRPr="00307998" w:rsidRDefault="009B2A51" w:rsidP="0002133E">
            <w:pPr>
              <w:rPr>
                <w:sz w:val="25"/>
                <w:szCs w:val="25"/>
              </w:rPr>
            </w:pPr>
            <w:r w:rsidRPr="00307998">
              <w:rPr>
                <w:sz w:val="25"/>
                <w:szCs w:val="25"/>
              </w:rPr>
              <w:t xml:space="preserve">-0.0001 </w:t>
            </w:r>
          </w:p>
          <w:p w14:paraId="5668CC09" w14:textId="77777777" w:rsidR="009B2A51" w:rsidRPr="00307998" w:rsidRDefault="009B2A51" w:rsidP="0002133E">
            <w:pPr>
              <w:rPr>
                <w:sz w:val="25"/>
                <w:szCs w:val="25"/>
              </w:rPr>
            </w:pPr>
            <w:r w:rsidRPr="00307998">
              <w:rPr>
                <w:sz w:val="25"/>
                <w:szCs w:val="25"/>
              </w:rPr>
              <w:t xml:space="preserve">  (-0.0173, 0.0171)</w:t>
            </w:r>
          </w:p>
        </w:tc>
      </w:tr>
    </w:tbl>
    <w:p w14:paraId="755F3A76" w14:textId="77777777" w:rsidR="009B2A51" w:rsidRPr="00307998" w:rsidRDefault="009B2A51" w:rsidP="009B2A51">
      <w:pPr>
        <w:jc w:val="both"/>
        <w:rPr>
          <w:sz w:val="25"/>
          <w:szCs w:val="25"/>
        </w:rPr>
      </w:pPr>
      <w:r w:rsidRPr="00307998">
        <w:rPr>
          <w:sz w:val="25"/>
          <w:szCs w:val="25"/>
        </w:rPr>
        <w:br w:type="page"/>
      </w:r>
    </w:p>
    <w:p w14:paraId="6152C0EB" w14:textId="527E775D" w:rsidR="009B2A51" w:rsidRPr="00307998" w:rsidRDefault="009B2A51" w:rsidP="009B2A51">
      <w:pPr>
        <w:jc w:val="both"/>
        <w:rPr>
          <w:sz w:val="25"/>
          <w:szCs w:val="25"/>
        </w:rPr>
      </w:pP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b/>
          <w:noProof/>
          <w:sz w:val="25"/>
          <w:szCs w:val="25"/>
          <w:lang w:eastAsia="en-GB"/>
        </w:rPr>
        <w:drawing>
          <wp:inline distT="0" distB="0" distL="0" distR="0" wp14:anchorId="2C7DE30F" wp14:editId="747C8412">
            <wp:extent cx="5767070" cy="5593946"/>
            <wp:effectExtent l="0" t="0" r="5080" b="6985"/>
            <wp:docPr id="20" name="Picture 20" descr="C:\mike\COPD\GSK\results260819\plus1_models_allmort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ke\COPD\GSK\results260819\plus1_models_allmort_supp_figure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49" t="10810"/>
                    <a:stretch/>
                  </pic:blipFill>
                  <pic:spPr bwMode="auto">
                    <a:xfrm>
                      <a:off x="0" y="0"/>
                      <a:ext cx="5767487" cy="5594350"/>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4:</w:t>
      </w:r>
      <w:r w:rsidRPr="00307998">
        <w:rPr>
          <w:sz w:val="25"/>
          <w:szCs w:val="25"/>
        </w:rPr>
        <w:t xml:space="preserve"> Hazard rates comparing all-cause mortality in the elevated and normal BNC groups. Each line is a point estimate and 95% confidence interval for one model. Below the unadjusted result, and that adjusted for age, sex, and smoking, the other results are each for adding one term to the adjusted model. The labels on the left correspond to </w:t>
      </w:r>
      <w:r w:rsidR="00B436C2">
        <w:rPr>
          <w:sz w:val="25"/>
          <w:szCs w:val="25"/>
        </w:rPr>
        <w:t>e-</w:t>
      </w:r>
      <w:r w:rsidRPr="00307998">
        <w:rPr>
          <w:sz w:val="25"/>
          <w:szCs w:val="25"/>
        </w:rPr>
        <w:t xml:space="preserve">Table </w:t>
      </w:r>
      <w:r>
        <w:rPr>
          <w:sz w:val="25"/>
          <w:szCs w:val="25"/>
        </w:rPr>
        <w:t>1</w:t>
      </w:r>
      <w:r w:rsidRPr="00307998">
        <w:rPr>
          <w:sz w:val="25"/>
          <w:szCs w:val="25"/>
        </w:rPr>
        <w:t>, and the numbers on the right are sample sizes.</w:t>
      </w:r>
    </w:p>
    <w:p w14:paraId="3EBFE18B" w14:textId="1B4E7E7A" w:rsidR="009B2A51" w:rsidRPr="00307998" w:rsidRDefault="009B2A51" w:rsidP="009B2A51">
      <w:pPr>
        <w:jc w:val="both"/>
        <w:rPr>
          <w:sz w:val="25"/>
          <w:szCs w:val="25"/>
        </w:rPr>
      </w:pPr>
      <w:r w:rsidRPr="00307998">
        <w:rPr>
          <w:sz w:val="25"/>
          <w:szCs w:val="25"/>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noProof/>
          <w:sz w:val="25"/>
          <w:szCs w:val="25"/>
          <w:lang w:eastAsia="en-GB"/>
        </w:rPr>
        <w:drawing>
          <wp:inline distT="0" distB="0" distL="0" distR="0" wp14:anchorId="67E3ADA2" wp14:editId="24890CE0">
            <wp:extent cx="5727700" cy="5165725"/>
            <wp:effectExtent l="0" t="0" r="6350" b="0"/>
            <wp:docPr id="21" name="Picture 21" descr="C:\mike\COPD\GSK\results260819\plus1_models_J44mort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ke\COPD\GSK\results260819\plus1_models_J44mort_supp_figure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11"/>
                    <a:stretch/>
                  </pic:blipFill>
                  <pic:spPr bwMode="auto">
                    <a:xfrm>
                      <a:off x="0" y="0"/>
                      <a:ext cx="5727700" cy="51657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e-Fi</w:t>
      </w:r>
      <w:r w:rsidRPr="00307998">
        <w:rPr>
          <w:b/>
          <w:sz w:val="25"/>
          <w:szCs w:val="25"/>
        </w:rPr>
        <w:t>gure 5</w:t>
      </w:r>
      <w:r w:rsidRPr="00307998">
        <w:rPr>
          <w:sz w:val="25"/>
          <w:szCs w:val="25"/>
        </w:rPr>
        <w:t xml:space="preserve">: as </w:t>
      </w:r>
      <w:r w:rsidR="00096036">
        <w:rPr>
          <w:sz w:val="25"/>
          <w:szCs w:val="25"/>
        </w:rPr>
        <w:t>e-</w:t>
      </w:r>
      <w:r w:rsidRPr="00307998">
        <w:rPr>
          <w:sz w:val="25"/>
          <w:szCs w:val="25"/>
        </w:rPr>
        <w:t xml:space="preserve">Figure 4, but for only mortality from ICD10 code J44. Each line is a point estimate and 95% confidence interval for one model. Below the unadjusted result, and that adjusted for age, sex, and smoking, the other results are each for adding one term to the adjusted model. The labels on the left correspond to </w:t>
      </w:r>
      <w:r w:rsidR="00B436C2">
        <w:rPr>
          <w:sz w:val="25"/>
          <w:szCs w:val="25"/>
        </w:rPr>
        <w:t>e-</w:t>
      </w:r>
      <w:r w:rsidRPr="00307998">
        <w:rPr>
          <w:sz w:val="25"/>
          <w:szCs w:val="25"/>
        </w:rPr>
        <w:t xml:space="preserve">Table </w:t>
      </w:r>
      <w:r>
        <w:rPr>
          <w:sz w:val="25"/>
          <w:szCs w:val="25"/>
        </w:rPr>
        <w:t>1</w:t>
      </w:r>
      <w:r w:rsidRPr="00307998">
        <w:rPr>
          <w:sz w:val="25"/>
          <w:szCs w:val="25"/>
        </w:rPr>
        <w:t>, and the numbers on the right are sample sizes.</w:t>
      </w:r>
    </w:p>
    <w:p w14:paraId="623C7A18" w14:textId="2FECCE74" w:rsidR="009B2A51" w:rsidRPr="00307998" w:rsidRDefault="009B2A51" w:rsidP="009B2A51">
      <w:pPr>
        <w:jc w:val="both"/>
        <w:rPr>
          <w:sz w:val="25"/>
          <w:szCs w:val="25"/>
        </w:rPr>
      </w:pPr>
      <w:r w:rsidRPr="00307998">
        <w:rPr>
          <w:b/>
          <w:noProof/>
          <w:sz w:val="25"/>
          <w:szCs w:val="25"/>
          <w:lang w:eastAsia="en-GB"/>
        </w:rPr>
        <w:lastRenderedPageBreak/>
        <w:drawing>
          <wp:inline distT="0" distB="0" distL="0" distR="0" wp14:anchorId="38BFABDE" wp14:editId="2C3129DC">
            <wp:extent cx="5727700" cy="5118100"/>
            <wp:effectExtent l="0" t="0" r="6350" b="6350"/>
            <wp:docPr id="22" name="Picture 22" descr="C:\mike\COPD\GSK\results260819\paper_new_figure3 v7su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ke\COPD\GSK\results260819\paper_new_figure3 v7sup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43"/>
                    <a:stretch/>
                  </pic:blipFill>
                  <pic:spPr bwMode="auto">
                    <a:xfrm>
                      <a:off x="0" y="0"/>
                      <a:ext cx="5727700" cy="5118100"/>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w:t>
      </w:r>
      <w:r w:rsidRPr="00307998">
        <w:rPr>
          <w:b/>
          <w:sz w:val="25"/>
          <w:szCs w:val="25"/>
        </w:rPr>
        <w:t>Figure 6</w:t>
      </w:r>
      <w:r w:rsidRPr="00307998">
        <w:rPr>
          <w:sz w:val="25"/>
          <w:szCs w:val="25"/>
        </w:rPr>
        <w:t xml:space="preserve">: </w:t>
      </w:r>
      <w:r w:rsidRPr="00307998">
        <w:rPr>
          <w:b/>
          <w:bCs/>
          <w:sz w:val="25"/>
          <w:szCs w:val="25"/>
        </w:rPr>
        <w:t>A</w:t>
      </w:r>
      <w:r w:rsidRPr="00307998">
        <w:rPr>
          <w:sz w:val="25"/>
          <w:szCs w:val="25"/>
        </w:rPr>
        <w:t xml:space="preserve">: Kaplan Meier survival curves, with 95% confidence intervals, showing low neutrophil group (blue) and extreme neutrophil group (green) alongside the </w:t>
      </w:r>
      <w:r>
        <w:rPr>
          <w:sz w:val="25"/>
          <w:szCs w:val="25"/>
        </w:rPr>
        <w:t>n</w:t>
      </w:r>
      <w:r w:rsidRPr="00307998">
        <w:rPr>
          <w:sz w:val="25"/>
          <w:szCs w:val="25"/>
        </w:rPr>
        <w:t xml:space="preserve">ormal (black) and elevated (red) groups. adjusted for age, sex, and smoking status. </w:t>
      </w:r>
      <w:r w:rsidRPr="00307998">
        <w:rPr>
          <w:b/>
          <w:bCs/>
          <w:sz w:val="25"/>
          <w:szCs w:val="25"/>
        </w:rPr>
        <w:t>B</w:t>
      </w:r>
      <w:r w:rsidRPr="00307998">
        <w:rPr>
          <w:sz w:val="25"/>
          <w:szCs w:val="25"/>
        </w:rPr>
        <w:t xml:space="preserve">: As </w:t>
      </w:r>
      <w:r w:rsidRPr="00307998">
        <w:rPr>
          <w:b/>
          <w:bCs/>
          <w:sz w:val="25"/>
          <w:szCs w:val="25"/>
        </w:rPr>
        <w:t>A</w:t>
      </w:r>
      <w:r w:rsidRPr="00307998">
        <w:rPr>
          <w:sz w:val="25"/>
          <w:szCs w:val="25"/>
        </w:rPr>
        <w:t xml:space="preserve">, but representing mortality recorded as ICD10 J44, with all other mortality as a competing risk. </w:t>
      </w:r>
      <w:r w:rsidRPr="00307998">
        <w:rPr>
          <w:b/>
          <w:bCs/>
          <w:sz w:val="25"/>
          <w:szCs w:val="25"/>
        </w:rPr>
        <w:t>C</w:t>
      </w:r>
      <w:r w:rsidRPr="00307998">
        <w:rPr>
          <w:sz w:val="25"/>
          <w:szCs w:val="25"/>
        </w:rPr>
        <w:t xml:space="preserve">: Ratios of the numbers of all, and severe, exacerbations over the year from the index date from both unadjusted models and models adjusted for age, sex and smoking status. All are relative to the normal BNC group. </w:t>
      </w:r>
      <w:r w:rsidRPr="00307998">
        <w:rPr>
          <w:b/>
          <w:sz w:val="25"/>
          <w:szCs w:val="25"/>
        </w:rPr>
        <w:t>D:</w:t>
      </w:r>
      <w:r w:rsidRPr="00307998">
        <w:rPr>
          <w:sz w:val="25"/>
          <w:szCs w:val="25"/>
        </w:rPr>
        <w:t xml:space="preserve"> Rates of change of FEV</w:t>
      </w:r>
      <w:r w:rsidRPr="00307998">
        <w:rPr>
          <w:sz w:val="25"/>
          <w:szCs w:val="25"/>
          <w:vertAlign w:val="subscript"/>
        </w:rPr>
        <w:t>1</w:t>
      </w:r>
      <w:r w:rsidRPr="00307998">
        <w:rPr>
          <w:sz w:val="25"/>
          <w:szCs w:val="25"/>
        </w:rPr>
        <w:t xml:space="preserve">, estimated by fitting mixed models to either all data or only that obtained in the three years from each individual’s index date. Note that the x-axes in </w:t>
      </w:r>
      <w:r w:rsidRPr="00307998">
        <w:rPr>
          <w:b/>
          <w:sz w:val="25"/>
          <w:szCs w:val="25"/>
        </w:rPr>
        <w:t>C</w:t>
      </w:r>
      <w:r w:rsidRPr="00307998">
        <w:rPr>
          <w:sz w:val="25"/>
          <w:szCs w:val="25"/>
        </w:rPr>
        <w:t xml:space="preserve"> and </w:t>
      </w:r>
      <w:r w:rsidRPr="00307998">
        <w:rPr>
          <w:b/>
          <w:sz w:val="25"/>
          <w:szCs w:val="25"/>
        </w:rPr>
        <w:t>D</w:t>
      </w:r>
      <w:r w:rsidRPr="00307998">
        <w:rPr>
          <w:sz w:val="25"/>
          <w:szCs w:val="25"/>
        </w:rPr>
        <w:t xml:space="preserve"> have been extended to show the extra data compared to that shown in Figure 3.</w:t>
      </w:r>
      <w:r w:rsidRPr="00307998">
        <w:rPr>
          <w:rFonts w:eastAsia="Calibri"/>
          <w:color w:val="000000"/>
          <w:sz w:val="25"/>
          <w:szCs w:val="25"/>
          <w:u w:color="000000"/>
          <w:lang w:val="en-US" w:eastAsia="en-GB"/>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rFonts w:eastAsia="Calibri"/>
          <w:noProof/>
          <w:color w:val="000000"/>
          <w:sz w:val="25"/>
          <w:szCs w:val="25"/>
          <w:u w:color="000000"/>
          <w:lang w:eastAsia="en-GB"/>
        </w:rPr>
        <w:drawing>
          <wp:inline distT="0" distB="0" distL="0" distR="0" wp14:anchorId="751F97F6" wp14:editId="5815BDAA">
            <wp:extent cx="5727700" cy="5089525"/>
            <wp:effectExtent l="0" t="0" r="6350" b="0"/>
            <wp:docPr id="23" name="Picture 23" descr="C:\mike\COPD\GSK\results260819\plus1_models_aem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ke\COPD\GSK\results260819\plus1_models_aem_supp_figure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41"/>
                    <a:stretch/>
                  </pic:blipFill>
                  <pic:spPr bwMode="auto">
                    <a:xfrm>
                      <a:off x="0" y="0"/>
                      <a:ext cx="5727700" cy="50895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7:</w:t>
      </w:r>
      <w:r w:rsidRPr="00307998">
        <w:rPr>
          <w:sz w:val="25"/>
          <w:szCs w:val="25"/>
        </w:rPr>
        <w:t xml:space="preserve"> Incident rate ratios, compared to the normal BNC group, for all exacerbations for elevated BNC groups. Each row shows the mean and 95% confidence interval for the model adjusted for one of 35 potential confounding variables, listed in </w:t>
      </w:r>
      <w:r w:rsidR="00B436C2">
        <w:rPr>
          <w:sz w:val="25"/>
          <w:szCs w:val="25"/>
        </w:rPr>
        <w:t>e-</w:t>
      </w:r>
      <w:r w:rsidRPr="00307998">
        <w:rPr>
          <w:sz w:val="25"/>
          <w:szCs w:val="25"/>
        </w:rPr>
        <w:t xml:space="preserve">Table </w:t>
      </w:r>
      <w:r>
        <w:rPr>
          <w:sz w:val="25"/>
          <w:szCs w:val="25"/>
        </w:rPr>
        <w:t>1</w:t>
      </w:r>
      <w:r w:rsidRPr="00307998">
        <w:rPr>
          <w:sz w:val="25"/>
          <w:szCs w:val="25"/>
        </w:rPr>
        <w:t xml:space="preserve">. </w:t>
      </w:r>
      <w:r w:rsidRPr="00307998">
        <w:rPr>
          <w:sz w:val="25"/>
          <w:szCs w:val="25"/>
        </w:rPr>
        <w:br w:type="page"/>
      </w:r>
      <w:r w:rsidRPr="00307998">
        <w:rPr>
          <w:rFonts w:eastAsia="Times New Roman"/>
          <w:snapToGrid w:val="0"/>
          <w:color w:val="000000"/>
          <w:w w:val="0"/>
          <w:sz w:val="25"/>
          <w:szCs w:val="25"/>
          <w:u w:color="000000"/>
          <w:bdr w:val="none" w:sz="0" w:space="0" w:color="000000"/>
          <w:shd w:val="clear" w:color="000000" w:fill="000000"/>
          <w:lang w:val="x-none" w:eastAsia="x-none" w:bidi="x-none"/>
        </w:rPr>
        <w:lastRenderedPageBreak/>
        <w:t xml:space="preserve"> </w:t>
      </w:r>
      <w:r w:rsidRPr="00307998">
        <w:rPr>
          <w:noProof/>
          <w:sz w:val="25"/>
          <w:szCs w:val="25"/>
          <w:lang w:eastAsia="en-GB"/>
        </w:rPr>
        <w:drawing>
          <wp:inline distT="0" distB="0" distL="0" distR="0" wp14:anchorId="551A01FE" wp14:editId="61CB41F1">
            <wp:extent cx="5727700" cy="5089525"/>
            <wp:effectExtent l="0" t="0" r="6350" b="0"/>
            <wp:docPr id="24" name="Picture 24" descr="C:\mike\COPD\GSK\results260819\plus1_models_sem_supp_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ke\COPD\GSK\results260819\plus1_models_sem_supp_figure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141"/>
                    <a:stretch/>
                  </pic:blipFill>
                  <pic:spPr bwMode="auto">
                    <a:xfrm>
                      <a:off x="0" y="0"/>
                      <a:ext cx="5727700" cy="5089525"/>
                    </a:xfrm>
                    <a:prstGeom prst="rect">
                      <a:avLst/>
                    </a:prstGeom>
                    <a:noFill/>
                    <a:ln>
                      <a:noFill/>
                    </a:ln>
                    <a:extLst>
                      <a:ext uri="{53640926-AAD7-44D8-BBD7-CCE9431645EC}">
                        <a14:shadowObscured xmlns:a14="http://schemas.microsoft.com/office/drawing/2010/main"/>
                      </a:ext>
                    </a:extLst>
                  </pic:spPr>
                </pic:pic>
              </a:graphicData>
            </a:graphic>
          </wp:inline>
        </w:drawing>
      </w:r>
      <w:r w:rsidR="00B436C2">
        <w:rPr>
          <w:b/>
          <w:sz w:val="25"/>
          <w:szCs w:val="25"/>
        </w:rPr>
        <w:t>e-F</w:t>
      </w:r>
      <w:r w:rsidRPr="00307998">
        <w:rPr>
          <w:b/>
          <w:sz w:val="25"/>
          <w:szCs w:val="25"/>
        </w:rPr>
        <w:t>igure 8:</w:t>
      </w:r>
      <w:r w:rsidRPr="00307998">
        <w:rPr>
          <w:sz w:val="25"/>
          <w:szCs w:val="25"/>
        </w:rPr>
        <w:t xml:space="preserve"> as </w:t>
      </w:r>
      <w:r w:rsidR="00096036">
        <w:rPr>
          <w:sz w:val="25"/>
          <w:szCs w:val="25"/>
        </w:rPr>
        <w:t>e-</w:t>
      </w:r>
      <w:r w:rsidRPr="00307998">
        <w:rPr>
          <w:sz w:val="25"/>
          <w:szCs w:val="25"/>
        </w:rPr>
        <w:t xml:space="preserve">Figure 7, but for only severe exacerbations, those causing hospitalization. Each row shows the mean and 95% confidence interval for the model adjusted for one of 38 potential confounding variables, listed in </w:t>
      </w:r>
      <w:r w:rsidR="00B436C2">
        <w:rPr>
          <w:sz w:val="25"/>
          <w:szCs w:val="25"/>
        </w:rPr>
        <w:t>e-</w:t>
      </w:r>
      <w:r w:rsidRPr="00307998">
        <w:rPr>
          <w:sz w:val="25"/>
          <w:szCs w:val="25"/>
        </w:rPr>
        <w:t xml:space="preserve">Table </w:t>
      </w:r>
      <w:r>
        <w:rPr>
          <w:sz w:val="25"/>
          <w:szCs w:val="25"/>
        </w:rPr>
        <w:t>1</w:t>
      </w:r>
      <w:r w:rsidRPr="00307998">
        <w:rPr>
          <w:sz w:val="25"/>
          <w:szCs w:val="25"/>
        </w:rPr>
        <w:t>.</w:t>
      </w:r>
    </w:p>
    <w:p w14:paraId="4524DA70" w14:textId="77777777" w:rsidR="009B2A51" w:rsidRPr="00307998" w:rsidRDefault="009B2A51" w:rsidP="009B2A51">
      <w:pPr>
        <w:jc w:val="both"/>
        <w:rPr>
          <w:sz w:val="25"/>
          <w:szCs w:val="25"/>
        </w:rPr>
      </w:pPr>
      <w:r w:rsidRPr="00307998">
        <w:rPr>
          <w:noProof/>
          <w:sz w:val="25"/>
          <w:szCs w:val="25"/>
          <w:lang w:eastAsia="en-GB"/>
        </w:rPr>
        <w:lastRenderedPageBreak/>
        <w:drawing>
          <wp:inline distT="0" distB="0" distL="0" distR="0" wp14:anchorId="4DAD9E21" wp14:editId="18984131">
            <wp:extent cx="5727700" cy="5127625"/>
            <wp:effectExtent l="0" t="0" r="6350" b="0"/>
            <wp:docPr id="25" name="Picture 25" descr="C:\mike\COPD\GSK\results260819\paper_supp_figure_y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ke\COPD\GSK\results260819\paper_supp_figure_young.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76"/>
                    <a:stretch/>
                  </pic:blipFill>
                  <pic:spPr bwMode="auto">
                    <a:xfrm>
                      <a:off x="0" y="0"/>
                      <a:ext cx="5727700" cy="5127625"/>
                    </a:xfrm>
                    <a:prstGeom prst="rect">
                      <a:avLst/>
                    </a:prstGeom>
                    <a:noFill/>
                    <a:ln>
                      <a:noFill/>
                    </a:ln>
                    <a:extLst>
                      <a:ext uri="{53640926-AAD7-44D8-BBD7-CCE9431645EC}">
                        <a14:shadowObscured xmlns:a14="http://schemas.microsoft.com/office/drawing/2010/main"/>
                      </a:ext>
                    </a:extLst>
                  </pic:spPr>
                </pic:pic>
              </a:graphicData>
            </a:graphic>
          </wp:inline>
        </w:drawing>
      </w:r>
    </w:p>
    <w:p w14:paraId="31DCCDDC" w14:textId="2AB9094A" w:rsidR="009B2A51" w:rsidRPr="00307998" w:rsidRDefault="00B436C2" w:rsidP="009B2A51">
      <w:pPr>
        <w:jc w:val="both"/>
        <w:rPr>
          <w:sz w:val="25"/>
          <w:szCs w:val="25"/>
        </w:rPr>
      </w:pPr>
      <w:r>
        <w:rPr>
          <w:b/>
          <w:sz w:val="25"/>
          <w:szCs w:val="25"/>
        </w:rPr>
        <w:t>e-F</w:t>
      </w:r>
      <w:r w:rsidR="009B2A51" w:rsidRPr="00307998">
        <w:rPr>
          <w:b/>
          <w:sz w:val="25"/>
          <w:szCs w:val="25"/>
        </w:rPr>
        <w:t>igure 9</w:t>
      </w:r>
      <w:r w:rsidR="009B2A51" w:rsidRPr="00307998">
        <w:rPr>
          <w:sz w:val="25"/>
          <w:szCs w:val="25"/>
        </w:rPr>
        <w:t xml:space="preserve">: As </w:t>
      </w:r>
      <w:r w:rsidR="009B2A51">
        <w:rPr>
          <w:sz w:val="25"/>
          <w:szCs w:val="25"/>
        </w:rPr>
        <w:t>F</w:t>
      </w:r>
      <w:r w:rsidR="009B2A51" w:rsidRPr="00307998">
        <w:rPr>
          <w:sz w:val="25"/>
          <w:szCs w:val="25"/>
        </w:rPr>
        <w:t>igure 3 but restricted to the younger half (age&lt;74 at index date) of the cohort.</w:t>
      </w:r>
    </w:p>
    <w:p w14:paraId="7ED23C39" w14:textId="77777777" w:rsidR="009B2A51" w:rsidRPr="00307998" w:rsidRDefault="009B2A51" w:rsidP="009B2A51">
      <w:pPr>
        <w:jc w:val="both"/>
        <w:rPr>
          <w:sz w:val="25"/>
          <w:szCs w:val="25"/>
        </w:rPr>
      </w:pPr>
      <w:r w:rsidRPr="00307998">
        <w:rPr>
          <w:noProof/>
          <w:sz w:val="25"/>
          <w:szCs w:val="25"/>
          <w:lang w:eastAsia="en-GB"/>
        </w:rPr>
        <w:lastRenderedPageBreak/>
        <w:drawing>
          <wp:inline distT="0" distB="0" distL="0" distR="0" wp14:anchorId="2409A92D" wp14:editId="21ABFBEA">
            <wp:extent cx="5727700" cy="5165725"/>
            <wp:effectExtent l="0" t="0" r="6350" b="0"/>
            <wp:docPr id="26" name="Picture 26" descr="C:\mike\COPD\GSK\results260819\paper_supp_figure_high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ike\COPD\GSK\results260819\paper_supp_figure_highnormal.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11"/>
                    <a:stretch/>
                  </pic:blipFill>
                  <pic:spPr bwMode="auto">
                    <a:xfrm>
                      <a:off x="0" y="0"/>
                      <a:ext cx="5727700" cy="5165725"/>
                    </a:xfrm>
                    <a:prstGeom prst="rect">
                      <a:avLst/>
                    </a:prstGeom>
                    <a:noFill/>
                    <a:ln>
                      <a:noFill/>
                    </a:ln>
                    <a:extLst>
                      <a:ext uri="{53640926-AAD7-44D8-BBD7-CCE9431645EC}">
                        <a14:shadowObscured xmlns:a14="http://schemas.microsoft.com/office/drawing/2010/main"/>
                      </a:ext>
                    </a:extLst>
                  </pic:spPr>
                </pic:pic>
              </a:graphicData>
            </a:graphic>
          </wp:inline>
        </w:drawing>
      </w:r>
    </w:p>
    <w:p w14:paraId="625D4599" w14:textId="14B0B4A0" w:rsidR="009B2A51" w:rsidRDefault="00B436C2" w:rsidP="009B2A51">
      <w:pPr>
        <w:jc w:val="both"/>
        <w:rPr>
          <w:sz w:val="25"/>
          <w:szCs w:val="25"/>
        </w:rPr>
      </w:pPr>
      <w:r>
        <w:rPr>
          <w:b/>
          <w:sz w:val="25"/>
          <w:szCs w:val="25"/>
        </w:rPr>
        <w:t>e-f</w:t>
      </w:r>
      <w:r w:rsidR="009B2A51" w:rsidRPr="00307998">
        <w:rPr>
          <w:b/>
          <w:sz w:val="25"/>
          <w:szCs w:val="25"/>
        </w:rPr>
        <w:t>igure 10</w:t>
      </w:r>
      <w:r w:rsidR="009B2A51" w:rsidRPr="00307998">
        <w:rPr>
          <w:sz w:val="25"/>
          <w:szCs w:val="25"/>
        </w:rPr>
        <w:t xml:space="preserve">: As </w:t>
      </w:r>
      <w:r w:rsidR="009B2A51">
        <w:rPr>
          <w:sz w:val="25"/>
          <w:szCs w:val="25"/>
        </w:rPr>
        <w:t>F</w:t>
      </w:r>
      <w:r w:rsidR="009B2A51" w:rsidRPr="00307998">
        <w:rPr>
          <w:sz w:val="25"/>
          <w:szCs w:val="25"/>
        </w:rPr>
        <w:t>igure 3, but with the elevated BNC group defined as 8,000-15,000 cells/µL, rather than 6,000-15,000 cells/µL.</w:t>
      </w:r>
    </w:p>
    <w:p w14:paraId="2F43F831" w14:textId="2E91097A" w:rsidR="009B2A51" w:rsidRPr="00307998" w:rsidRDefault="009B2A51" w:rsidP="009B2A51">
      <w:pPr>
        <w:jc w:val="both"/>
        <w:rPr>
          <w:sz w:val="25"/>
          <w:szCs w:val="25"/>
        </w:rPr>
      </w:pPr>
      <w:r>
        <w:rPr>
          <w:sz w:val="25"/>
          <w:szCs w:val="25"/>
        </w:rPr>
        <w:br w:type="page"/>
      </w:r>
      <w:r w:rsidR="00AF6E82">
        <w:rPr>
          <w:sz w:val="25"/>
          <w:szCs w:val="25"/>
        </w:rPr>
        <w:lastRenderedPageBreak/>
        <w:t>e-</w:t>
      </w:r>
      <w:r w:rsidRPr="00C063DB">
        <w:rPr>
          <w:b/>
          <w:bCs/>
          <w:sz w:val="25"/>
          <w:szCs w:val="25"/>
        </w:rPr>
        <w:t xml:space="preserve">Table </w:t>
      </w:r>
      <w:r>
        <w:rPr>
          <w:b/>
          <w:bCs/>
          <w:sz w:val="25"/>
          <w:szCs w:val="25"/>
        </w:rPr>
        <w:t>4</w:t>
      </w:r>
      <w:r w:rsidRPr="00C063DB">
        <w:rPr>
          <w:b/>
          <w:bCs/>
          <w:sz w:val="25"/>
          <w:szCs w:val="25"/>
        </w:rPr>
        <w:t>:</w:t>
      </w:r>
      <w:r w:rsidRPr="001704EB">
        <w:rPr>
          <w:sz w:val="25"/>
          <w:szCs w:val="25"/>
        </w:rPr>
        <w:t xml:space="preserve"> Characteristics of the </w:t>
      </w:r>
      <w:r>
        <w:rPr>
          <w:sz w:val="25"/>
          <w:szCs w:val="25"/>
        </w:rPr>
        <w:t>mechanistic</w:t>
      </w:r>
      <w:r w:rsidRPr="001704EB">
        <w:rPr>
          <w:sz w:val="25"/>
          <w:szCs w:val="25"/>
        </w:rPr>
        <w:t xml:space="preserve"> subcohort (n=</w:t>
      </w:r>
      <w:r>
        <w:rPr>
          <w:sz w:val="25"/>
          <w:szCs w:val="25"/>
        </w:rPr>
        <w:t xml:space="preserve">273 </w:t>
      </w:r>
      <w:r w:rsidRPr="001704EB">
        <w:rPr>
          <w:sz w:val="25"/>
          <w:szCs w:val="25"/>
        </w:rPr>
        <w:t>unique subjects, all assessed when clinically stable). Abbreviations: ICS= inhaled corticosteroids, BMI= body mass index, MRC= Medical Research Council, FEV</w:t>
      </w:r>
      <w:r w:rsidRPr="001704EB">
        <w:rPr>
          <w:sz w:val="25"/>
          <w:szCs w:val="25"/>
          <w:vertAlign w:val="subscript"/>
        </w:rPr>
        <w:t>1</w:t>
      </w:r>
      <w:r w:rsidRPr="001704EB">
        <w:rPr>
          <w:sz w:val="25"/>
          <w:szCs w:val="25"/>
        </w:rPr>
        <w:t>= forced expiratory volume in 1 second, FVC= forced vital capacity, SGRQ= St Georges Respiratory Questionnaire, CAT= COPD assessment test. *includes medication used in combination with other bronchodilators or inhaled steroids.</w:t>
      </w:r>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408"/>
        <w:gridCol w:w="2410"/>
      </w:tblGrid>
      <w:tr w:rsidR="009B2A51" w:rsidRPr="00307998" w14:paraId="2AFDABAF"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5421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49750"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b/>
                <w:bCs/>
                <w:sz w:val="25"/>
                <w:szCs w:val="25"/>
              </w:rPr>
              <w:t>Median (IQR) or n (%)</w:t>
            </w:r>
          </w:p>
        </w:tc>
      </w:tr>
      <w:tr w:rsidR="009B2A51" w:rsidRPr="00307998" w14:paraId="43C52C48"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0275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Age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1715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71 (66 -78)</w:t>
            </w:r>
          </w:p>
        </w:tc>
      </w:tr>
      <w:tr w:rsidR="009B2A51" w:rsidRPr="00307998" w14:paraId="186DCB10"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0A9A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Male Gender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9AA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166 (60.81)</w:t>
            </w:r>
          </w:p>
        </w:tc>
      </w:tr>
      <w:tr w:rsidR="009B2A51" w:rsidRPr="00307998" w14:paraId="31D55F37"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3DD9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BMI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9775F"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26.52 (24.00 -31.00)</w:t>
            </w:r>
          </w:p>
        </w:tc>
      </w:tr>
      <w:tr w:rsidR="009B2A51" w:rsidRPr="00307998" w14:paraId="21C94193"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2837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Smoking status</w:t>
            </w:r>
          </w:p>
          <w:p w14:paraId="18696450"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Never</w:t>
            </w:r>
          </w:p>
          <w:p w14:paraId="1E3A17DF"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Ex</w:t>
            </w:r>
          </w:p>
          <w:p w14:paraId="35B2927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Current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8B705"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4981F69C"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 (1.47)</w:t>
            </w:r>
          </w:p>
          <w:p w14:paraId="19DE969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196 (71.79)</w:t>
            </w:r>
          </w:p>
          <w:p w14:paraId="0B42EEA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73 (26.74)</w:t>
            </w:r>
          </w:p>
        </w:tc>
      </w:tr>
      <w:tr w:rsidR="009B2A51" w:rsidRPr="00307998" w14:paraId="2E6DD906"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68E3"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ICS use*</w:t>
            </w:r>
          </w:p>
          <w:p w14:paraId="3BF5A70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68EB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176 (64.47)</w:t>
            </w:r>
          </w:p>
        </w:tc>
      </w:tr>
      <w:tr w:rsidR="009B2A51" w:rsidRPr="00307998" w14:paraId="70EAD047"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B8D2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MRC dyspnoea score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2E01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 (2 -4)</w:t>
            </w:r>
          </w:p>
        </w:tc>
      </w:tr>
      <w:tr w:rsidR="009B2A51" w:rsidRPr="00307998" w14:paraId="7C661A11" w14:textId="77777777" w:rsidTr="0002133E">
        <w:trPr>
          <w:trHeight w:val="14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276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Exacerbation frequency (year prior to the study)</w:t>
            </w:r>
          </w:p>
          <w:p w14:paraId="2705A51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0</w:t>
            </w:r>
          </w:p>
          <w:p w14:paraId="1E9C056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1</w:t>
            </w:r>
          </w:p>
          <w:p w14:paraId="62881F4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2</w:t>
            </w:r>
          </w:p>
          <w:p w14:paraId="1B24BEF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3 or more</w:t>
            </w:r>
          </w:p>
          <w:p w14:paraId="6BBF9B5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30B84C7A"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Severe exacerbation requiring hospitalization (year prior to the study)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AA6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16471EB6"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61 (22.34)</w:t>
            </w:r>
          </w:p>
          <w:p w14:paraId="4171ECEE"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53 (19.41)</w:t>
            </w:r>
          </w:p>
          <w:p w14:paraId="4A9B44DF"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40 (14.65)</w:t>
            </w:r>
          </w:p>
          <w:p w14:paraId="41ADF3C1"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119 (43.59)</w:t>
            </w:r>
          </w:p>
          <w:p w14:paraId="496D1DA9"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7A17C17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63 (23.08)</w:t>
            </w:r>
          </w:p>
        </w:tc>
      </w:tr>
      <w:tr w:rsidR="009B2A51" w:rsidRPr="00307998" w14:paraId="3FC34AFA" w14:textId="77777777" w:rsidTr="0002133E">
        <w:trPr>
          <w:trHeight w:val="25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2F994"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Daily Sputum volume (mL)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DA943"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10 (3.00 -20.00)</w:t>
            </w:r>
          </w:p>
        </w:tc>
      </w:tr>
      <w:tr w:rsidR="009B2A51" w:rsidRPr="00307998" w14:paraId="153ADCEE" w14:textId="77777777" w:rsidTr="0002133E">
        <w:trPr>
          <w:trHeight w:val="336"/>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3847"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Spirometry</w:t>
            </w:r>
          </w:p>
          <w:p w14:paraId="691BE55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FEV</w:t>
            </w:r>
            <w:r w:rsidRPr="00307998">
              <w:rPr>
                <w:rFonts w:ascii="Times New Roman" w:hAnsi="Times New Roman" w:cs="Times New Roman"/>
                <w:sz w:val="25"/>
                <w:szCs w:val="25"/>
                <w:vertAlign w:val="subscript"/>
              </w:rPr>
              <w:t>1</w:t>
            </w:r>
            <w:r w:rsidRPr="00307998">
              <w:rPr>
                <w:rFonts w:ascii="Times New Roman" w:hAnsi="Times New Roman" w:cs="Times New Roman"/>
                <w:sz w:val="25"/>
                <w:szCs w:val="25"/>
              </w:rPr>
              <w:t xml:space="preserve"> </w:t>
            </w:r>
            <w:r>
              <w:rPr>
                <w:rFonts w:ascii="Times New Roman" w:hAnsi="Times New Roman" w:cs="Times New Roman"/>
                <w:sz w:val="25"/>
                <w:szCs w:val="25"/>
              </w:rPr>
              <w:t>%</w:t>
            </w:r>
          </w:p>
          <w:p w14:paraId="6E3B1E5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FVC (L)</w:t>
            </w:r>
          </w:p>
          <w:p w14:paraId="6D08C01B"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03BEC26D"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FEV</w:t>
            </w:r>
            <w:r w:rsidRPr="00307998">
              <w:rPr>
                <w:rFonts w:ascii="Times New Roman" w:hAnsi="Times New Roman" w:cs="Times New Roman"/>
                <w:sz w:val="25"/>
                <w:szCs w:val="25"/>
                <w:vertAlign w:val="subscript"/>
              </w:rPr>
              <w:t>1</w:t>
            </w:r>
            <w:r>
              <w:rPr>
                <w:rFonts w:ascii="Times New Roman" w:hAnsi="Times New Roman" w:cs="Times New Roman"/>
                <w:sz w:val="25"/>
                <w:szCs w:val="25"/>
              </w:rPr>
              <w:t>/FVC</w:t>
            </w:r>
          </w:p>
          <w:p w14:paraId="48357164"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≥80</w:t>
            </w:r>
          </w:p>
          <w:p w14:paraId="454BE018"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50-79</w:t>
            </w:r>
          </w:p>
          <w:p w14:paraId="0AE0DF9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30-49</w:t>
            </w:r>
          </w:p>
          <w:p w14:paraId="6FEEB31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&lt;30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A6B2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2ECC93C0"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65 (50.43 -80)</w:t>
            </w:r>
          </w:p>
          <w:p w14:paraId="794D0084"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2.90 (2.19 -3.61)</w:t>
            </w:r>
          </w:p>
          <w:p w14:paraId="1A19CB01"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6A8DB35D" w14:textId="77777777" w:rsidR="009B2A51" w:rsidRDefault="009B2A51" w:rsidP="0002133E">
            <w:pPr>
              <w:pStyle w:val="Body"/>
              <w:spacing w:after="0" w:line="240" w:lineRule="auto"/>
              <w:contextualSpacing/>
              <w:jc w:val="both"/>
              <w:rPr>
                <w:rFonts w:ascii="Times New Roman" w:hAnsi="Times New Roman" w:cs="Times New Roman"/>
                <w:sz w:val="25"/>
                <w:szCs w:val="25"/>
              </w:rPr>
            </w:pPr>
          </w:p>
          <w:p w14:paraId="5926D3FF"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 (1.10)</w:t>
            </w:r>
          </w:p>
          <w:p w14:paraId="419FB5FA"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158 (57.88)</w:t>
            </w:r>
          </w:p>
          <w:p w14:paraId="27151795"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101 (37.00)</w:t>
            </w:r>
          </w:p>
          <w:p w14:paraId="6F3667D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 (4.03)</w:t>
            </w:r>
          </w:p>
        </w:tc>
      </w:tr>
      <w:tr w:rsidR="009B2A51" w:rsidRPr="00307998" w14:paraId="76B3F68F" w14:textId="77777777" w:rsidTr="0002133E">
        <w:trPr>
          <w:trHeight w:val="336"/>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A5BE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 xml:space="preserve">GOLD 2017 </w:t>
            </w:r>
          </w:p>
          <w:p w14:paraId="6FE52ED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A</w:t>
            </w:r>
          </w:p>
          <w:p w14:paraId="46421012"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B</w:t>
            </w:r>
          </w:p>
          <w:p w14:paraId="6F6F5E06"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C</w:t>
            </w:r>
          </w:p>
          <w:p w14:paraId="1E77041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3CBA1"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p>
          <w:p w14:paraId="7C07B5F4"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67 (24.54)</w:t>
            </w:r>
          </w:p>
          <w:p w14:paraId="4EDC4302"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36 (13.19)</w:t>
            </w:r>
          </w:p>
          <w:p w14:paraId="730376D2"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53 (19.41)</w:t>
            </w:r>
          </w:p>
          <w:p w14:paraId="66F240FC"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117 (42.86)</w:t>
            </w:r>
          </w:p>
        </w:tc>
      </w:tr>
      <w:tr w:rsidR="009B2A51" w:rsidRPr="00307998" w14:paraId="6FD57884" w14:textId="77777777" w:rsidTr="0002133E">
        <w:trPr>
          <w:trHeight w:val="490"/>
        </w:trPr>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6C52E"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lastRenderedPageBreak/>
              <w:t>SGRQ total score</w:t>
            </w:r>
          </w:p>
          <w:p w14:paraId="2BC77205"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sidRPr="00307998">
              <w:rPr>
                <w:rFonts w:ascii="Times New Roman" w:hAnsi="Times New Roman" w:cs="Times New Roman"/>
                <w:sz w:val="25"/>
                <w:szCs w:val="25"/>
              </w:rPr>
              <w:t>CAT total score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DEA7B" w14:textId="77777777" w:rsidR="009B2A51"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47.82 (31.08 -64.50)</w:t>
            </w:r>
          </w:p>
          <w:p w14:paraId="1CC94129" w14:textId="77777777" w:rsidR="009B2A51" w:rsidRPr="00307998" w:rsidRDefault="009B2A51" w:rsidP="0002133E">
            <w:pPr>
              <w:pStyle w:val="Body"/>
              <w:spacing w:after="0" w:line="240" w:lineRule="auto"/>
              <w:contextualSpacing/>
              <w:jc w:val="both"/>
              <w:rPr>
                <w:rFonts w:ascii="Times New Roman" w:hAnsi="Times New Roman" w:cs="Times New Roman"/>
                <w:sz w:val="25"/>
                <w:szCs w:val="25"/>
              </w:rPr>
            </w:pPr>
            <w:r>
              <w:rPr>
                <w:rFonts w:ascii="Times New Roman" w:hAnsi="Times New Roman" w:cs="Times New Roman"/>
                <w:sz w:val="25"/>
                <w:szCs w:val="25"/>
              </w:rPr>
              <w:t>19 (14 -25)</w:t>
            </w:r>
          </w:p>
        </w:tc>
      </w:tr>
    </w:tbl>
    <w:p w14:paraId="6B7D49C0" w14:textId="77777777" w:rsidR="009B2A51" w:rsidRDefault="009B2A51" w:rsidP="009B2A51">
      <w:pPr>
        <w:pBdr>
          <w:top w:val="none" w:sz="0" w:space="0" w:color="auto"/>
          <w:left w:val="none" w:sz="0" w:space="0" w:color="auto"/>
          <w:bottom w:val="none" w:sz="0" w:space="0" w:color="auto"/>
          <w:right w:val="none" w:sz="0" w:space="0" w:color="auto"/>
          <w:between w:val="none" w:sz="0" w:space="0" w:color="auto"/>
          <w:bar w:val="none" w:sz="0" w:color="auto"/>
        </w:pBdr>
        <w:rPr>
          <w:sz w:val="25"/>
          <w:szCs w:val="25"/>
        </w:rPr>
      </w:pPr>
      <w:r w:rsidRPr="00307998">
        <w:rPr>
          <w:sz w:val="25"/>
          <w:szCs w:val="25"/>
        </w:rPr>
        <w:br w:type="page"/>
      </w:r>
    </w:p>
    <w:p w14:paraId="408336DF" w14:textId="299CEC4E" w:rsidR="009B2A51" w:rsidRDefault="009B2A51" w:rsidP="009B2A51">
      <w:pPr>
        <w:jc w:val="both"/>
        <w:rPr>
          <w:sz w:val="25"/>
          <w:szCs w:val="25"/>
        </w:rPr>
      </w:pPr>
      <w:r w:rsidRPr="00FD7775">
        <w:rPr>
          <w:noProof/>
          <w:sz w:val="25"/>
          <w:szCs w:val="25"/>
          <w:lang w:eastAsia="en-GB"/>
        </w:rPr>
        <w:lastRenderedPageBreak/>
        <w:drawing>
          <wp:inline distT="0" distB="0" distL="0" distR="0" wp14:anchorId="12D55A18" wp14:editId="1DEE059D">
            <wp:extent cx="5739127" cy="6258296"/>
            <wp:effectExtent l="0" t="0" r="0" b="0"/>
            <wp:docPr id="1" name="Picture 1" descr="C:\Users\Adicker\Documents\GSKNeuts\Oct19Revisions\StackedMicrobiome_Nov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cker\Documents\GSKNeuts\Oct19Revisions\StackedMicrobiome_Nov1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137" cy="5068613"/>
                    </a:xfrm>
                    <a:prstGeom prst="rect">
                      <a:avLst/>
                    </a:prstGeom>
                    <a:noFill/>
                    <a:ln>
                      <a:noFill/>
                    </a:ln>
                  </pic:spPr>
                </pic:pic>
              </a:graphicData>
            </a:graphic>
          </wp:inline>
        </w:drawing>
      </w:r>
    </w:p>
    <w:p w14:paraId="04DCE70D" w14:textId="30855F4A" w:rsidR="00B436C2" w:rsidRDefault="00B436C2" w:rsidP="009B2A51">
      <w:pPr>
        <w:jc w:val="both"/>
        <w:rPr>
          <w:sz w:val="25"/>
          <w:szCs w:val="25"/>
        </w:rPr>
      </w:pPr>
      <w:r>
        <w:rPr>
          <w:sz w:val="25"/>
          <w:szCs w:val="25"/>
        </w:rPr>
        <w:t>e-F</w:t>
      </w:r>
      <w:r w:rsidR="009B2A51">
        <w:rPr>
          <w:sz w:val="25"/>
          <w:szCs w:val="25"/>
        </w:rPr>
        <w:t xml:space="preserve">igure 11: Stacked microbiome profiles of the 246 patients in the mechanistic sub-cohort, shown at the </w:t>
      </w:r>
      <w:r w:rsidR="009B2A51">
        <w:rPr>
          <w:b/>
          <w:sz w:val="25"/>
          <w:szCs w:val="25"/>
        </w:rPr>
        <w:t xml:space="preserve">A: </w:t>
      </w:r>
      <w:r w:rsidR="009B2A51">
        <w:rPr>
          <w:sz w:val="25"/>
          <w:szCs w:val="25"/>
        </w:rPr>
        <w:t xml:space="preserve">Phylum and </w:t>
      </w:r>
      <w:r w:rsidR="009B2A51">
        <w:rPr>
          <w:b/>
          <w:sz w:val="25"/>
          <w:szCs w:val="25"/>
        </w:rPr>
        <w:t>B:</w:t>
      </w:r>
      <w:r w:rsidR="009B2A51">
        <w:rPr>
          <w:sz w:val="25"/>
          <w:szCs w:val="25"/>
        </w:rPr>
        <w:t xml:space="preserve"> Genera level. Each vertical bar represents one stable patient, grouped according to their BNC. The one patient with a low BNC (&lt;2000cells/µL) is on the left (*) whilst patients with an extreme BNC (&gt;15000cells/µL) are on the right (#).</w:t>
      </w:r>
    </w:p>
    <w:p w14:paraId="07A55861" w14:textId="77777777" w:rsidR="00B436C2" w:rsidRDefault="00B436C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5"/>
          <w:szCs w:val="25"/>
        </w:rPr>
      </w:pPr>
      <w:r>
        <w:rPr>
          <w:sz w:val="25"/>
          <w:szCs w:val="25"/>
        </w:rPr>
        <w:br w:type="page"/>
      </w:r>
    </w:p>
    <w:p w14:paraId="1306E637" w14:textId="7AE3D86C" w:rsidR="00B436C2" w:rsidRPr="00EC7EB7" w:rsidRDefault="00B436C2" w:rsidP="00EC7EB7">
      <w:pPr>
        <w:spacing w:line="480" w:lineRule="auto"/>
        <w:jc w:val="both"/>
        <w:rPr>
          <w:b/>
          <w:bCs/>
          <w:sz w:val="25"/>
          <w:szCs w:val="25"/>
        </w:rPr>
      </w:pPr>
      <w:r w:rsidRPr="00EC7EB7">
        <w:rPr>
          <w:b/>
          <w:bCs/>
          <w:sz w:val="25"/>
          <w:szCs w:val="25"/>
        </w:rPr>
        <w:lastRenderedPageBreak/>
        <w:t>Supplementary references:</w:t>
      </w:r>
    </w:p>
    <w:p w14:paraId="242F22D6" w14:textId="0A08E683" w:rsidR="00865D5E" w:rsidRPr="00865D5E" w:rsidRDefault="00865D5E" w:rsidP="00B436C2">
      <w:pPr>
        <w:pStyle w:val="EndNoteBibliography"/>
        <w:ind w:left="720" w:hanging="720"/>
        <w:jc w:val="both"/>
      </w:pPr>
      <w:r>
        <w:fldChar w:fldCharType="begin"/>
      </w:r>
      <w:r>
        <w:instrText xml:space="preserve"> ADDIN EN.REFLIST </w:instrText>
      </w:r>
      <w:r>
        <w:fldChar w:fldCharType="separate"/>
      </w:r>
      <w:r w:rsidRPr="00865D5E">
        <w:t>1.</w:t>
      </w:r>
      <w:r w:rsidRPr="00865D5E">
        <w:tab/>
        <w:t xml:space="preserve">Klindworth A, Pruesse E, Schweer T, et al. Evaluation of general 16S ribosomal RNA gene PCR primers for classical and next-generation sequencing-based diversity studies. </w:t>
      </w:r>
      <w:r w:rsidRPr="00865D5E">
        <w:rPr>
          <w:i/>
        </w:rPr>
        <w:t xml:space="preserve">Nucleic Acids Res. </w:t>
      </w:r>
      <w:r w:rsidRPr="00865D5E">
        <w:t>2013;41(1).</w:t>
      </w:r>
    </w:p>
    <w:p w14:paraId="4A242EBF" w14:textId="3ADCE597" w:rsidR="00865D5E" w:rsidRPr="00865D5E" w:rsidRDefault="00865D5E" w:rsidP="00B436C2">
      <w:pPr>
        <w:pStyle w:val="EndNoteBibliography"/>
        <w:ind w:left="720" w:hanging="720"/>
        <w:jc w:val="both"/>
      </w:pPr>
      <w:r w:rsidRPr="00865D5E">
        <w:t>2.</w:t>
      </w:r>
      <w:r w:rsidRPr="00865D5E">
        <w:tab/>
        <w:t xml:space="preserve">Edgar RC. Search and clustering orders of magnitude faster than BLAST. </w:t>
      </w:r>
      <w:r w:rsidRPr="00865D5E">
        <w:rPr>
          <w:i/>
        </w:rPr>
        <w:t xml:space="preserve">Bioinformatics. </w:t>
      </w:r>
      <w:r w:rsidRPr="00865D5E">
        <w:t>2010;26(19):2460-2461.</w:t>
      </w:r>
    </w:p>
    <w:p w14:paraId="7127E0D0" w14:textId="60FD0BE2" w:rsidR="00865D5E" w:rsidRPr="00865D5E" w:rsidRDefault="00865D5E" w:rsidP="00B436C2">
      <w:pPr>
        <w:pStyle w:val="EndNoteBibliography"/>
        <w:ind w:left="720" w:hanging="720"/>
        <w:jc w:val="both"/>
      </w:pPr>
      <w:r w:rsidRPr="00865D5E">
        <w:t>3.</w:t>
      </w:r>
      <w:r w:rsidRPr="00865D5E">
        <w:tab/>
        <w:t xml:space="preserve">DeSantis TZ, Hugenholtz P, Larsen N, et al. Greengenes, a chimera-checked 16S rRNA gene database and workbench compatible with ARB. </w:t>
      </w:r>
      <w:r w:rsidRPr="00865D5E">
        <w:rPr>
          <w:i/>
        </w:rPr>
        <w:t>Appl</w:t>
      </w:r>
      <w:r w:rsidR="00B436C2">
        <w:rPr>
          <w:i/>
        </w:rPr>
        <w:t xml:space="preserve"> E</w:t>
      </w:r>
      <w:r w:rsidRPr="00865D5E">
        <w:rPr>
          <w:i/>
        </w:rPr>
        <w:t>nviron</w:t>
      </w:r>
      <w:r w:rsidR="00B436C2">
        <w:rPr>
          <w:i/>
        </w:rPr>
        <w:t xml:space="preserve"> M</w:t>
      </w:r>
      <w:r w:rsidRPr="00865D5E">
        <w:rPr>
          <w:i/>
        </w:rPr>
        <w:t xml:space="preserve">icrobiol. </w:t>
      </w:r>
      <w:r w:rsidRPr="00865D5E">
        <w:t>2006;72(7):5069-5072.</w:t>
      </w:r>
    </w:p>
    <w:p w14:paraId="7074D977" w14:textId="73CA205C" w:rsidR="00865D5E" w:rsidRPr="00865D5E" w:rsidRDefault="00865D5E" w:rsidP="00B436C2">
      <w:pPr>
        <w:pStyle w:val="EndNoteBibliography"/>
        <w:ind w:left="720" w:hanging="720"/>
        <w:jc w:val="both"/>
      </w:pPr>
      <w:r w:rsidRPr="00865D5E">
        <w:t>4.</w:t>
      </w:r>
      <w:r w:rsidRPr="00865D5E">
        <w:tab/>
        <w:t xml:space="preserve">Caporaso JG, Bittinger K, Bushman FD, DeSantis TZ, Andersen GL, Knight R. PyNAST: a flexible tool for aligning sequences to a template alignment. </w:t>
      </w:r>
      <w:r w:rsidRPr="00865D5E">
        <w:rPr>
          <w:i/>
        </w:rPr>
        <w:t xml:space="preserve">Bioinformatics. </w:t>
      </w:r>
      <w:r w:rsidRPr="00865D5E">
        <w:t>2010;26(2):266-267.</w:t>
      </w:r>
    </w:p>
    <w:p w14:paraId="3CAB3BED" w14:textId="6EE4D828" w:rsidR="00865D5E" w:rsidRPr="00865D5E" w:rsidRDefault="00865D5E" w:rsidP="00B436C2">
      <w:pPr>
        <w:pStyle w:val="EndNoteBibliography"/>
        <w:ind w:left="720" w:hanging="720"/>
        <w:jc w:val="both"/>
      </w:pPr>
      <w:r w:rsidRPr="00865D5E">
        <w:t>5.</w:t>
      </w:r>
      <w:r w:rsidRPr="00865D5E">
        <w:tab/>
        <w:t xml:space="preserve">Wang Q, Garrity GM, Tiedje JM, Cole JR. Naive Bayesian classifier for rapid assignment of rRNA sequences into the new bacterial taxonomy. </w:t>
      </w:r>
      <w:r w:rsidRPr="00865D5E">
        <w:rPr>
          <w:i/>
        </w:rPr>
        <w:t>Appl</w:t>
      </w:r>
      <w:r w:rsidR="00B436C2">
        <w:rPr>
          <w:i/>
        </w:rPr>
        <w:t xml:space="preserve"> E</w:t>
      </w:r>
      <w:r w:rsidRPr="00865D5E">
        <w:rPr>
          <w:i/>
        </w:rPr>
        <w:t>nviron</w:t>
      </w:r>
      <w:r w:rsidR="00B436C2">
        <w:rPr>
          <w:i/>
        </w:rPr>
        <w:t xml:space="preserve"> M</w:t>
      </w:r>
      <w:r w:rsidRPr="00865D5E">
        <w:rPr>
          <w:i/>
        </w:rPr>
        <w:t xml:space="preserve">icrobiol. </w:t>
      </w:r>
      <w:r w:rsidRPr="00865D5E">
        <w:t>2007;73(16):5261-5267.</w:t>
      </w:r>
    </w:p>
    <w:p w14:paraId="30D81A18" w14:textId="7B3F0B8E" w:rsidR="00E57249" w:rsidRDefault="00865D5E" w:rsidP="00B436C2">
      <w:pPr>
        <w:jc w:val="both"/>
      </w:pPr>
      <w:r>
        <w:fldChar w:fldCharType="end"/>
      </w:r>
      <w:bookmarkStart w:id="0" w:name="_GoBack"/>
      <w:bookmarkEnd w:id="0"/>
    </w:p>
    <w:sectPr w:rsidR="00E57249" w:rsidSect="00C50A84">
      <w:footerReference w:type="default" r:id="rId1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8FD5C" w14:textId="77777777" w:rsidR="00256188" w:rsidRDefault="00256188">
      <w:r>
        <w:separator/>
      </w:r>
    </w:p>
  </w:endnote>
  <w:endnote w:type="continuationSeparator" w:id="0">
    <w:p w14:paraId="58E640FE" w14:textId="77777777" w:rsidR="00256188" w:rsidRDefault="00256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A2908" w14:textId="77777777" w:rsidR="00B66BC1" w:rsidRDefault="00B436C2">
    <w:pPr>
      <w:pStyle w:val="Footer"/>
      <w:jc w:val="right"/>
    </w:pPr>
    <w:r>
      <w:fldChar w:fldCharType="begin"/>
    </w:r>
    <w:r>
      <w:instrText xml:space="preserve"> PAGE   \* MERGEFORMAT </w:instrText>
    </w:r>
    <w:r>
      <w:fldChar w:fldCharType="separate"/>
    </w:r>
    <w:r w:rsidR="003F2FA2">
      <w:rPr>
        <w:noProof/>
      </w:rPr>
      <w:t>21</w:t>
    </w:r>
    <w:r>
      <w:rPr>
        <w:noProof/>
      </w:rPr>
      <w:fldChar w:fldCharType="end"/>
    </w:r>
  </w:p>
  <w:p w14:paraId="50E4FF4E" w14:textId="77777777" w:rsidR="00B66BC1" w:rsidRDefault="002561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1ED68" w14:textId="77777777" w:rsidR="00256188" w:rsidRDefault="00256188">
      <w:r>
        <w:separator/>
      </w:r>
    </w:p>
  </w:footnote>
  <w:footnote w:type="continuationSeparator" w:id="0">
    <w:p w14:paraId="235387F4" w14:textId="77777777" w:rsidR="00256188" w:rsidRDefault="002561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r92xzfyws9vqe0rf4pvrf4axaxarrztppw&quot;&gt;My EndNote Library&lt;record-ids&gt;&lt;item&gt;42&lt;/item&gt;&lt;item&gt;157&lt;/item&gt;&lt;item&gt;323&lt;/item&gt;&lt;item&gt;324&lt;/item&gt;&lt;item&gt;326&lt;/item&gt;&lt;/record-ids&gt;&lt;/item&gt;&lt;/Libraries&gt;"/>
  </w:docVars>
  <w:rsids>
    <w:rsidRoot w:val="009B2A51"/>
    <w:rsid w:val="00096036"/>
    <w:rsid w:val="00256188"/>
    <w:rsid w:val="0029453C"/>
    <w:rsid w:val="00374D5F"/>
    <w:rsid w:val="003F2FA2"/>
    <w:rsid w:val="00520CFC"/>
    <w:rsid w:val="006A5792"/>
    <w:rsid w:val="006E5BC7"/>
    <w:rsid w:val="007E01DF"/>
    <w:rsid w:val="00865D5E"/>
    <w:rsid w:val="008E57E2"/>
    <w:rsid w:val="009B2A51"/>
    <w:rsid w:val="00AB2092"/>
    <w:rsid w:val="00AF6E82"/>
    <w:rsid w:val="00B436C2"/>
    <w:rsid w:val="00EC7EB7"/>
    <w:rsid w:val="00F83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01EC"/>
  <w15:chartTrackingRefBased/>
  <w15:docId w15:val="{3CD48926-16CA-4CBF-A8A8-94FFE261A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A5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2A51"/>
    <w:rPr>
      <w:u w:val="single"/>
    </w:rPr>
  </w:style>
  <w:style w:type="paragraph" w:customStyle="1" w:styleId="Body">
    <w:name w:val="Body"/>
    <w:link w:val="BodyChar"/>
    <w:rsid w:val="009B2A51"/>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BodyChar">
    <w:name w:val="Body Char"/>
    <w:link w:val="Body"/>
    <w:rsid w:val="009B2A51"/>
    <w:rPr>
      <w:rFonts w:ascii="Calibri" w:eastAsia="Calibri" w:hAnsi="Calibri" w:cs="Calibri"/>
      <w:color w:val="000000"/>
      <w:u w:color="000000"/>
      <w:bdr w:val="nil"/>
      <w:lang w:val="en-US" w:eastAsia="en-GB"/>
    </w:rPr>
  </w:style>
  <w:style w:type="paragraph" w:styleId="Footer">
    <w:name w:val="footer"/>
    <w:basedOn w:val="Normal"/>
    <w:link w:val="FooterChar"/>
    <w:uiPriority w:val="99"/>
    <w:unhideWhenUsed/>
    <w:rsid w:val="009B2A51"/>
    <w:pPr>
      <w:tabs>
        <w:tab w:val="center" w:pos="4680"/>
        <w:tab w:val="right" w:pos="9360"/>
      </w:tabs>
    </w:pPr>
  </w:style>
  <w:style w:type="character" w:customStyle="1" w:styleId="FooterChar">
    <w:name w:val="Footer Char"/>
    <w:basedOn w:val="DefaultParagraphFont"/>
    <w:link w:val="Footer"/>
    <w:uiPriority w:val="99"/>
    <w:rsid w:val="009B2A51"/>
    <w:rPr>
      <w:rFonts w:ascii="Times New Roman" w:eastAsia="Arial Unicode MS" w:hAnsi="Times New Roman" w:cs="Times New Roman"/>
      <w:sz w:val="24"/>
      <w:szCs w:val="24"/>
      <w:bdr w:val="nil"/>
    </w:rPr>
  </w:style>
  <w:style w:type="table" w:styleId="TableGrid">
    <w:name w:val="Table Grid"/>
    <w:basedOn w:val="TableNormal"/>
    <w:uiPriority w:val="39"/>
    <w:rsid w:val="009B2A51"/>
    <w:pPr>
      <w:spacing w:after="0" w:line="240" w:lineRule="auto"/>
    </w:pPr>
    <w:rPr>
      <w:rFonts w:ascii="Times New Roman" w:eastAsia="Arial Unicode MS" w:hAnsi="Times New Roman" w:cs="Times New Roman"/>
      <w:sz w:val="20"/>
      <w:szCs w:val="20"/>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B2A51"/>
  </w:style>
  <w:style w:type="paragraph" w:customStyle="1" w:styleId="EndNoteBibliographyTitle">
    <w:name w:val="EndNote Bibliography Title"/>
    <w:basedOn w:val="Normal"/>
    <w:link w:val="EndNoteBibliographyTitleChar"/>
    <w:rsid w:val="00865D5E"/>
    <w:pPr>
      <w:jc w:val="center"/>
    </w:pPr>
    <w:rPr>
      <w:noProof/>
      <w:lang w:val="en-US"/>
    </w:rPr>
  </w:style>
  <w:style w:type="character" w:customStyle="1" w:styleId="EndNoteBibliographyTitleChar">
    <w:name w:val="EndNote Bibliography Title Char"/>
    <w:basedOn w:val="DefaultParagraphFont"/>
    <w:link w:val="EndNoteBibliographyTitle"/>
    <w:rsid w:val="00865D5E"/>
    <w:rPr>
      <w:rFonts w:ascii="Times New Roman" w:eastAsia="Arial Unicode MS" w:hAnsi="Times New Roman" w:cs="Times New Roman"/>
      <w:noProof/>
      <w:sz w:val="24"/>
      <w:szCs w:val="24"/>
      <w:bdr w:val="nil"/>
      <w:lang w:val="en-US"/>
    </w:rPr>
  </w:style>
  <w:style w:type="paragraph" w:customStyle="1" w:styleId="EndNoteBibliography">
    <w:name w:val="EndNote Bibliography"/>
    <w:basedOn w:val="Normal"/>
    <w:link w:val="EndNoteBibliographyChar"/>
    <w:rsid w:val="00865D5E"/>
    <w:rPr>
      <w:noProof/>
      <w:lang w:val="en-US"/>
    </w:rPr>
  </w:style>
  <w:style w:type="character" w:customStyle="1" w:styleId="EndNoteBibliographyChar">
    <w:name w:val="EndNote Bibliography Char"/>
    <w:basedOn w:val="DefaultParagraphFont"/>
    <w:link w:val="EndNoteBibliography"/>
    <w:rsid w:val="00865D5E"/>
    <w:rPr>
      <w:rFonts w:ascii="Times New Roman" w:eastAsia="Arial Unicode MS" w:hAnsi="Times New Roman" w:cs="Times New Roman"/>
      <w:noProof/>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chalmers@dundee.ac.uk"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3378</Words>
  <Characters>19257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Dicker (Staff)</dc:creator>
  <cp:keywords/>
  <dc:description/>
  <cp:lastModifiedBy>James Chalmers</cp:lastModifiedBy>
  <cp:revision>2</cp:revision>
  <dcterms:created xsi:type="dcterms:W3CDTF">2020-02-27T14:37:00Z</dcterms:created>
  <dcterms:modified xsi:type="dcterms:W3CDTF">2020-02-27T14:37:00Z</dcterms:modified>
</cp:coreProperties>
</file>