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9474E" w14:textId="00D24EE0"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Pr>
          <w:rFonts w:ascii="Arial" w:hAnsi="Arial" w:cs="Arial"/>
          <w:b/>
          <w:bCs/>
          <w:noProof/>
          <w:color w:val="000000"/>
          <w:sz w:val="28"/>
          <w:szCs w:val="28"/>
        </w:rPr>
        <w:drawing>
          <wp:inline distT="0" distB="0" distL="0" distR="0" wp14:anchorId="01A9A58E" wp14:editId="138F7042">
            <wp:extent cx="5731510" cy="8110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1F289203" w14:textId="22F745B5"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012CD632" wp14:editId="22D00FB5">
            <wp:extent cx="5731510" cy="8110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0339F804" w14:textId="61EC5AF6"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p>
    <w:p w14:paraId="436A8156" w14:textId="32147AF1"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608F8F5C" wp14:editId="533EFA48">
            <wp:extent cx="5731510" cy="8110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56BD40C6" w14:textId="5F10D161"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1B59C33D" wp14:editId="5F12609A">
            <wp:extent cx="5731510" cy="8110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4695457" w14:textId="77777777"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p>
    <w:p w14:paraId="5C9E83BF" w14:textId="77777777"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p>
    <w:p w14:paraId="1EA702F7" w14:textId="3D775B47" w:rsidR="00FE0030" w:rsidRDefault="00FE0030"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Pr>
          <w:rFonts w:ascii="Arial" w:hAnsi="Arial" w:cs="Arial"/>
          <w:b/>
          <w:bCs/>
          <w:noProof/>
          <w:color w:val="000000"/>
          <w:sz w:val="28"/>
          <w:szCs w:val="28"/>
        </w:rPr>
        <w:drawing>
          <wp:inline distT="0" distB="0" distL="0" distR="0" wp14:anchorId="44FE5829" wp14:editId="4E3C707B">
            <wp:extent cx="5731510" cy="811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6585FB0B" w14:textId="4831195E" w:rsidR="00CC2C19" w:rsidRPr="00BF485F" w:rsidRDefault="00CC2C19" w:rsidP="00CC2C19">
      <w:pPr>
        <w:keepNext/>
        <w:pBdr>
          <w:top w:val="nil"/>
          <w:left w:val="nil"/>
          <w:bottom w:val="nil"/>
          <w:right w:val="nil"/>
          <w:between w:val="nil"/>
        </w:pBdr>
        <w:spacing w:before="120" w:after="120" w:line="360" w:lineRule="auto"/>
        <w:jc w:val="both"/>
        <w:rPr>
          <w:rFonts w:ascii="Arial" w:hAnsi="Arial" w:cs="Arial"/>
          <w:b/>
          <w:bCs/>
          <w:color w:val="000000"/>
          <w:sz w:val="28"/>
          <w:szCs w:val="28"/>
        </w:rPr>
      </w:pPr>
      <w:r w:rsidRPr="00BF485F">
        <w:rPr>
          <w:rFonts w:ascii="Arial" w:hAnsi="Arial" w:cs="Arial"/>
          <w:b/>
          <w:bCs/>
          <w:color w:val="000000"/>
          <w:sz w:val="28"/>
          <w:szCs w:val="28"/>
        </w:rPr>
        <w:lastRenderedPageBreak/>
        <w:t>Supplementary Figure Legends</w:t>
      </w:r>
    </w:p>
    <w:p w14:paraId="5FFCBAD2" w14:textId="77777777" w:rsidR="00CC2C19" w:rsidRPr="005628CB" w:rsidRDefault="00CC2C19" w:rsidP="00CC2C19">
      <w:pPr>
        <w:spacing w:before="120" w:after="120" w:line="360" w:lineRule="auto"/>
        <w:rPr>
          <w:rFonts w:ascii="Arial" w:hAnsi="Arial" w:cs="Arial"/>
          <w:b/>
          <w:bCs/>
        </w:rPr>
      </w:pPr>
      <w:r w:rsidRPr="005628CB">
        <w:rPr>
          <w:rFonts w:ascii="Arial" w:hAnsi="Arial" w:cs="Arial"/>
          <w:b/>
          <w:bCs/>
        </w:rPr>
        <w:t>Supplementary Figure 1</w:t>
      </w:r>
    </w:p>
    <w:p w14:paraId="7D9804B8" w14:textId="77777777" w:rsidR="00CC2C19" w:rsidRPr="00976E83" w:rsidRDefault="00CC2C19" w:rsidP="00CC2C19">
      <w:pPr>
        <w:spacing w:before="120" w:after="120" w:line="360" w:lineRule="auto"/>
        <w:jc w:val="both"/>
        <w:rPr>
          <w:rFonts w:ascii="Arial" w:hAnsi="Arial" w:cs="Arial"/>
        </w:rPr>
      </w:pPr>
      <w:bookmarkStart w:id="0" w:name="OLE_LINK136"/>
      <w:bookmarkStart w:id="1" w:name="OLE_LINK137"/>
      <w:r w:rsidRPr="005628CB">
        <w:rPr>
          <w:rFonts w:ascii="Arial" w:hAnsi="Arial" w:cs="Arial"/>
          <w:b/>
          <w:bCs/>
        </w:rPr>
        <w:t>A.</w:t>
      </w:r>
      <w:r w:rsidRPr="005628CB">
        <w:rPr>
          <w:rFonts w:ascii="Arial" w:hAnsi="Arial" w:cs="Arial"/>
        </w:rPr>
        <w:t xml:space="preserve"> Coomassie Blue staining of CALR WT, CALR del52 and indicated derivates. Purified samples were analyzed by SDS-PAGE and stained with Coomassie Blue for total protein detection</w:t>
      </w:r>
      <w:r w:rsidRPr="005628CB">
        <w:rPr>
          <w:rFonts w:ascii="Arial" w:hAnsi="Arial" w:cs="Arial"/>
          <w:b/>
          <w:bCs/>
        </w:rPr>
        <w:t>. B.</w:t>
      </w:r>
      <w:r w:rsidRPr="005628CB">
        <w:rPr>
          <w:rFonts w:ascii="Arial" w:hAnsi="Arial" w:cs="Arial"/>
        </w:rPr>
        <w:t xml:space="preserve"> Micro-scale thermophoresis of purified indicated samples. The graphs represent the 350/330 nm intrinsic fluorescence from </w:t>
      </w:r>
      <w:proofErr w:type="spellStart"/>
      <w:r w:rsidRPr="005628CB">
        <w:rPr>
          <w:rFonts w:ascii="Arial" w:hAnsi="Arial" w:cs="Arial"/>
        </w:rPr>
        <w:t>Trp</w:t>
      </w:r>
      <w:proofErr w:type="spellEnd"/>
      <w:r w:rsidRPr="005628CB">
        <w:rPr>
          <w:rFonts w:ascii="Arial" w:hAnsi="Arial" w:cs="Arial"/>
        </w:rPr>
        <w:t xml:space="preserve"> and Tyr residues at different temperatures. The S-shaped curve is typical of well-folded proteins as the accessibility of Tyr and </w:t>
      </w:r>
      <w:proofErr w:type="spellStart"/>
      <w:r w:rsidRPr="005628CB">
        <w:rPr>
          <w:rFonts w:ascii="Arial" w:hAnsi="Arial" w:cs="Arial"/>
        </w:rPr>
        <w:t>Trp</w:t>
      </w:r>
      <w:proofErr w:type="spellEnd"/>
      <w:r w:rsidRPr="005628CB">
        <w:rPr>
          <w:rFonts w:ascii="Arial" w:hAnsi="Arial" w:cs="Arial"/>
        </w:rPr>
        <w:t xml:space="preserve"> residues gradually increases upon temperature increases and denaturation. The Tm is computed as the temperature at which half of the proteins in the sample are denatured.</w:t>
      </w:r>
      <w:r>
        <w:rPr>
          <w:rFonts w:ascii="Arial" w:hAnsi="Arial" w:cs="Arial"/>
        </w:rPr>
        <w:t xml:space="preserve"> </w:t>
      </w:r>
      <w:r w:rsidRPr="00976E83">
        <w:rPr>
          <w:rFonts w:ascii="Arial" w:hAnsi="Arial" w:cs="Arial"/>
          <w:b/>
          <w:bCs/>
        </w:rPr>
        <w:t>C.</w:t>
      </w:r>
      <w:r w:rsidRPr="00282DA2">
        <w:rPr>
          <w:rFonts w:ascii="Arial" w:hAnsi="Arial" w:cs="Arial"/>
          <w:bCs/>
        </w:rPr>
        <w:t xml:space="preserve"> Structure prediction using </w:t>
      </w:r>
      <w:proofErr w:type="spellStart"/>
      <w:r w:rsidRPr="00282DA2">
        <w:rPr>
          <w:rFonts w:ascii="Arial" w:hAnsi="Arial" w:cs="Arial"/>
          <w:bCs/>
        </w:rPr>
        <w:t>AlphaFold</w:t>
      </w:r>
      <w:proofErr w:type="spellEnd"/>
      <w:r w:rsidRPr="00282DA2">
        <w:rPr>
          <w:rFonts w:ascii="Arial" w:hAnsi="Arial" w:cs="Arial"/>
          <w:bCs/>
        </w:rPr>
        <w:t xml:space="preserve"> 2.0 of CALR del52 mutant protein and in particular of the C-terminal new tail. The N-domain is shown in </w:t>
      </w:r>
      <w:r>
        <w:rPr>
          <w:rFonts w:ascii="Arial" w:hAnsi="Arial" w:cs="Arial"/>
          <w:bCs/>
        </w:rPr>
        <w:t>light blue</w:t>
      </w:r>
      <w:r w:rsidRPr="00282DA2">
        <w:rPr>
          <w:rFonts w:ascii="Arial" w:hAnsi="Arial" w:cs="Arial"/>
          <w:bCs/>
        </w:rPr>
        <w:t xml:space="preserve">, the P-domain in </w:t>
      </w:r>
      <w:proofErr w:type="spellStart"/>
      <w:r>
        <w:rPr>
          <w:rFonts w:ascii="Arial" w:hAnsi="Arial" w:cs="Arial"/>
          <w:bCs/>
        </w:rPr>
        <w:t>gree</w:t>
      </w:r>
      <w:proofErr w:type="spellEnd"/>
      <w:r w:rsidRPr="00282DA2">
        <w:rPr>
          <w:rFonts w:ascii="Arial" w:hAnsi="Arial" w:cs="Arial"/>
          <w:bCs/>
        </w:rPr>
        <w:t xml:space="preserve">, the partial C-domain of CALR WT in </w:t>
      </w:r>
      <w:r>
        <w:rPr>
          <w:rFonts w:ascii="Arial" w:hAnsi="Arial" w:cs="Arial"/>
          <w:bCs/>
        </w:rPr>
        <w:t>dark blue</w:t>
      </w:r>
      <w:r w:rsidRPr="00282DA2">
        <w:rPr>
          <w:rFonts w:ascii="Arial" w:hAnsi="Arial" w:cs="Arial"/>
          <w:bCs/>
        </w:rPr>
        <w:t xml:space="preserve"> and the mutant tail in magenta until position 394 and in red from 395 to 411.</w:t>
      </w:r>
    </w:p>
    <w:p w14:paraId="4BF9FF67" w14:textId="77777777" w:rsidR="00CC2C19" w:rsidRDefault="00CC2C19" w:rsidP="00CC2C19">
      <w:pPr>
        <w:spacing w:before="120" w:after="120" w:line="360" w:lineRule="auto"/>
        <w:rPr>
          <w:rFonts w:ascii="Arial" w:hAnsi="Arial" w:cs="Arial"/>
          <w:b/>
          <w:bCs/>
        </w:rPr>
      </w:pPr>
      <w:bookmarkStart w:id="2" w:name="OLE_LINK126"/>
      <w:bookmarkStart w:id="3" w:name="OLE_LINK127"/>
      <w:bookmarkEnd w:id="0"/>
      <w:bookmarkEnd w:id="1"/>
      <w:r w:rsidRPr="006737BB">
        <w:rPr>
          <w:rFonts w:ascii="Arial" w:hAnsi="Arial" w:cs="Arial"/>
          <w:b/>
          <w:bCs/>
        </w:rPr>
        <w:t xml:space="preserve">Supplementary Figure </w:t>
      </w:r>
      <w:r>
        <w:rPr>
          <w:rFonts w:ascii="Arial" w:hAnsi="Arial" w:cs="Arial"/>
          <w:b/>
          <w:bCs/>
        </w:rPr>
        <w:t>2</w:t>
      </w:r>
    </w:p>
    <w:p w14:paraId="50C7F64C" w14:textId="083E55FF" w:rsidR="00CC2C19" w:rsidRDefault="00CC2C19" w:rsidP="00CC2C19">
      <w:pPr>
        <w:spacing w:before="120" w:after="120" w:line="360" w:lineRule="auto"/>
        <w:jc w:val="both"/>
        <w:rPr>
          <w:rFonts w:ascii="Arial" w:hAnsi="Arial" w:cs="Arial"/>
          <w:bCs/>
        </w:rPr>
      </w:pPr>
      <w:r>
        <w:rPr>
          <w:rFonts w:ascii="Arial" w:hAnsi="Arial" w:cs="Arial"/>
          <w:b/>
        </w:rPr>
        <w:t>A</w:t>
      </w:r>
      <w:r w:rsidRPr="003743BC">
        <w:rPr>
          <w:rFonts w:ascii="Arial" w:hAnsi="Arial" w:cs="Arial"/>
          <w:b/>
        </w:rPr>
        <w:t>.</w:t>
      </w:r>
      <w:r>
        <w:rPr>
          <w:rFonts w:ascii="Arial" w:hAnsi="Arial" w:cs="Arial"/>
          <w:bCs/>
        </w:rPr>
        <w:t xml:space="preserve"> F</w:t>
      </w:r>
      <w:r w:rsidRPr="005628CB">
        <w:rPr>
          <w:rFonts w:ascii="Arial" w:hAnsi="Arial" w:cs="Arial"/>
          <w:bCs/>
        </w:rPr>
        <w:t xml:space="preserve">ractional deuterium uptake </w:t>
      </w:r>
      <w:r>
        <w:rPr>
          <w:rFonts w:ascii="Arial" w:hAnsi="Arial" w:cs="Arial"/>
          <w:bCs/>
        </w:rPr>
        <w:t>in CALR WT</w:t>
      </w:r>
      <w:r w:rsidRPr="005628CB">
        <w:rPr>
          <w:rFonts w:ascii="Arial" w:hAnsi="Arial" w:cs="Arial"/>
          <w:bCs/>
        </w:rPr>
        <w:t xml:space="preserve">. The scale represents the </w:t>
      </w:r>
      <w:r>
        <w:rPr>
          <w:rFonts w:ascii="Arial" w:hAnsi="Arial" w:cs="Arial"/>
          <w:bCs/>
        </w:rPr>
        <w:t>fractional deuterium uptake as a percentage of theoretical maximum uptake</w:t>
      </w:r>
      <w:r w:rsidRPr="005628CB">
        <w:rPr>
          <w:rFonts w:ascii="Arial" w:hAnsi="Arial" w:cs="Arial"/>
          <w:bCs/>
        </w:rPr>
        <w:t xml:space="preserve">. Regions in dark grey represents regions not covered by detected peptides at the given time point. Shown </w:t>
      </w:r>
      <w:r>
        <w:rPr>
          <w:rFonts w:ascii="Arial" w:hAnsi="Arial" w:cs="Arial"/>
          <w:bCs/>
        </w:rPr>
        <w:t>is the fractional uptake of CALR WT after 1 hour incubation in deuterium (mean of triplicate experiments).</w:t>
      </w:r>
      <w:r w:rsidRPr="005628CB">
        <w:rPr>
          <w:rFonts w:ascii="Arial" w:hAnsi="Arial" w:cs="Arial"/>
          <w:bCs/>
        </w:rPr>
        <w:t xml:space="preserve"> </w:t>
      </w:r>
      <w:r>
        <w:rPr>
          <w:rFonts w:ascii="Arial" w:hAnsi="Arial" w:cs="Arial"/>
          <w:bCs/>
        </w:rPr>
        <w:t xml:space="preserve">The structure was derived from </w:t>
      </w:r>
      <w:proofErr w:type="spellStart"/>
      <w:r>
        <w:rPr>
          <w:rFonts w:ascii="Arial" w:hAnsi="Arial" w:cs="Arial"/>
          <w:bCs/>
        </w:rPr>
        <w:t>AlphaFold</w:t>
      </w:r>
      <w:proofErr w:type="spellEnd"/>
      <w:r>
        <w:rPr>
          <w:rFonts w:ascii="Arial" w:hAnsi="Arial" w:cs="Arial"/>
          <w:bCs/>
        </w:rPr>
        <w:t xml:space="preserve"> 2.0 database </w:t>
      </w:r>
      <w:r>
        <w:rPr>
          <w:rFonts w:ascii="Arial" w:hAnsi="Arial" w:cs="Arial"/>
          <w:bCs/>
        </w:rPr>
        <w:fldChar w:fldCharType="begin"/>
      </w:r>
      <w:r w:rsidR="00FF479B">
        <w:rPr>
          <w:rFonts w:ascii="Arial" w:hAnsi="Arial" w:cs="Arial"/>
          <w:bCs/>
        </w:rPr>
        <w:instrText xml:space="preserve"> ADDIN EN.CITE &lt;EndNote&gt;&lt;Cite&gt;&lt;Author&gt;Jumper&lt;/Author&gt;&lt;Year&gt;2021&lt;/Year&gt;&lt;RecNum&gt;9&lt;/RecNum&gt;&lt;DisplayText&gt;[1]&lt;/DisplayText&gt;&lt;record&gt;&lt;rec-number&gt;9&lt;/rec-number&gt;&lt;foreign-keys&gt;&lt;key app="EN" db-id="d5ew5ss0ga9aege5tfqp09fsre29zptpxr9z" timestamp="1627118600"&gt;9&lt;/key&gt;&lt;/foreign-keys&gt;&lt;ref-type name="Journal Article"&gt;17&lt;/ref-type&gt;&lt;contributors&gt;&lt;authors&gt;&lt;author&gt;Jumper, John&lt;/author&gt;&lt;author&gt;Evans, Richard&lt;/author&gt;&lt;author&gt;Pritzel, Alexander&lt;/author&gt;&lt;author&gt;Green, Tim&lt;/author&gt;&lt;author&gt;Figurnov, Michael&lt;/author&gt;&lt;author&gt;Ronneberger, Olaf&lt;/author&gt;&lt;author&gt;Tunyasuvunakool, Kathryn&lt;/author&gt;&lt;author&gt;Bates, Russ&lt;/author&gt;&lt;author&gt;Žídek, Augustin&lt;/author&gt;&lt;author&gt;Potapenko, Anna&lt;/author&gt;&lt;author&gt;Bridgland, Alex&lt;/author&gt;&lt;author&gt;Meyer, Clemens&lt;/author&gt;&lt;author&gt;Kohl, Simon A. A.&lt;/author&gt;&lt;author&gt;Ballard, Andrew J.&lt;/author&gt;&lt;author&gt;Cowie, Andrew&lt;/author&gt;&lt;author&gt;Romera-Paredes, Bernardino&lt;/author&gt;&lt;author&gt;Nikolov, Stanislav&lt;/author&gt;&lt;author&gt;Jain, Rishub&lt;/author&gt;&lt;author&gt;Adler, Jonas&lt;/author&gt;&lt;author&gt;Back, Trevor&lt;/author&gt;&lt;author&gt;Petersen, Stig&lt;/author&gt;&lt;author&gt;Reiman, David&lt;/author&gt;&lt;author&gt;Clancy, Ellen&lt;/author&gt;&lt;author&gt;Zielinski, Michal&lt;/author&gt;&lt;author&gt;Steinegger, Martin&lt;/author&gt;&lt;author&gt;Pacholska, Michalina&lt;/author&gt;&lt;author&gt;Berghammer, Tamas&lt;/author&gt;&lt;author&gt;Bodenstein, Sebastian&lt;/author&gt;&lt;author&gt;Silver, David&lt;/author&gt;&lt;author&gt;Vinyals, Oriol&lt;/author&gt;&lt;author&gt;Senior, Andrew W.&lt;/author&gt;&lt;author&gt;Kavukcuoglu, Koray&lt;/author&gt;&lt;author&gt;Kohli, Pushmeet&lt;/author&gt;&lt;author&gt;Hassabis, Demis&lt;/author&gt;&lt;/authors&gt;&lt;/contributors&gt;&lt;titles&gt;&lt;title&gt;Highly accurate protein structure prediction with AlphaFold&lt;/title&gt;&lt;secondary-title&gt;Nature&lt;/secondary-title&gt;&lt;/titles&gt;&lt;periodical&gt;&lt;full-title&gt;Nature&lt;/full-title&gt;&lt;/periodical&gt;&lt;dates&gt;&lt;year&gt;2021&lt;/year&gt;&lt;pub-dates&gt;&lt;date&gt;2021/07/15&lt;/date&gt;&lt;/pub-dates&gt;&lt;/dates&gt;&lt;isbn&gt;1476-4687&lt;/isbn&gt;&lt;urls&gt;&lt;related-urls&gt;&lt;url&gt;https://doi.org/10.1038/s41586-021-03819-2&lt;/url&gt;&lt;/related-urls&gt;&lt;/urls&gt;&lt;electronic-resource-num&gt;10.1038/s41586-021-03819-2&lt;/electronic-resource-num&gt;&lt;/record&gt;&lt;/Cite&gt;&lt;/EndNote&gt;</w:instrText>
      </w:r>
      <w:r>
        <w:rPr>
          <w:rFonts w:ascii="Arial" w:hAnsi="Arial" w:cs="Arial"/>
          <w:bCs/>
        </w:rPr>
        <w:fldChar w:fldCharType="separate"/>
      </w:r>
      <w:r w:rsidR="00FF479B">
        <w:rPr>
          <w:rFonts w:ascii="Arial" w:hAnsi="Arial" w:cs="Arial"/>
          <w:bCs/>
          <w:noProof/>
        </w:rPr>
        <w:t>[1]</w:t>
      </w:r>
      <w:r>
        <w:rPr>
          <w:rFonts w:ascii="Arial" w:hAnsi="Arial" w:cs="Arial"/>
          <w:bCs/>
        </w:rPr>
        <w:fldChar w:fldCharType="end"/>
      </w:r>
      <w:r>
        <w:rPr>
          <w:rFonts w:ascii="Arial" w:hAnsi="Arial" w:cs="Arial"/>
          <w:bCs/>
        </w:rPr>
        <w:t xml:space="preserve"> and was validated by structural comparison of published structures of the N- and P-domain of CALR </w:t>
      </w:r>
      <w:r>
        <w:rPr>
          <w:rFonts w:ascii="Arial" w:hAnsi="Arial" w:cs="Arial"/>
          <w:bCs/>
        </w:rPr>
        <w:fldChar w:fldCharType="begin">
          <w:fldData xml:space="preserve">PEVuZE5vdGU+PENpdGU+PEF1dGhvcj5DaG91cXVldDwvQXV0aG9yPjxZZWFyPjIwMTE8L1llYXI+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</w:fldData>
        </w:fldChar>
      </w:r>
      <w:r w:rsidR="00FF479B">
        <w:rPr>
          <w:rFonts w:ascii="Arial" w:hAnsi="Arial" w:cs="Arial"/>
          <w:bCs/>
        </w:rPr>
        <w:instrText xml:space="preserve"> ADDIN EN.CITE </w:instrText>
      </w:r>
      <w:r w:rsidR="00FF479B">
        <w:rPr>
          <w:rFonts w:ascii="Arial" w:hAnsi="Arial" w:cs="Arial"/>
          <w:bCs/>
        </w:rPr>
        <w:fldChar w:fldCharType="begin">
          <w:fldData xml:space="preserve">PEVuZE5vdGU+PENpdGU+PEF1dGhvcj5DaG91cXVldDwvQXV0aG9yPjxZZWFyPjIwMTE8L1llYXI+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</w:fldData>
        </w:fldChar>
      </w:r>
      <w:r w:rsidR="00FF479B">
        <w:rPr>
          <w:rFonts w:ascii="Arial" w:hAnsi="Arial" w:cs="Arial"/>
          <w:bCs/>
        </w:rPr>
        <w:instrText xml:space="preserve"> ADDIN EN.CITE.DATA </w:instrText>
      </w:r>
      <w:r w:rsidR="00FF479B">
        <w:rPr>
          <w:rFonts w:ascii="Arial" w:hAnsi="Arial" w:cs="Arial"/>
          <w:bCs/>
        </w:rPr>
      </w:r>
      <w:r w:rsidR="00FF479B">
        <w:rPr>
          <w:rFonts w:ascii="Arial" w:hAnsi="Arial" w:cs="Arial"/>
          <w:bCs/>
        </w:rPr>
        <w:fldChar w:fldCharType="end"/>
      </w:r>
      <w:r>
        <w:rPr>
          <w:rFonts w:ascii="Arial" w:hAnsi="Arial" w:cs="Arial"/>
          <w:bCs/>
        </w:rPr>
      </w:r>
      <w:r>
        <w:rPr>
          <w:rFonts w:ascii="Arial" w:hAnsi="Arial" w:cs="Arial"/>
          <w:bCs/>
        </w:rPr>
        <w:fldChar w:fldCharType="separate"/>
      </w:r>
      <w:r w:rsidR="00FF479B">
        <w:rPr>
          <w:rFonts w:ascii="Arial" w:hAnsi="Arial" w:cs="Arial"/>
          <w:bCs/>
          <w:noProof/>
        </w:rPr>
        <w:t>[2, 3]</w:t>
      </w:r>
      <w:r>
        <w:rPr>
          <w:rFonts w:ascii="Arial" w:hAnsi="Arial" w:cs="Arial"/>
          <w:bCs/>
        </w:rPr>
        <w:fldChar w:fldCharType="end"/>
      </w:r>
      <w:r>
        <w:rPr>
          <w:rFonts w:ascii="Arial" w:hAnsi="Arial" w:cs="Arial"/>
          <w:bCs/>
        </w:rPr>
        <w:t xml:space="preserve">. The structure of </w:t>
      </w:r>
      <w:r w:rsidRPr="00F47D87">
        <w:rPr>
          <w:rFonts w:ascii="Arial" w:hAnsi="Arial" w:cs="Arial"/>
          <w:vertAlign w:val="superscript"/>
        </w:rPr>
        <w:t>157</w:t>
      </w:r>
      <w:r w:rsidRPr="00F47D87">
        <w:rPr>
          <w:rFonts w:ascii="Arial" w:hAnsi="Arial" w:cs="Arial"/>
        </w:rPr>
        <w:t>INKDIRCKDDEF</w:t>
      </w:r>
      <w:r w:rsidRPr="00F47D87">
        <w:rPr>
          <w:rFonts w:ascii="Arial" w:hAnsi="Arial" w:cs="Arial"/>
          <w:vertAlign w:val="superscript"/>
        </w:rPr>
        <w:t>168</w:t>
      </w:r>
      <w:r>
        <w:rPr>
          <w:rFonts w:ascii="Arial" w:hAnsi="Arial" w:cs="Arial"/>
        </w:rPr>
        <w:t xml:space="preserve"> is highlighted as the </w:t>
      </w:r>
      <w:r>
        <w:rPr>
          <w:rFonts w:ascii="Arial" w:hAnsi="Arial" w:cs="Arial"/>
          <w:bCs/>
        </w:rPr>
        <w:t xml:space="preserve">only stretch of the N-domain displaying high hydrogen-deuterium exchange. </w:t>
      </w:r>
      <w:r>
        <w:rPr>
          <w:rFonts w:ascii="Arial" w:hAnsi="Arial" w:cs="Arial"/>
          <w:b/>
          <w:bCs/>
        </w:rPr>
        <w:t>B</w:t>
      </w:r>
      <w:r>
        <w:rPr>
          <w:rFonts w:ascii="Arial" w:hAnsi="Arial" w:cs="Arial"/>
        </w:rPr>
        <w:t>.</w:t>
      </w:r>
      <w:r>
        <w:rPr>
          <w:rFonts w:ascii="Arial" w:hAnsi="Arial" w:cs="Arial"/>
          <w:bCs/>
        </w:rPr>
        <w:t xml:space="preserve"> Heatmap of the whole calreticulin sequence with fractional deuterium uptake at 0.25, </w:t>
      </w:r>
      <w:proofErr w:type="gramStart"/>
      <w:r>
        <w:rPr>
          <w:rFonts w:ascii="Arial" w:hAnsi="Arial" w:cs="Arial"/>
          <w:bCs/>
        </w:rPr>
        <w:t>1, 5, 20 and 60 minutes</w:t>
      </w:r>
      <w:proofErr w:type="gramEnd"/>
      <w:r>
        <w:rPr>
          <w:rFonts w:ascii="Arial" w:hAnsi="Arial" w:cs="Arial"/>
          <w:bCs/>
        </w:rPr>
        <w:t xml:space="preserve"> incubation. The scale represents the deuterium uptake as a percentage of theoretical maximum uptake. Amino acids not covered by detected peptides are not colored.</w:t>
      </w:r>
      <w:r w:rsidR="00B7333E">
        <w:rPr>
          <w:rFonts w:ascii="Arial" w:hAnsi="Arial" w:cs="Arial"/>
          <w:bCs/>
        </w:rPr>
        <w:t xml:space="preserve"> </w:t>
      </w:r>
      <w:r w:rsidR="00B7333E">
        <w:rPr>
          <w:rFonts w:ascii="Arial" w:hAnsi="Arial" w:cs="Arial"/>
          <w:b/>
          <w:bCs/>
        </w:rPr>
        <w:t>C</w:t>
      </w:r>
      <w:r w:rsidR="00B7333E" w:rsidRPr="00697752">
        <w:rPr>
          <w:rFonts w:ascii="Arial" w:hAnsi="Arial" w:cs="Arial"/>
          <w:b/>
          <w:bCs/>
        </w:rPr>
        <w:t>.</w:t>
      </w:r>
      <w:r w:rsidR="00B7333E">
        <w:rPr>
          <w:rFonts w:ascii="Arial" w:hAnsi="Arial" w:cs="Arial"/>
        </w:rPr>
        <w:t xml:space="preserve"> </w:t>
      </w:r>
      <w:r w:rsidR="00B7333E" w:rsidRPr="00A34029">
        <w:rPr>
          <w:rFonts w:ascii="Arial" w:hAnsi="Arial" w:cs="Arial"/>
        </w:rPr>
        <w:t xml:space="preserve">Butterfly plot of differential deuterium uptake between CALR </w:t>
      </w:r>
      <w:r w:rsidR="00B7333E">
        <w:rPr>
          <w:rFonts w:ascii="Arial" w:hAnsi="Arial" w:cs="Arial"/>
        </w:rPr>
        <w:t>WT</w:t>
      </w:r>
      <w:r w:rsidR="00B7333E" w:rsidRPr="00A34029">
        <w:rPr>
          <w:rFonts w:ascii="Arial" w:hAnsi="Arial" w:cs="Arial"/>
        </w:rPr>
        <w:t xml:space="preserve"> and </w:t>
      </w:r>
      <w:r w:rsidR="00B7333E">
        <w:rPr>
          <w:rFonts w:ascii="Arial" w:hAnsi="Arial" w:cs="Arial"/>
        </w:rPr>
        <w:t>CALR del52</w:t>
      </w:r>
      <w:r w:rsidR="00B7333E" w:rsidRPr="00A34029">
        <w:rPr>
          <w:rFonts w:ascii="Arial" w:hAnsi="Arial" w:cs="Arial"/>
        </w:rPr>
        <w:t>. CALR subdomains are indicated by colored lines.</w:t>
      </w:r>
      <w:r w:rsidR="00B7333E">
        <w:rPr>
          <w:rFonts w:ascii="Arial" w:hAnsi="Arial" w:cs="Arial"/>
        </w:rPr>
        <w:t xml:space="preserve"> Each grey peak represents the summed deuterium differential for a given amino acids. Standard deviation is shown in grey above and below the X axis. Colored lines represent differential deuterium uptake for individual time points at 0.25 (orange), 1 (red), 5 (cyan), 20 (dark blue) and 60 (black) minutes incubation in deuterium.</w:t>
      </w:r>
    </w:p>
    <w:p w14:paraId="2240A052" w14:textId="77777777" w:rsidR="00CC2C19" w:rsidRDefault="00CC2C19" w:rsidP="00CC2C19">
      <w:pPr>
        <w:spacing w:before="120" w:after="120" w:line="360" w:lineRule="auto"/>
        <w:jc w:val="both"/>
        <w:rPr>
          <w:rFonts w:ascii="Arial" w:hAnsi="Arial" w:cs="Arial"/>
          <w:bCs/>
        </w:rPr>
      </w:pPr>
    </w:p>
    <w:p w14:paraId="2453340C" w14:textId="77777777" w:rsidR="00CC2C19" w:rsidRDefault="00CC2C19" w:rsidP="00CC2C19">
      <w:pPr>
        <w:spacing w:before="120" w:after="120" w:line="360" w:lineRule="auto"/>
        <w:rPr>
          <w:rFonts w:ascii="Arial" w:hAnsi="Arial" w:cs="Arial"/>
          <w:b/>
          <w:bCs/>
        </w:rPr>
      </w:pPr>
      <w:r w:rsidRPr="006737BB">
        <w:rPr>
          <w:rFonts w:ascii="Arial" w:hAnsi="Arial" w:cs="Arial"/>
          <w:b/>
          <w:bCs/>
        </w:rPr>
        <w:lastRenderedPageBreak/>
        <w:t xml:space="preserve">Supplementary Figure </w:t>
      </w:r>
      <w:r>
        <w:rPr>
          <w:rFonts w:ascii="Arial" w:hAnsi="Arial" w:cs="Arial"/>
          <w:b/>
          <w:bCs/>
        </w:rPr>
        <w:t>3</w:t>
      </w:r>
    </w:p>
    <w:p w14:paraId="27006410" w14:textId="3A49D350" w:rsidR="00CC2C19" w:rsidRPr="00A33E26" w:rsidRDefault="00CC2C19" w:rsidP="00CC2C19">
      <w:pPr>
        <w:spacing w:before="120" w:after="120" w:line="360" w:lineRule="auto"/>
        <w:jc w:val="both"/>
        <w:rPr>
          <w:rFonts w:ascii="Arial" w:hAnsi="Arial" w:cs="Arial"/>
          <w:bCs/>
        </w:rPr>
      </w:pPr>
      <w:r w:rsidRPr="00697752">
        <w:rPr>
          <w:rFonts w:ascii="Arial" w:hAnsi="Arial" w:cs="Arial"/>
          <w:b/>
          <w:bCs/>
        </w:rPr>
        <w:t>A.</w:t>
      </w:r>
      <w:r>
        <w:rPr>
          <w:rFonts w:ascii="Arial" w:hAnsi="Arial" w:cs="Arial"/>
          <w:b/>
          <w:bCs/>
        </w:rPr>
        <w:t xml:space="preserve"> </w:t>
      </w:r>
      <w:r w:rsidRPr="005628CB">
        <w:rPr>
          <w:rFonts w:ascii="Arial" w:hAnsi="Arial" w:cs="Arial"/>
          <w:color w:val="000000" w:themeColor="text1"/>
        </w:rPr>
        <w:t xml:space="preserve">Deuterium uptake of representative peptides from CALR del52 alone or in complex with </w:t>
      </w:r>
      <w:proofErr w:type="spellStart"/>
      <w:r w:rsidRPr="005628CB">
        <w:rPr>
          <w:rFonts w:ascii="Arial" w:hAnsi="Arial" w:cs="Arial"/>
          <w:color w:val="000000" w:themeColor="text1"/>
        </w:rPr>
        <w:t>TpoR</w:t>
      </w:r>
      <w:proofErr w:type="spellEnd"/>
      <w:r w:rsidRPr="005628CB">
        <w:rPr>
          <w:rFonts w:ascii="Arial" w:hAnsi="Arial" w:cs="Arial"/>
          <w:color w:val="000000" w:themeColor="text1"/>
        </w:rPr>
        <w:t xml:space="preserve"> ECD corresponding to the C-terminus of CALR del52 at 5 different exchange time points. The first peptide corresponds to the end of the C-domain common to CALR WT and CALR del52 which does not show differential uptake. The second peptide contains the mutant tail and show high differential uptake. The last peptide corresponds to the last amino acids of the new tail.</w:t>
      </w:r>
      <w:r>
        <w:rPr>
          <w:rFonts w:ascii="Arial" w:hAnsi="Arial" w:cs="Arial"/>
          <w:color w:val="000000" w:themeColor="text1"/>
        </w:rPr>
        <w:t xml:space="preserve"> </w:t>
      </w:r>
      <w:r w:rsidRPr="003743BC">
        <w:rPr>
          <w:rFonts w:ascii="Arial" w:hAnsi="Arial" w:cs="Arial"/>
          <w:b/>
          <w:bCs/>
          <w:color w:val="000000" w:themeColor="text1"/>
        </w:rPr>
        <w:t>B.</w:t>
      </w:r>
      <w:r>
        <w:rPr>
          <w:rFonts w:ascii="Arial" w:hAnsi="Arial" w:cs="Arial"/>
          <w:color w:val="000000" w:themeColor="text1"/>
        </w:rPr>
        <w:t xml:space="preserve"> </w:t>
      </w:r>
      <w:r>
        <w:rPr>
          <w:rFonts w:ascii="Arial" w:hAnsi="Arial" w:cs="Arial"/>
        </w:rPr>
        <w:t xml:space="preserve"> </w:t>
      </w:r>
      <w:r w:rsidRPr="005628CB">
        <w:rPr>
          <w:rFonts w:ascii="Arial" w:hAnsi="Arial" w:cs="Arial"/>
          <w:bCs/>
        </w:rPr>
        <w:t xml:space="preserve">Relative deuterium uptake analysis between </w:t>
      </w:r>
      <w:r>
        <w:rPr>
          <w:rFonts w:ascii="Arial" w:hAnsi="Arial" w:cs="Arial"/>
          <w:bCs/>
        </w:rPr>
        <w:t xml:space="preserve">CALR del52 and CALR del52-TpoR D1D4 complex at 0.25, </w:t>
      </w:r>
      <w:proofErr w:type="gramStart"/>
      <w:r>
        <w:rPr>
          <w:rFonts w:ascii="Arial" w:hAnsi="Arial" w:cs="Arial"/>
          <w:bCs/>
        </w:rPr>
        <w:t>1, 5, 20 and 60 minutes</w:t>
      </w:r>
      <w:proofErr w:type="gramEnd"/>
      <w:r>
        <w:rPr>
          <w:rFonts w:ascii="Arial" w:hAnsi="Arial" w:cs="Arial"/>
          <w:bCs/>
        </w:rPr>
        <w:t xml:space="preserve"> </w:t>
      </w:r>
      <w:r w:rsidRPr="005628CB">
        <w:rPr>
          <w:rFonts w:ascii="Arial" w:hAnsi="Arial" w:cs="Arial"/>
          <w:bCs/>
        </w:rPr>
        <w:t xml:space="preserve">incubation in deuterium. Dots indicated in red (deprotected) or blue (protected) show significant differential deuterium intake (p&lt;0.001) with the peptide-level significance testing as described </w:t>
      </w:r>
      <w:r w:rsidRPr="003743BC">
        <w:rPr>
          <w:rFonts w:ascii="Arial" w:hAnsi="Arial" w:cs="Arial"/>
        </w:rPr>
        <w:fldChar w:fldCharType="begin"/>
      </w:r>
      <w:r w:rsidR="00FF479B">
        <w:rPr>
          <w:rFonts w:ascii="Arial" w:hAnsi="Arial" w:cs="Arial"/>
        </w:rPr>
        <w:instrText xml:space="preserve"> ADDIN EN.CITE &lt;EndNote&gt;&lt;Cite&gt;&lt;Author&gt;Lau&lt;/Author&gt;&lt;Year&gt;2021&lt;/Year&gt;&lt;RecNum&gt;12&lt;/RecNum&gt;&lt;DisplayText&gt;[4]&lt;/DisplayText&gt;&lt;record&gt;&lt;rec-number&gt;12&lt;/rec-number&gt;&lt;foreign-keys&gt;&lt;key app="EN" db-id="d5ew5ss0ga9aege5tfqp09fsre29zptpxr9z" timestamp="1627126493"&gt;12&lt;/key&gt;&lt;/foreign-keys&gt;&lt;ref-type name="Journal Article"&gt;17&lt;/ref-type&gt;&lt;contributors&gt;&lt;authors&gt;&lt;author&gt;Lau, A. M.&lt;/author&gt;&lt;author&gt;Claesen, J.&lt;/author&gt;&lt;author&gt;Hansen, K.&lt;/author&gt;&lt;author&gt;Politis, A.&lt;/author&gt;&lt;/authors&gt;&lt;/contributors&gt;&lt;auth-address&gt;Department of Chemistry, King&amp;apos;s College London, London SE1 1DB, UK.&amp;#xD;Institute for Environment, Health and Safety, Microbiology Unit, SCK•CEN, Mol 2600, Belgium.&amp;#xD;I-Biostat, Data Science Institute, Hasselt University, Hasselt 3500, Belgium.&lt;/auth-address&gt;&lt;titles&gt;&lt;title&gt;Deuteros 2.0: peptide-level significance testing of data from hydrogen deuterium exchange mass spectrometry&lt;/title&gt;&lt;secondary-title&gt;Bioinformatics&lt;/secondary-title&gt;&lt;/titles&gt;&lt;periodical&gt;&lt;full-title&gt;Bioinformatics&lt;/full-title&gt;&lt;/periodical&gt;&lt;pages&gt;270-272&lt;/pages&gt;&lt;volume&gt;37&lt;/volume&gt;&lt;number&gt;2&lt;/number&gt;&lt;edition&gt;2020/07/30&lt;/edition&gt;&lt;keywords&gt;&lt;keyword&gt;*Deuterium Exchange Measurement&lt;/keyword&gt;&lt;keyword&gt;Hydrogen&lt;/keyword&gt;&lt;keyword&gt;*Hydrogen Deuterium Exchange-Mass Spectrometry&lt;/keyword&gt;&lt;keyword&gt;Peptides&lt;/keyword&gt;&lt;keyword&gt;Protein Conformation&lt;/keyword&gt;&lt;keyword&gt;Proteins&lt;/keyword&gt;&lt;keyword&gt;Software&lt;/keyword&gt;&lt;/keywords&gt;&lt;dates&gt;&lt;year&gt;2021&lt;/year&gt;&lt;pub-dates&gt;&lt;date&gt;Apr 19&lt;/date&gt;&lt;/pub-dates&gt;&lt;/dates&gt;&lt;isbn&gt;1367-4803 (Print)&amp;#xD;1367-4803&lt;/isbn&gt;&lt;accession-num&gt;32722756&lt;/accession-num&gt;&lt;urls&gt;&lt;/urls&gt;&lt;custom2&gt;PMC8055227&lt;/custom2&gt;&lt;electronic-resource-num&gt;10.1093/bioinformatics/btaa677&lt;/electronic-resource-num&gt;&lt;remote-database-provider&gt;NLM&lt;/remote-database-provider&gt;&lt;language&gt;eng&lt;/language&gt;&lt;/record&gt;&lt;/Cite&gt;&lt;/EndNote&gt;</w:instrText>
      </w:r>
      <w:r w:rsidRPr="003743BC">
        <w:rPr>
          <w:rFonts w:ascii="Arial" w:hAnsi="Arial" w:cs="Arial"/>
        </w:rPr>
        <w:fldChar w:fldCharType="separate"/>
      </w:r>
      <w:r w:rsidR="00FF479B">
        <w:rPr>
          <w:rFonts w:ascii="Arial" w:hAnsi="Arial" w:cs="Arial"/>
          <w:noProof/>
        </w:rPr>
        <w:t>[4]</w:t>
      </w:r>
      <w:r w:rsidRPr="003743BC">
        <w:rPr>
          <w:rFonts w:ascii="Arial" w:hAnsi="Arial" w:cs="Arial"/>
        </w:rPr>
        <w:fldChar w:fldCharType="end"/>
      </w:r>
      <w:r w:rsidRPr="002973AA">
        <w:rPr>
          <w:rFonts w:ascii="Arial" w:hAnsi="Arial" w:cs="Arial"/>
        </w:rPr>
        <w:t>.</w:t>
      </w:r>
      <w:r>
        <w:rPr>
          <w:rFonts w:ascii="Arial" w:hAnsi="Arial" w:cs="Arial"/>
          <w:bCs/>
        </w:rPr>
        <w:t xml:space="preserve"> </w:t>
      </w:r>
      <w:r w:rsidRPr="003743BC">
        <w:rPr>
          <w:rFonts w:ascii="Arial" w:hAnsi="Arial" w:cs="Arial"/>
          <w:b/>
        </w:rPr>
        <w:t>C.</w:t>
      </w:r>
      <w:r>
        <w:rPr>
          <w:rFonts w:ascii="Arial" w:hAnsi="Arial" w:cs="Arial"/>
          <w:bCs/>
        </w:rPr>
        <w:t xml:space="preserve"> </w:t>
      </w:r>
      <w:r w:rsidRPr="00A34029">
        <w:rPr>
          <w:rFonts w:ascii="Arial" w:hAnsi="Arial" w:cs="Arial"/>
        </w:rPr>
        <w:t xml:space="preserve">Butterfly plot of differential deuterium uptake between CALR </w:t>
      </w:r>
      <w:r>
        <w:rPr>
          <w:rFonts w:ascii="Arial" w:hAnsi="Arial" w:cs="Arial"/>
        </w:rPr>
        <w:t>del52</w:t>
      </w:r>
      <w:r w:rsidRPr="00A34029">
        <w:rPr>
          <w:rFonts w:ascii="Arial" w:hAnsi="Arial" w:cs="Arial"/>
        </w:rPr>
        <w:t xml:space="preserve"> and CALR del52</w:t>
      </w:r>
      <w:r>
        <w:rPr>
          <w:rFonts w:ascii="Arial" w:hAnsi="Arial" w:cs="Arial"/>
        </w:rPr>
        <w:t xml:space="preserve">-sD1D2D3D4 complex </w:t>
      </w:r>
      <w:r w:rsidRPr="00A34029">
        <w:rPr>
          <w:rFonts w:ascii="Arial" w:hAnsi="Arial" w:cs="Arial"/>
        </w:rPr>
        <w:t xml:space="preserve">corresponding to Figure </w:t>
      </w:r>
      <w:r>
        <w:rPr>
          <w:rFonts w:ascii="Arial" w:hAnsi="Arial" w:cs="Arial"/>
        </w:rPr>
        <w:t>2B</w:t>
      </w:r>
      <w:r w:rsidRPr="00A34029">
        <w:rPr>
          <w:rFonts w:ascii="Arial" w:hAnsi="Arial" w:cs="Arial"/>
        </w:rPr>
        <w:t>. CALR subdomains are indicated by colored lines.</w:t>
      </w:r>
      <w:r>
        <w:rPr>
          <w:rFonts w:ascii="Arial" w:hAnsi="Arial" w:cs="Arial"/>
        </w:rPr>
        <w:t xml:space="preserve"> Each grey peak represents the summed deuterium differential for a given amino acids. Standard deviation is shown in grey above and below the X axis. Colored lines represent differential deuterium uptake for individual time points at 0.25 (orange), 1 (red), 5 (cyan), 20 (dark blue) and 60 (black) minutes incubation in deuterium. </w:t>
      </w:r>
      <w:r w:rsidRPr="00976E83">
        <w:rPr>
          <w:rFonts w:ascii="Arial" w:hAnsi="Arial" w:cs="Arial"/>
          <w:b/>
          <w:bCs/>
        </w:rPr>
        <w:t>D.</w:t>
      </w:r>
      <w:r>
        <w:rPr>
          <w:rFonts w:ascii="Arial" w:hAnsi="Arial" w:cs="Arial"/>
        </w:rPr>
        <w:t xml:space="preserve"> Left: Theoretical profile of specific versus non-specific interaction in a Donor Saturation Assay (DSA) experiment as per the manufacturer instruction. Right: Donor Saturation Assay of CALR del52 P-C domain or C-domain only. HEK293T were transfected with increasing amount of </w:t>
      </w:r>
      <w:proofErr w:type="spellStart"/>
      <w:r>
        <w:rPr>
          <w:rFonts w:ascii="Arial" w:hAnsi="Arial" w:cs="Arial"/>
        </w:rPr>
        <w:t>HaloTag</w:t>
      </w:r>
      <w:proofErr w:type="spellEnd"/>
      <w:r>
        <w:rPr>
          <w:rFonts w:ascii="Arial" w:hAnsi="Arial" w:cs="Arial"/>
        </w:rPr>
        <w:t xml:space="preserve"> constructs and fixed amount of </w:t>
      </w:r>
      <w:proofErr w:type="spellStart"/>
      <w:r>
        <w:rPr>
          <w:rFonts w:ascii="Arial" w:hAnsi="Arial" w:cs="Arial"/>
        </w:rPr>
        <w:t>NanoLuc</w:t>
      </w:r>
      <w:proofErr w:type="spellEnd"/>
      <w:r>
        <w:rPr>
          <w:rFonts w:ascii="Arial" w:hAnsi="Arial" w:cs="Arial"/>
        </w:rPr>
        <w:t xml:space="preserve"> donor. Negative control consists in an empty </w:t>
      </w:r>
      <w:proofErr w:type="spellStart"/>
      <w:r>
        <w:rPr>
          <w:rFonts w:ascii="Arial" w:hAnsi="Arial" w:cs="Arial"/>
        </w:rPr>
        <w:t>NanoLuc</w:t>
      </w:r>
      <w:proofErr w:type="spellEnd"/>
      <w:r>
        <w:rPr>
          <w:rFonts w:ascii="Arial" w:hAnsi="Arial" w:cs="Arial"/>
        </w:rPr>
        <w:t xml:space="preserve"> vector (n = 4). </w:t>
      </w:r>
      <w:r w:rsidRPr="00976E83">
        <w:rPr>
          <w:rFonts w:ascii="Arial" w:hAnsi="Arial" w:cs="Arial"/>
          <w:b/>
          <w:bCs/>
        </w:rPr>
        <w:t>E.</w:t>
      </w:r>
      <w:r>
        <w:rPr>
          <w:rFonts w:ascii="Arial" w:hAnsi="Arial" w:cs="Arial"/>
        </w:rPr>
        <w:t xml:space="preserve"> </w:t>
      </w:r>
      <w:r w:rsidRPr="005628CB">
        <w:rPr>
          <w:rFonts w:ascii="Arial" w:hAnsi="Arial" w:cs="Arial"/>
        </w:rPr>
        <w:t xml:space="preserve">STAT5 transcriptional activity with </w:t>
      </w:r>
      <w:proofErr w:type="spellStart"/>
      <w:r>
        <w:rPr>
          <w:rFonts w:ascii="Arial" w:hAnsi="Arial" w:cs="Arial"/>
        </w:rPr>
        <w:t>E</w:t>
      </w:r>
      <w:r w:rsidRPr="005628CB">
        <w:rPr>
          <w:rFonts w:ascii="Arial" w:hAnsi="Arial" w:cs="Arial"/>
        </w:rPr>
        <w:t>poR</w:t>
      </w:r>
      <w:proofErr w:type="spellEnd"/>
      <w:r w:rsidRPr="005628CB">
        <w:rPr>
          <w:rFonts w:ascii="Arial" w:hAnsi="Arial" w:cs="Arial"/>
        </w:rPr>
        <w:t xml:space="preserve"> and indicated CALR truncations. HEK293T were transiently transfected with HA-</w:t>
      </w:r>
      <w:proofErr w:type="spellStart"/>
      <w:r w:rsidRPr="005628CB">
        <w:rPr>
          <w:rFonts w:ascii="Arial" w:hAnsi="Arial" w:cs="Arial"/>
        </w:rPr>
        <w:t>h</w:t>
      </w:r>
      <w:r>
        <w:rPr>
          <w:rFonts w:ascii="Arial" w:hAnsi="Arial" w:cs="Arial"/>
        </w:rPr>
        <w:t>E</w:t>
      </w:r>
      <w:r w:rsidRPr="005628CB">
        <w:rPr>
          <w:rFonts w:ascii="Arial" w:hAnsi="Arial" w:cs="Arial"/>
        </w:rPr>
        <w:t>poR</w:t>
      </w:r>
      <w:proofErr w:type="spellEnd"/>
      <w:r w:rsidRPr="005628CB">
        <w:rPr>
          <w:rFonts w:ascii="Arial" w:hAnsi="Arial" w:cs="Arial"/>
        </w:rPr>
        <w:t xml:space="preserve"> and CALR truncations along with cDNAs coding for STAT5, JAK2 and </w:t>
      </w:r>
      <w:proofErr w:type="spellStart"/>
      <w:r w:rsidRPr="005628CB">
        <w:rPr>
          <w:rFonts w:ascii="Arial" w:hAnsi="Arial" w:cs="Arial"/>
        </w:rPr>
        <w:t>SpiLuc</w:t>
      </w:r>
      <w:proofErr w:type="spellEnd"/>
      <w:r w:rsidRPr="005628CB">
        <w:rPr>
          <w:rFonts w:ascii="Arial" w:hAnsi="Arial" w:cs="Arial"/>
        </w:rPr>
        <w:t xml:space="preserve"> Firefly luciferase reporter reflecting STAT5 transcriptional activity and normalized with a control reporter (</w:t>
      </w:r>
      <w:proofErr w:type="spellStart"/>
      <w:r w:rsidRPr="005628CB">
        <w:rPr>
          <w:rFonts w:ascii="Arial" w:hAnsi="Arial" w:cs="Arial"/>
        </w:rPr>
        <w:t>pRLTK</w:t>
      </w:r>
      <w:proofErr w:type="spellEnd"/>
      <w:r w:rsidRPr="005628CB">
        <w:rPr>
          <w:rFonts w:ascii="Arial" w:hAnsi="Arial" w:cs="Arial"/>
        </w:rPr>
        <w:t xml:space="preserve">) containing </w:t>
      </w:r>
      <w:proofErr w:type="spellStart"/>
      <w:r w:rsidRPr="005628CB">
        <w:rPr>
          <w:rFonts w:ascii="Arial" w:hAnsi="Arial" w:cs="Arial"/>
        </w:rPr>
        <w:t>Renilla</w:t>
      </w:r>
      <w:proofErr w:type="spellEnd"/>
      <w:r w:rsidRPr="005628CB">
        <w:rPr>
          <w:rFonts w:ascii="Arial" w:hAnsi="Arial" w:cs="Arial"/>
        </w:rPr>
        <w:t xml:space="preserve"> luciferase. Shown are average </w:t>
      </w:r>
      <w:r>
        <w:rPr>
          <w:rFonts w:ascii="Arial" w:hAnsi="Arial" w:cs="Arial"/>
        </w:rPr>
        <w:t>of 2</w:t>
      </w:r>
      <w:r w:rsidRPr="005628CB">
        <w:rPr>
          <w:rFonts w:ascii="Arial" w:hAnsi="Arial" w:cs="Arial"/>
        </w:rPr>
        <w:t xml:space="preserve"> independent experiments (</w:t>
      </w:r>
      <m:oMath>
        <m:r>
          <w:rPr>
            <w:rFonts w:ascii="Cambria Math" w:hAnsi="Cambria Math" w:cs="Arial"/>
          </w:rPr>
          <m:t>±</m:t>
        </m:r>
      </m:oMath>
      <w:r w:rsidRPr="005628CB">
        <w:rPr>
          <w:rFonts w:ascii="Arial" w:hAnsi="Arial" w:cs="Arial"/>
        </w:rPr>
        <w:t xml:space="preserve"> SD) performed in triplicates (N = </w:t>
      </w:r>
      <w:r>
        <w:rPr>
          <w:rFonts w:ascii="Arial" w:hAnsi="Arial" w:cs="Arial"/>
        </w:rPr>
        <w:t>2</w:t>
      </w:r>
      <w:r w:rsidRPr="005628CB">
        <w:rPr>
          <w:rFonts w:ascii="Arial" w:hAnsi="Arial" w:cs="Arial"/>
        </w:rPr>
        <w:t xml:space="preserve">, n = </w:t>
      </w:r>
      <w:r>
        <w:rPr>
          <w:rFonts w:ascii="Arial" w:hAnsi="Arial" w:cs="Arial"/>
        </w:rPr>
        <w:t>6</w:t>
      </w:r>
      <w:r w:rsidRPr="005628CB">
        <w:rPr>
          <w:rFonts w:ascii="Arial" w:hAnsi="Arial" w:cs="Arial"/>
        </w:rPr>
        <w:t>). Two-ways ANOVA followed by SIDAK multiple comparison test. ***: p &lt; 0.001, ****: p &lt; 0.0001.</w:t>
      </w:r>
      <w:r>
        <w:rPr>
          <w:rFonts w:ascii="Arial" w:hAnsi="Arial" w:cs="Arial"/>
        </w:rPr>
        <w:t xml:space="preserve"> </w:t>
      </w:r>
      <w:r w:rsidRPr="00654DA5">
        <w:rPr>
          <w:rFonts w:ascii="Arial" w:hAnsi="Arial" w:cs="Arial"/>
          <w:b/>
          <w:bCs/>
        </w:rPr>
        <w:t>F.</w:t>
      </w:r>
      <w:r>
        <w:rPr>
          <w:rFonts w:ascii="Arial" w:hAnsi="Arial" w:cs="Arial"/>
        </w:rPr>
        <w:t xml:space="preserve"> </w:t>
      </w:r>
      <w:r>
        <w:rPr>
          <w:rFonts w:ascii="Arial" w:hAnsi="Arial" w:cs="Arial"/>
          <w:bCs/>
        </w:rPr>
        <w:t>Native western blot of indicated CALR species, with or without reducing agent (DTT). Staining with Coomassie Blue.</w:t>
      </w:r>
    </w:p>
    <w:bookmarkEnd w:id="2"/>
    <w:bookmarkEnd w:id="3"/>
    <w:p w14:paraId="550B7A06" w14:textId="77777777" w:rsidR="00CC2C19" w:rsidRPr="005F1BCD" w:rsidRDefault="00CC2C19" w:rsidP="00CC2C19">
      <w:pPr>
        <w:spacing w:before="120" w:after="120" w:line="360" w:lineRule="auto"/>
        <w:jc w:val="both"/>
        <w:rPr>
          <w:rFonts w:ascii="Arial" w:hAnsi="Arial" w:cs="Arial"/>
          <w:b/>
          <w:bCs/>
        </w:rPr>
      </w:pPr>
      <w:r w:rsidRPr="005F1BCD">
        <w:rPr>
          <w:rFonts w:ascii="Arial" w:hAnsi="Arial" w:cs="Arial"/>
          <w:b/>
          <w:bCs/>
        </w:rPr>
        <w:t xml:space="preserve">Supplementary Figure </w:t>
      </w:r>
      <w:r>
        <w:rPr>
          <w:rFonts w:ascii="Arial" w:hAnsi="Arial" w:cs="Arial"/>
          <w:b/>
          <w:bCs/>
        </w:rPr>
        <w:t>4</w:t>
      </w:r>
    </w:p>
    <w:p w14:paraId="29737084" w14:textId="55F04A02" w:rsidR="00CC2C19" w:rsidRPr="009D0EA2" w:rsidRDefault="00CC2C19" w:rsidP="00CC2C19">
      <w:pPr>
        <w:spacing w:before="120" w:after="120" w:line="360" w:lineRule="auto"/>
        <w:jc w:val="both"/>
        <w:rPr>
          <w:rFonts w:ascii="Arial" w:hAnsi="Arial" w:cs="Arial"/>
        </w:rPr>
      </w:pPr>
      <w:r w:rsidRPr="005628CB">
        <w:rPr>
          <w:rFonts w:ascii="Arial" w:hAnsi="Arial" w:cs="Arial"/>
          <w:b/>
          <w:bCs/>
        </w:rPr>
        <w:t>A.</w:t>
      </w:r>
      <w:r w:rsidRPr="005628CB">
        <w:rPr>
          <w:rFonts w:ascii="Arial" w:hAnsi="Arial" w:cs="Arial"/>
        </w:rPr>
        <w:t xml:space="preserve"> Coomassie Blue staining of </w:t>
      </w:r>
      <w:r>
        <w:rPr>
          <w:rFonts w:ascii="Arial" w:hAnsi="Arial" w:cs="Arial"/>
        </w:rPr>
        <w:t>CALR del52-sD1D2 complex after denaturation.</w:t>
      </w:r>
      <w:r w:rsidRPr="005628CB">
        <w:rPr>
          <w:rFonts w:ascii="Arial" w:hAnsi="Arial" w:cs="Arial"/>
        </w:rPr>
        <w:t xml:space="preserve"> Purified samples were analyzed by SDS-PAGE and stained with Coomassie Blue for </w:t>
      </w:r>
      <w:r w:rsidRPr="005628CB">
        <w:rPr>
          <w:rFonts w:ascii="Arial" w:hAnsi="Arial" w:cs="Arial"/>
        </w:rPr>
        <w:lastRenderedPageBreak/>
        <w:t>total protein detection</w:t>
      </w:r>
      <w:r w:rsidRPr="005628CB">
        <w:rPr>
          <w:rFonts w:ascii="Arial" w:hAnsi="Arial" w:cs="Arial"/>
          <w:b/>
          <w:bCs/>
        </w:rPr>
        <w:t>. B.</w:t>
      </w:r>
      <w:r w:rsidRPr="005628CB">
        <w:rPr>
          <w:rFonts w:ascii="Arial" w:hAnsi="Arial" w:cs="Arial"/>
        </w:rPr>
        <w:t xml:space="preserve"> Micro-scale thermophoresis of purified indicated samples. The graphs represent the 350/330 nm intrinsic fluorescence from </w:t>
      </w:r>
      <w:proofErr w:type="spellStart"/>
      <w:r w:rsidRPr="005628CB">
        <w:rPr>
          <w:rFonts w:ascii="Arial" w:hAnsi="Arial" w:cs="Arial"/>
        </w:rPr>
        <w:t>Trp</w:t>
      </w:r>
      <w:proofErr w:type="spellEnd"/>
      <w:r w:rsidRPr="005628CB">
        <w:rPr>
          <w:rFonts w:ascii="Arial" w:hAnsi="Arial" w:cs="Arial"/>
        </w:rPr>
        <w:t xml:space="preserve"> and Tyr residues at different temperatures. The S-shaped curve is typical of well-folded proteins as the accessibility of Tyr and </w:t>
      </w:r>
      <w:proofErr w:type="spellStart"/>
      <w:r w:rsidRPr="005628CB">
        <w:rPr>
          <w:rFonts w:ascii="Arial" w:hAnsi="Arial" w:cs="Arial"/>
        </w:rPr>
        <w:t>Trp</w:t>
      </w:r>
      <w:proofErr w:type="spellEnd"/>
      <w:r w:rsidRPr="005628CB">
        <w:rPr>
          <w:rFonts w:ascii="Arial" w:hAnsi="Arial" w:cs="Arial"/>
        </w:rPr>
        <w:t xml:space="preserve"> residues gradually increases upon temperature increases and denaturation. The Tm is computed as the temperature at which half of the proteins in the sample are denatured.</w:t>
      </w:r>
      <w:r>
        <w:rPr>
          <w:rFonts w:ascii="Arial" w:hAnsi="Arial" w:cs="Arial"/>
        </w:rPr>
        <w:t xml:space="preserve"> CALR del52-sD1D2 displays a strong right-shift Tm, indicative of higher stability of the CALR del52-sD1D2 complex compared to CALR del52 alone. </w:t>
      </w:r>
      <w:r>
        <w:rPr>
          <w:rFonts w:ascii="Arial" w:hAnsi="Arial" w:cs="Arial"/>
          <w:b/>
          <w:bCs/>
        </w:rPr>
        <w:t>C</w:t>
      </w:r>
      <w:r w:rsidRPr="00697752">
        <w:rPr>
          <w:rFonts w:ascii="Arial" w:hAnsi="Arial" w:cs="Arial"/>
          <w:b/>
          <w:bCs/>
        </w:rPr>
        <w:t>.</w:t>
      </w:r>
      <w:r>
        <w:rPr>
          <w:rFonts w:ascii="Arial" w:hAnsi="Arial" w:cs="Arial"/>
        </w:rPr>
        <w:t xml:space="preserve"> </w:t>
      </w:r>
      <w:r w:rsidRPr="00A34029">
        <w:rPr>
          <w:rFonts w:ascii="Arial" w:hAnsi="Arial" w:cs="Arial"/>
        </w:rPr>
        <w:t xml:space="preserve">Butterfly plot of differential deuterium uptake between CALR </w:t>
      </w:r>
      <w:r>
        <w:rPr>
          <w:rFonts w:ascii="Arial" w:hAnsi="Arial" w:cs="Arial"/>
        </w:rPr>
        <w:t>del52</w:t>
      </w:r>
      <w:r w:rsidRPr="00A34029">
        <w:rPr>
          <w:rFonts w:ascii="Arial" w:hAnsi="Arial" w:cs="Arial"/>
        </w:rPr>
        <w:t xml:space="preserve"> and CALR del52</w:t>
      </w:r>
      <w:r>
        <w:rPr>
          <w:rFonts w:ascii="Arial" w:hAnsi="Arial" w:cs="Arial"/>
        </w:rPr>
        <w:t xml:space="preserve">-sD1D2 immature complex </w:t>
      </w:r>
      <w:r w:rsidRPr="00A34029">
        <w:rPr>
          <w:rFonts w:ascii="Arial" w:hAnsi="Arial" w:cs="Arial"/>
        </w:rPr>
        <w:t xml:space="preserve">corresponding to Figure </w:t>
      </w:r>
      <w:r>
        <w:rPr>
          <w:rFonts w:ascii="Arial" w:hAnsi="Arial" w:cs="Arial"/>
        </w:rPr>
        <w:t>3D</w:t>
      </w:r>
      <w:r w:rsidRPr="00A34029">
        <w:rPr>
          <w:rFonts w:ascii="Arial" w:hAnsi="Arial" w:cs="Arial"/>
        </w:rPr>
        <w:t>. CALR subdomains are indicated by colored lines.</w:t>
      </w:r>
      <w:r>
        <w:rPr>
          <w:rFonts w:ascii="Arial" w:hAnsi="Arial" w:cs="Arial"/>
        </w:rPr>
        <w:t xml:space="preserve"> Each grey peak represents the summed deuterium differential for a given amino acids. Standard deviation is shown in grey above and below the X axis. Colored lines represent differential deuterium uptake for individual time points at 0.25 (orange), 1 (red), 5 (cyan), 20 (dark blue) and 60 (black) minutes incubation in deuterium. </w:t>
      </w:r>
      <w:r>
        <w:rPr>
          <w:rFonts w:ascii="Arial" w:hAnsi="Arial" w:cs="Arial"/>
          <w:b/>
          <w:bCs/>
        </w:rPr>
        <w:t>D</w:t>
      </w:r>
      <w:r w:rsidRPr="00697752">
        <w:rPr>
          <w:rFonts w:ascii="Arial" w:hAnsi="Arial" w:cs="Arial"/>
          <w:b/>
          <w:bCs/>
        </w:rPr>
        <w:t>.</w:t>
      </w:r>
      <w:r>
        <w:rPr>
          <w:rFonts w:ascii="Arial" w:hAnsi="Arial" w:cs="Arial"/>
        </w:rPr>
        <w:t xml:space="preserve"> </w:t>
      </w:r>
      <w:r>
        <w:rPr>
          <w:rFonts w:ascii="Arial" w:hAnsi="Arial" w:cs="Arial"/>
          <w:bCs/>
        </w:rPr>
        <w:t xml:space="preserve">Heatmap of the whole calreticulin sequence with fractional deuterium uptake at 0.25, </w:t>
      </w:r>
      <w:proofErr w:type="gramStart"/>
      <w:r>
        <w:rPr>
          <w:rFonts w:ascii="Arial" w:hAnsi="Arial" w:cs="Arial"/>
          <w:bCs/>
        </w:rPr>
        <w:t>1, 5, 20 and 60 minutes</w:t>
      </w:r>
      <w:proofErr w:type="gramEnd"/>
      <w:r>
        <w:rPr>
          <w:rFonts w:ascii="Arial" w:hAnsi="Arial" w:cs="Arial"/>
          <w:bCs/>
        </w:rPr>
        <w:t xml:space="preserve"> incubation. The scale represents the differential deuterium uptake between CALR del52 alone versus the CALR del52-D1D2 complex. Amino acids not covered by detected peptides are not colored. </w:t>
      </w:r>
      <w:r>
        <w:rPr>
          <w:rFonts w:ascii="Arial" w:hAnsi="Arial" w:cs="Arial"/>
          <w:b/>
        </w:rPr>
        <w:t>E</w:t>
      </w:r>
      <w:r w:rsidRPr="00697752">
        <w:rPr>
          <w:rFonts w:ascii="Arial" w:hAnsi="Arial" w:cs="Arial"/>
          <w:b/>
        </w:rPr>
        <w:t>.</w:t>
      </w:r>
      <w:r>
        <w:rPr>
          <w:rFonts w:ascii="Arial" w:hAnsi="Arial" w:cs="Arial"/>
          <w:bCs/>
        </w:rPr>
        <w:t xml:space="preserve"> </w:t>
      </w:r>
      <w:r w:rsidRPr="005628CB">
        <w:rPr>
          <w:rFonts w:ascii="Arial" w:hAnsi="Arial" w:cs="Arial"/>
          <w:bCs/>
        </w:rPr>
        <w:t xml:space="preserve">Relative deuterium uptake analysis between </w:t>
      </w:r>
      <w:r>
        <w:rPr>
          <w:rFonts w:ascii="Arial" w:hAnsi="Arial" w:cs="Arial"/>
          <w:bCs/>
        </w:rPr>
        <w:t xml:space="preserve">CALR del52 and CALR del52-sD1D2 immature complex at 0.25, </w:t>
      </w:r>
      <w:proofErr w:type="gramStart"/>
      <w:r>
        <w:rPr>
          <w:rFonts w:ascii="Arial" w:hAnsi="Arial" w:cs="Arial"/>
          <w:bCs/>
        </w:rPr>
        <w:t>1, 5, 20 and 60 minutes</w:t>
      </w:r>
      <w:proofErr w:type="gramEnd"/>
      <w:r>
        <w:rPr>
          <w:rFonts w:ascii="Arial" w:hAnsi="Arial" w:cs="Arial"/>
          <w:bCs/>
        </w:rPr>
        <w:t xml:space="preserve"> </w:t>
      </w:r>
      <w:r w:rsidRPr="005628CB">
        <w:rPr>
          <w:rFonts w:ascii="Arial" w:hAnsi="Arial" w:cs="Arial"/>
          <w:bCs/>
        </w:rPr>
        <w:t xml:space="preserve">incubation in deuterium. Dots indicated in red (deprotected) or blue (protected) show significant differential deuterium intake (p&lt;0.001) with the peptide-level significance testing as described </w:t>
      </w:r>
      <w:r w:rsidRPr="005F1BCD">
        <w:rPr>
          <w:rFonts w:ascii="Arial" w:hAnsi="Arial" w:cs="Arial"/>
        </w:rPr>
        <w:fldChar w:fldCharType="begin"/>
      </w:r>
      <w:r w:rsidR="00FF479B">
        <w:rPr>
          <w:rFonts w:ascii="Arial" w:hAnsi="Arial" w:cs="Arial"/>
        </w:rPr>
        <w:instrText xml:space="preserve"> ADDIN EN.CITE &lt;EndNote&gt;&lt;Cite&gt;&lt;Author&gt;Lau&lt;/Author&gt;&lt;Year&gt;2021&lt;/Year&gt;&lt;RecNum&gt;12&lt;/RecNum&gt;&lt;DisplayText&gt;[4]&lt;/DisplayText&gt;&lt;record&gt;&lt;rec-number&gt;12&lt;/rec-number&gt;&lt;foreign-keys&gt;&lt;key app="EN" db-id="d5ew5ss0ga9aege5tfqp09fsre29zptpxr9z" timestamp="1627126493"&gt;12&lt;/key&gt;&lt;/foreign-keys&gt;&lt;ref-type name="Journal Article"&gt;17&lt;/ref-type&gt;&lt;contributors&gt;&lt;authors&gt;&lt;author&gt;Lau, A. M.&lt;/author&gt;&lt;author&gt;Claesen, J.&lt;/author&gt;&lt;author&gt;Hansen, K.&lt;/author&gt;&lt;author&gt;Politis, A.&lt;/author&gt;&lt;/authors&gt;&lt;/contributors&gt;&lt;auth-address&gt;Department of Chemistry, King&amp;apos;s College London, London SE1 1DB, UK.&amp;#xD;Institute for Environment, Health and Safety, Microbiology Unit, SCK•CEN, Mol 2600, Belgium.&amp;#xD;I-Biostat, Data Science Institute, Hasselt University, Hasselt 3500, Belgium.&lt;/auth-address&gt;&lt;titles&gt;&lt;title&gt;Deuteros 2.0: peptide-level significance testing of data from hydrogen deuterium exchange mass spectrometry&lt;/title&gt;&lt;secondary-title&gt;Bioinformatics&lt;/secondary-title&gt;&lt;/titles&gt;&lt;periodical&gt;&lt;full-title&gt;Bioinformatics&lt;/full-title&gt;&lt;/periodical&gt;&lt;pages&gt;270-272&lt;/pages&gt;&lt;volume&gt;37&lt;/volume&gt;&lt;number&gt;2&lt;/number&gt;&lt;edition&gt;2020/07/30&lt;/edition&gt;&lt;keywords&gt;&lt;keyword&gt;*Deuterium Exchange Measurement&lt;/keyword&gt;&lt;keyword&gt;Hydrogen&lt;/keyword&gt;&lt;keyword&gt;*Hydrogen Deuterium Exchange-Mass Spectrometry&lt;/keyword&gt;&lt;keyword&gt;Peptides&lt;/keyword&gt;&lt;keyword&gt;Protein Conformation&lt;/keyword&gt;&lt;keyword&gt;Proteins&lt;/keyword&gt;&lt;keyword&gt;Software&lt;/keyword&gt;&lt;/keywords&gt;&lt;dates&gt;&lt;year&gt;2021&lt;/year&gt;&lt;pub-dates&gt;&lt;date&gt;Apr 19&lt;/date&gt;&lt;/pub-dates&gt;&lt;/dates&gt;&lt;isbn&gt;1367-4803 (Print)&amp;#xD;1367-4803&lt;/isbn&gt;&lt;accession-num&gt;32722756&lt;/accession-num&gt;&lt;urls&gt;&lt;/urls&gt;&lt;custom2&gt;PMC8055227&lt;/custom2&gt;&lt;electronic-resource-num&gt;10.1093/bioinformatics/btaa677&lt;/electronic-resource-num&gt;&lt;remote-database-provider&gt;NLM&lt;/remote-database-provider&gt;&lt;language&gt;eng&lt;/language&gt;&lt;/record&gt;&lt;/Cite&gt;&lt;/EndNote&gt;</w:instrText>
      </w:r>
      <w:r w:rsidRPr="005F1BCD">
        <w:rPr>
          <w:rFonts w:ascii="Arial" w:hAnsi="Arial" w:cs="Arial"/>
        </w:rPr>
        <w:fldChar w:fldCharType="separate"/>
      </w:r>
      <w:r w:rsidR="00FF479B">
        <w:rPr>
          <w:rFonts w:ascii="Arial" w:hAnsi="Arial" w:cs="Arial"/>
          <w:noProof/>
        </w:rPr>
        <w:t>[4]</w:t>
      </w:r>
      <w:r w:rsidRPr="005F1BCD">
        <w:rPr>
          <w:rFonts w:ascii="Arial" w:hAnsi="Arial" w:cs="Arial"/>
        </w:rPr>
        <w:fldChar w:fldCharType="end"/>
      </w:r>
      <w:r w:rsidRPr="005F1BCD">
        <w:rPr>
          <w:rFonts w:ascii="Arial" w:hAnsi="Arial" w:cs="Arial"/>
        </w:rPr>
        <w:t>.</w:t>
      </w:r>
    </w:p>
    <w:p w14:paraId="4CB052D7" w14:textId="77777777" w:rsidR="00CC2C19" w:rsidRDefault="00CC2C19" w:rsidP="00CC2C19">
      <w:pPr>
        <w:spacing w:before="120" w:after="120" w:line="360" w:lineRule="auto"/>
        <w:rPr>
          <w:rFonts w:ascii="Arial" w:hAnsi="Arial" w:cs="Arial"/>
          <w:b/>
          <w:bCs/>
        </w:rPr>
      </w:pPr>
      <w:r w:rsidRPr="00DE34C1">
        <w:rPr>
          <w:rFonts w:ascii="Arial" w:hAnsi="Arial" w:cs="Arial"/>
          <w:b/>
          <w:bCs/>
        </w:rPr>
        <w:t xml:space="preserve">Supplementary Figure </w:t>
      </w:r>
      <w:r>
        <w:rPr>
          <w:rFonts w:ascii="Arial" w:hAnsi="Arial" w:cs="Arial"/>
          <w:b/>
          <w:bCs/>
        </w:rPr>
        <w:t>5</w:t>
      </w:r>
    </w:p>
    <w:p w14:paraId="1C31024C" w14:textId="57E21938" w:rsidR="00FF479B" w:rsidRPr="00FF479B" w:rsidRDefault="00CC2C19" w:rsidP="00FF479B">
      <w:pPr>
        <w:spacing w:before="120" w:after="120" w:line="360" w:lineRule="auto"/>
        <w:jc w:val="both"/>
        <w:rPr>
          <w:rFonts w:ascii="Arial" w:hAnsi="Arial" w:cs="Arial"/>
          <w:b/>
          <w:bCs/>
        </w:rPr>
      </w:pPr>
      <w:r w:rsidRPr="003743BC">
        <w:rPr>
          <w:rFonts w:ascii="Arial" w:hAnsi="Arial" w:cs="Arial"/>
          <w:b/>
          <w:bCs/>
        </w:rPr>
        <w:t>A.</w:t>
      </w:r>
      <w:r w:rsidRPr="008E1537">
        <w:rPr>
          <w:rFonts w:ascii="Arial" w:hAnsi="Arial" w:cs="Arial"/>
          <w:b/>
          <w:color w:val="000000"/>
        </w:rPr>
        <w:t xml:space="preserve"> </w:t>
      </w:r>
      <w:r w:rsidRPr="008E1537">
        <w:rPr>
          <w:rFonts w:ascii="Arial" w:hAnsi="Arial" w:cs="Arial"/>
          <w:bCs/>
          <w:color w:val="000000"/>
        </w:rPr>
        <w:t xml:space="preserve">Molecular Dynamics simulation of </w:t>
      </w:r>
      <w:proofErr w:type="spellStart"/>
      <w:r w:rsidRPr="008E1537">
        <w:rPr>
          <w:rFonts w:ascii="Arial" w:hAnsi="Arial" w:cs="Arial"/>
          <w:bCs/>
          <w:color w:val="000000"/>
        </w:rPr>
        <w:t>TpoR</w:t>
      </w:r>
      <w:proofErr w:type="spellEnd"/>
      <w:r w:rsidRPr="008E1537">
        <w:rPr>
          <w:rFonts w:ascii="Arial" w:hAnsi="Arial" w:cs="Arial"/>
          <w:bCs/>
          <w:color w:val="000000"/>
        </w:rPr>
        <w:t xml:space="preserve"> D1D2 domain. The model shows one extensive (S1) and one more restricted (S2) patch of acidic residues represented by meshes in red. Basic residues are shown in blue, acidic residues are shown in red. Complex glycans are attached to position Asn117 and Asn178</w:t>
      </w:r>
      <w:r w:rsidRPr="008E1537">
        <w:rPr>
          <w:rFonts w:ascii="Arial" w:hAnsi="Arial" w:cs="Arial"/>
          <w:b/>
          <w:color w:val="000000"/>
        </w:rPr>
        <w:t>.</w:t>
      </w:r>
      <w:r w:rsidRPr="00860F7D">
        <w:rPr>
          <w:rFonts w:ascii="Arial" w:hAnsi="Arial" w:cs="Arial"/>
          <w:b/>
          <w:color w:val="000000"/>
        </w:rPr>
        <w:t xml:space="preserve"> </w:t>
      </w:r>
      <w:r>
        <w:rPr>
          <w:rFonts w:ascii="Arial" w:hAnsi="Arial" w:cs="Arial"/>
          <w:b/>
          <w:color w:val="000000"/>
        </w:rPr>
        <w:t xml:space="preserve"> B</w:t>
      </w:r>
      <w:r w:rsidRPr="008E1537">
        <w:rPr>
          <w:rFonts w:ascii="Arial" w:hAnsi="Arial" w:cs="Arial"/>
          <w:b/>
          <w:color w:val="000000"/>
        </w:rPr>
        <w:t>.</w:t>
      </w:r>
      <w:r w:rsidRPr="008E1537">
        <w:rPr>
          <w:rFonts w:ascii="Arial" w:hAnsi="Arial" w:cs="Arial"/>
          <w:bCs/>
          <w:color w:val="000000"/>
        </w:rPr>
        <w:t xml:space="preserve"> </w:t>
      </w:r>
      <w:r w:rsidRPr="008E1537">
        <w:rPr>
          <w:rFonts w:ascii="Arial" w:hAnsi="Arial" w:cs="Arial"/>
        </w:rPr>
        <w:t>Sequence of CALR del52 mutant tail and mutants as indicated.</w:t>
      </w:r>
      <w:r>
        <w:rPr>
          <w:rFonts w:ascii="Arial" w:hAnsi="Arial" w:cs="Arial"/>
        </w:rPr>
        <w:t xml:space="preserve"> </w:t>
      </w:r>
      <w:r w:rsidRPr="00860F7D">
        <w:rPr>
          <w:rFonts w:ascii="Arial" w:hAnsi="Arial" w:cs="Arial"/>
          <w:b/>
          <w:bCs/>
        </w:rPr>
        <w:t xml:space="preserve">C. </w:t>
      </w:r>
      <w:r w:rsidRPr="00CB7BD7">
        <w:rPr>
          <w:rFonts w:ascii="Arial" w:hAnsi="Arial" w:cs="Arial"/>
          <w:bCs/>
        </w:rPr>
        <w:t xml:space="preserve">STAT5 transcriptional activity with </w:t>
      </w:r>
      <w:proofErr w:type="spellStart"/>
      <w:r w:rsidRPr="00CB7BD7">
        <w:rPr>
          <w:rFonts w:ascii="Arial" w:hAnsi="Arial" w:cs="Arial"/>
          <w:bCs/>
        </w:rPr>
        <w:t>hTpoR</w:t>
      </w:r>
      <w:proofErr w:type="spellEnd"/>
      <w:r w:rsidRPr="00CB7BD7">
        <w:rPr>
          <w:rFonts w:ascii="Arial" w:hAnsi="Arial" w:cs="Arial"/>
          <w:bCs/>
        </w:rPr>
        <w:t xml:space="preserve"> and indicated CALR mutants. HEK293T were transiently transfected with HA-</w:t>
      </w:r>
      <w:proofErr w:type="spellStart"/>
      <w:r w:rsidRPr="00CB7BD7">
        <w:rPr>
          <w:rFonts w:ascii="Arial" w:hAnsi="Arial" w:cs="Arial"/>
          <w:bCs/>
        </w:rPr>
        <w:t>hTpoR</w:t>
      </w:r>
      <w:proofErr w:type="spellEnd"/>
      <w:r w:rsidRPr="00CB7BD7">
        <w:rPr>
          <w:rFonts w:ascii="Arial" w:hAnsi="Arial" w:cs="Arial"/>
          <w:bCs/>
        </w:rPr>
        <w:t xml:space="preserve"> and CALR mutants along with cDNAs coding for STAT5, JAK2 and </w:t>
      </w:r>
      <w:proofErr w:type="spellStart"/>
      <w:r w:rsidRPr="00CB7BD7">
        <w:rPr>
          <w:rFonts w:ascii="Arial" w:hAnsi="Arial" w:cs="Arial"/>
          <w:bCs/>
        </w:rPr>
        <w:t>SpiLuc</w:t>
      </w:r>
      <w:proofErr w:type="spellEnd"/>
      <w:r w:rsidRPr="00CB7BD7">
        <w:rPr>
          <w:rFonts w:ascii="Arial" w:hAnsi="Arial" w:cs="Arial"/>
          <w:bCs/>
        </w:rPr>
        <w:t xml:space="preserve"> Firefly luciferase reporter reflecting STAT5 transcriptional activity and normalized with a control reporter (</w:t>
      </w:r>
      <w:proofErr w:type="spellStart"/>
      <w:r w:rsidRPr="00CB7BD7">
        <w:rPr>
          <w:rFonts w:ascii="Arial" w:hAnsi="Arial" w:cs="Arial"/>
          <w:bCs/>
        </w:rPr>
        <w:t>pRLTK</w:t>
      </w:r>
      <w:proofErr w:type="spellEnd"/>
      <w:r w:rsidRPr="00CB7BD7">
        <w:rPr>
          <w:rFonts w:ascii="Arial" w:hAnsi="Arial" w:cs="Arial"/>
          <w:bCs/>
        </w:rPr>
        <w:t xml:space="preserve">) containing </w:t>
      </w:r>
      <w:proofErr w:type="spellStart"/>
      <w:r w:rsidRPr="00CB7BD7">
        <w:rPr>
          <w:rFonts w:ascii="Arial" w:hAnsi="Arial" w:cs="Arial"/>
          <w:bCs/>
        </w:rPr>
        <w:t>Renilla</w:t>
      </w:r>
      <w:proofErr w:type="spellEnd"/>
      <w:r w:rsidRPr="00CB7BD7">
        <w:rPr>
          <w:rFonts w:ascii="Arial" w:hAnsi="Arial" w:cs="Arial"/>
          <w:bCs/>
        </w:rPr>
        <w:t xml:space="preserve"> luciferase. Shown are average 3 independent experiments (</w:t>
      </w:r>
      <m:oMath>
        <m:r>
          <m:rPr>
            <m:sty m:val="bi"/>
          </m:rPr>
          <w:rPr>
            <w:rFonts w:ascii="Cambria Math" w:hAnsi="Cambria Math" w:cs="Arial"/>
          </w:rPr>
          <m:t>±</m:t>
        </m:r>
      </m:oMath>
      <w:r w:rsidRPr="00CB7BD7">
        <w:rPr>
          <w:rFonts w:ascii="Arial" w:hAnsi="Arial" w:cs="Arial"/>
          <w:bCs/>
        </w:rPr>
        <w:t xml:space="preserve"> SD) performed in triplicates (N = 3, n = 9).</w:t>
      </w:r>
      <w:r w:rsidRPr="00CB7BD7">
        <w:rPr>
          <w:rFonts w:ascii="Arial" w:hAnsi="Arial" w:cs="Arial"/>
        </w:rPr>
        <w:t xml:space="preserve"> </w:t>
      </w:r>
      <w:r w:rsidRPr="00CB7BD7">
        <w:rPr>
          <w:rFonts w:ascii="Arial" w:hAnsi="Arial" w:cs="Arial"/>
          <w:bCs/>
        </w:rPr>
        <w:t>Two-ways ANOVA followed by SIDAK multiple comparison test. ****: p &lt; 0.0001. ns: non-</w:t>
      </w:r>
      <w:r w:rsidRPr="00CB7BD7">
        <w:rPr>
          <w:rFonts w:ascii="Arial" w:hAnsi="Arial" w:cs="Arial"/>
          <w:bCs/>
        </w:rPr>
        <w:lastRenderedPageBreak/>
        <w:t>significant.</w:t>
      </w:r>
      <w:r>
        <w:rPr>
          <w:rFonts w:ascii="Arial" w:hAnsi="Arial" w:cs="Arial"/>
          <w:bCs/>
        </w:rPr>
        <w:t xml:space="preserve"> </w:t>
      </w:r>
      <w:r w:rsidRPr="000B01B5">
        <w:rPr>
          <w:rFonts w:ascii="Arial" w:hAnsi="Arial" w:cs="Arial"/>
          <w:b/>
        </w:rPr>
        <w:t>D</w:t>
      </w:r>
      <w:r>
        <w:rPr>
          <w:rFonts w:ascii="Arial" w:hAnsi="Arial" w:cs="Arial"/>
          <w:bCs/>
        </w:rPr>
        <w:t xml:space="preserve">. </w:t>
      </w:r>
      <w:r w:rsidRPr="005628CB">
        <w:rPr>
          <w:rFonts w:ascii="Arial" w:hAnsi="Arial" w:cs="Arial"/>
          <w:bCs/>
        </w:rPr>
        <w:t xml:space="preserve">Relative deuterium uptake analysis between </w:t>
      </w:r>
      <w:proofErr w:type="spellStart"/>
      <w:r>
        <w:rPr>
          <w:rFonts w:ascii="Arial" w:hAnsi="Arial" w:cs="Arial"/>
          <w:bCs/>
        </w:rPr>
        <w:t>TpoR</w:t>
      </w:r>
      <w:proofErr w:type="spellEnd"/>
      <w:r>
        <w:rPr>
          <w:rFonts w:ascii="Arial" w:hAnsi="Arial" w:cs="Arial"/>
          <w:bCs/>
        </w:rPr>
        <w:t xml:space="preserve"> D1D4 and </w:t>
      </w:r>
      <w:proofErr w:type="spellStart"/>
      <w:r>
        <w:rPr>
          <w:rFonts w:ascii="Arial" w:hAnsi="Arial" w:cs="Arial"/>
          <w:bCs/>
        </w:rPr>
        <w:t>TpoR</w:t>
      </w:r>
      <w:proofErr w:type="spellEnd"/>
      <w:r>
        <w:rPr>
          <w:rFonts w:ascii="Arial" w:hAnsi="Arial" w:cs="Arial"/>
          <w:bCs/>
        </w:rPr>
        <w:t xml:space="preserve"> D1D4-CALR del52 complex at 0.25, </w:t>
      </w:r>
      <w:proofErr w:type="gramStart"/>
      <w:r>
        <w:rPr>
          <w:rFonts w:ascii="Arial" w:hAnsi="Arial" w:cs="Arial"/>
          <w:bCs/>
        </w:rPr>
        <w:t>1, 5, 20 and 60 minutes</w:t>
      </w:r>
      <w:proofErr w:type="gramEnd"/>
      <w:r>
        <w:rPr>
          <w:rFonts w:ascii="Arial" w:hAnsi="Arial" w:cs="Arial"/>
          <w:bCs/>
        </w:rPr>
        <w:t xml:space="preserve"> </w:t>
      </w:r>
      <w:r w:rsidRPr="005628CB">
        <w:rPr>
          <w:rFonts w:ascii="Arial" w:hAnsi="Arial" w:cs="Arial"/>
          <w:bCs/>
        </w:rPr>
        <w:t xml:space="preserve">incubation in deuterium. Dots indicated in red (deprotected) or blue (protected) show significant differential deuterium intake (p&lt;0.001) with the peptide-level significance testing as described </w:t>
      </w:r>
      <w:r w:rsidRPr="003743BC">
        <w:rPr>
          <w:rFonts w:ascii="Arial" w:hAnsi="Arial" w:cs="Arial"/>
        </w:rPr>
        <w:fldChar w:fldCharType="begin"/>
      </w:r>
      <w:r w:rsidR="00FF479B">
        <w:rPr>
          <w:rFonts w:ascii="Arial" w:hAnsi="Arial" w:cs="Arial"/>
        </w:rPr>
        <w:instrText xml:space="preserve"> ADDIN EN.CITE &lt;EndNote&gt;&lt;Cite&gt;&lt;Author&gt;Lau&lt;/Author&gt;&lt;Year&gt;2021&lt;/Year&gt;&lt;RecNum&gt;12&lt;/RecNum&gt;&lt;DisplayText&gt;[4]&lt;/DisplayText&gt;&lt;record&gt;&lt;rec-number&gt;12&lt;/rec-number&gt;&lt;foreign-keys&gt;&lt;key app="EN" db-id="d5ew5ss0ga9aege5tfqp09fsre29zptpxr9z" timestamp="1627126493"&gt;12&lt;/key&gt;&lt;/foreign-keys&gt;&lt;ref-type name="Journal Article"&gt;17&lt;/ref-type&gt;&lt;contributors&gt;&lt;authors&gt;&lt;author&gt;Lau, A. M.&lt;/author&gt;&lt;author&gt;Claesen, J.&lt;/author&gt;&lt;author&gt;Hansen, K.&lt;/author&gt;&lt;author&gt;Politis, A.&lt;/author&gt;&lt;/authors&gt;&lt;/contributors&gt;&lt;auth-address&gt;Department of Chemistry, King&amp;apos;s College London, London SE1 1DB, UK.&amp;#xD;Institute for Environment, Health and Safety, Microbiology Unit, SCK•CEN, Mol 2600, Belgium.&amp;#xD;I-Biostat, Data Science Institute, Hasselt University, Hasselt 3500, Belgium.&lt;/auth-address&gt;&lt;titles&gt;&lt;title&gt;Deuteros 2.0: peptide-level significance testing of data from hydrogen deuterium exchange mass spectrometry&lt;/title&gt;&lt;secondary-title&gt;Bioinformatics&lt;/secondary-title&gt;&lt;/titles&gt;&lt;periodical&gt;&lt;full-title&gt;Bioinformatics&lt;/full-title&gt;&lt;/periodical&gt;&lt;pages&gt;270-272&lt;/pages&gt;&lt;volume&gt;37&lt;/volume&gt;&lt;number&gt;2&lt;/number&gt;&lt;edition&gt;2020/07/30&lt;/edition&gt;&lt;keywords&gt;&lt;keyword&gt;*Deuterium Exchange Measurement&lt;/keyword&gt;&lt;keyword&gt;Hydrogen&lt;/keyword&gt;&lt;keyword&gt;*Hydrogen Deuterium Exchange-Mass Spectrometry&lt;/keyword&gt;&lt;keyword&gt;Peptides&lt;/keyword&gt;&lt;keyword&gt;Protein Conformation&lt;/keyword&gt;&lt;keyword&gt;Proteins&lt;/keyword&gt;&lt;keyword&gt;Software&lt;/keyword&gt;&lt;/keywords&gt;&lt;dates&gt;&lt;year&gt;2021&lt;/year&gt;&lt;pub-dates&gt;&lt;date&gt;Apr 19&lt;/date&gt;&lt;/pub-dates&gt;&lt;/dates&gt;&lt;isbn&gt;1367-4803 (Print)&amp;#xD;1367-4803&lt;/isbn&gt;&lt;accession-num&gt;32722756&lt;/accession-num&gt;&lt;urls&gt;&lt;/urls&gt;&lt;custom2&gt;PMC8055227&lt;/custom2&gt;&lt;electronic-resource-num&gt;10.1093/bioinformatics/btaa677&lt;/electronic-resource-num&gt;&lt;remote-database-provider&gt;NLM&lt;/remote-database-provider&gt;&lt;language&gt;eng&lt;/language&gt;&lt;/record&gt;&lt;/Cite&gt;&lt;/EndNote&gt;</w:instrText>
      </w:r>
      <w:r w:rsidRPr="003743BC">
        <w:rPr>
          <w:rFonts w:ascii="Arial" w:hAnsi="Arial" w:cs="Arial"/>
        </w:rPr>
        <w:fldChar w:fldCharType="separate"/>
      </w:r>
      <w:r w:rsidR="00FF479B">
        <w:rPr>
          <w:rFonts w:ascii="Arial" w:hAnsi="Arial" w:cs="Arial"/>
          <w:noProof/>
        </w:rPr>
        <w:t>[4]</w:t>
      </w:r>
      <w:r w:rsidRPr="003743BC">
        <w:rPr>
          <w:rFonts w:ascii="Arial" w:hAnsi="Arial" w:cs="Arial"/>
        </w:rPr>
        <w:fldChar w:fldCharType="end"/>
      </w:r>
      <w:r w:rsidRPr="002973AA">
        <w:rPr>
          <w:rFonts w:ascii="Arial" w:hAnsi="Arial" w:cs="Arial"/>
        </w:rPr>
        <w:t>.</w:t>
      </w:r>
    </w:p>
    <w:p w14:paraId="55010CBB" w14:textId="77777777" w:rsidR="00FF479B" w:rsidRDefault="00FF479B"/>
    <w:p w14:paraId="1B39EE17" w14:textId="77777777" w:rsidR="00FF479B" w:rsidRPr="00FF479B" w:rsidRDefault="00FF479B" w:rsidP="00FF479B">
      <w:pPr>
        <w:pStyle w:val="EndNoteBibliography"/>
        <w:ind w:left="720" w:hanging="720"/>
        <w:rPr>
          <w:noProof/>
        </w:rPr>
      </w:pPr>
      <w:r>
        <w:fldChar w:fldCharType="begin"/>
      </w:r>
      <w:r>
        <w:instrText xml:space="preserve"> ADDIN EN.REFLIST </w:instrText>
      </w:r>
      <w:r>
        <w:fldChar w:fldCharType="separate"/>
      </w:r>
      <w:r w:rsidRPr="00FF479B">
        <w:rPr>
          <w:noProof/>
        </w:rPr>
        <w:t>1.</w:t>
      </w:r>
      <w:r w:rsidRPr="00FF479B">
        <w:rPr>
          <w:noProof/>
        </w:rPr>
        <w:tab/>
        <w:t xml:space="preserve">Jumper, J., et al., </w:t>
      </w:r>
      <w:r w:rsidRPr="00FF479B">
        <w:rPr>
          <w:i/>
          <w:noProof/>
        </w:rPr>
        <w:t>Highly accurate protein structure prediction with AlphaFold.</w:t>
      </w:r>
      <w:r w:rsidRPr="00FF479B">
        <w:rPr>
          <w:noProof/>
        </w:rPr>
        <w:t xml:space="preserve"> Nature, 2021.</w:t>
      </w:r>
    </w:p>
    <w:p w14:paraId="274C6821" w14:textId="77777777" w:rsidR="00FF479B" w:rsidRPr="00FF479B" w:rsidRDefault="00FF479B" w:rsidP="00FF479B">
      <w:pPr>
        <w:pStyle w:val="EndNoteBibliography"/>
        <w:ind w:left="720" w:hanging="720"/>
        <w:rPr>
          <w:noProof/>
        </w:rPr>
      </w:pPr>
      <w:r w:rsidRPr="00FF479B">
        <w:rPr>
          <w:noProof/>
        </w:rPr>
        <w:t>2.</w:t>
      </w:r>
      <w:r w:rsidRPr="00FF479B">
        <w:rPr>
          <w:noProof/>
        </w:rPr>
        <w:tab/>
        <w:t xml:space="preserve">Chouquet, A., et al., </w:t>
      </w:r>
      <w:r w:rsidRPr="00FF479B">
        <w:rPr>
          <w:i/>
          <w:noProof/>
        </w:rPr>
        <w:t>X-ray structure of the human calreticulin globular domain reveals a peptide-binding area and suggests a multi-molecular mechanism.</w:t>
      </w:r>
      <w:r w:rsidRPr="00FF479B">
        <w:rPr>
          <w:noProof/>
        </w:rPr>
        <w:t xml:space="preserve"> PloS one, 2011. </w:t>
      </w:r>
      <w:r w:rsidRPr="00FF479B">
        <w:rPr>
          <w:b/>
          <w:noProof/>
        </w:rPr>
        <w:t>6</w:t>
      </w:r>
      <w:r w:rsidRPr="00FF479B">
        <w:rPr>
          <w:noProof/>
        </w:rPr>
        <w:t>(3): p. e17886-e17886.</w:t>
      </w:r>
    </w:p>
    <w:p w14:paraId="6BB6F54C" w14:textId="77777777" w:rsidR="00FF479B" w:rsidRPr="00FF479B" w:rsidRDefault="00FF479B" w:rsidP="00FF479B">
      <w:pPr>
        <w:pStyle w:val="EndNoteBibliography"/>
        <w:ind w:left="720" w:hanging="720"/>
        <w:rPr>
          <w:noProof/>
        </w:rPr>
      </w:pPr>
      <w:r w:rsidRPr="00FF479B">
        <w:rPr>
          <w:noProof/>
        </w:rPr>
        <w:t>3.</w:t>
      </w:r>
      <w:r w:rsidRPr="00FF479B">
        <w:rPr>
          <w:noProof/>
        </w:rPr>
        <w:tab/>
        <w:t xml:space="preserve">Ellgaard, L., et al., </w:t>
      </w:r>
      <w:r w:rsidRPr="00FF479B">
        <w:rPr>
          <w:i/>
          <w:noProof/>
        </w:rPr>
        <w:t>NMR structure of the calreticulin P-domain.</w:t>
      </w:r>
      <w:r w:rsidRPr="00FF479B">
        <w:rPr>
          <w:noProof/>
        </w:rPr>
        <w:t xml:space="preserve"> Proceedings of the National Academy of Sciences, 2001. </w:t>
      </w:r>
      <w:r w:rsidRPr="00FF479B">
        <w:rPr>
          <w:b/>
          <w:noProof/>
        </w:rPr>
        <w:t>98</w:t>
      </w:r>
      <w:r w:rsidRPr="00FF479B">
        <w:rPr>
          <w:noProof/>
        </w:rPr>
        <w:t>(6): p. 3133-3138.</w:t>
      </w:r>
    </w:p>
    <w:p w14:paraId="335369FB" w14:textId="77777777" w:rsidR="00FF479B" w:rsidRPr="00FF479B" w:rsidRDefault="00FF479B" w:rsidP="00FF479B">
      <w:pPr>
        <w:pStyle w:val="EndNoteBibliography"/>
        <w:ind w:left="720" w:hanging="720"/>
        <w:rPr>
          <w:noProof/>
        </w:rPr>
      </w:pPr>
      <w:r w:rsidRPr="00FF479B">
        <w:rPr>
          <w:noProof/>
        </w:rPr>
        <w:t>4.</w:t>
      </w:r>
      <w:r w:rsidRPr="00FF479B">
        <w:rPr>
          <w:noProof/>
        </w:rPr>
        <w:tab/>
        <w:t xml:space="preserve">Lau, A.M., et al., </w:t>
      </w:r>
      <w:r w:rsidRPr="00FF479B">
        <w:rPr>
          <w:i/>
          <w:noProof/>
        </w:rPr>
        <w:t>Deuteros 2.0: peptide-level significance testing of data from hydrogen deuterium exchange mass spectrometry.</w:t>
      </w:r>
      <w:r w:rsidRPr="00FF479B">
        <w:rPr>
          <w:noProof/>
        </w:rPr>
        <w:t xml:space="preserve"> Bioinformatics, 2021. </w:t>
      </w:r>
      <w:r w:rsidRPr="00FF479B">
        <w:rPr>
          <w:b/>
          <w:noProof/>
        </w:rPr>
        <w:t>37</w:t>
      </w:r>
      <w:r w:rsidRPr="00FF479B">
        <w:rPr>
          <w:noProof/>
        </w:rPr>
        <w:t>(2): p. 270-272.</w:t>
      </w:r>
    </w:p>
    <w:p w14:paraId="7D316450" w14:textId="7D8A079F" w:rsidR="00E556BB" w:rsidRDefault="00FF479B">
      <w:r>
        <w:fldChar w:fldCharType="end"/>
      </w:r>
    </w:p>
    <w:sectPr w:rsidR="00E556BB" w:rsidSect="00FF64C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2C19"/>
    <w:rsid w:val="00021465"/>
    <w:rsid w:val="000446EB"/>
    <w:rsid w:val="00082422"/>
    <w:rsid w:val="000B536E"/>
    <w:rsid w:val="000E6ACB"/>
    <w:rsid w:val="000F0796"/>
    <w:rsid w:val="00141B23"/>
    <w:rsid w:val="00147D46"/>
    <w:rsid w:val="00166525"/>
    <w:rsid w:val="001A073C"/>
    <w:rsid w:val="001A51AC"/>
    <w:rsid w:val="0022146E"/>
    <w:rsid w:val="00251FD8"/>
    <w:rsid w:val="0025485E"/>
    <w:rsid w:val="0025648C"/>
    <w:rsid w:val="002C18B6"/>
    <w:rsid w:val="002D2633"/>
    <w:rsid w:val="002D453B"/>
    <w:rsid w:val="002E6539"/>
    <w:rsid w:val="00316C14"/>
    <w:rsid w:val="00320AC1"/>
    <w:rsid w:val="003321D8"/>
    <w:rsid w:val="0037798B"/>
    <w:rsid w:val="003B655A"/>
    <w:rsid w:val="003E0A13"/>
    <w:rsid w:val="00412500"/>
    <w:rsid w:val="00416103"/>
    <w:rsid w:val="00431EEE"/>
    <w:rsid w:val="00457D5E"/>
    <w:rsid w:val="00482A68"/>
    <w:rsid w:val="004A33A1"/>
    <w:rsid w:val="004B1CA3"/>
    <w:rsid w:val="004E4191"/>
    <w:rsid w:val="00527A27"/>
    <w:rsid w:val="00531262"/>
    <w:rsid w:val="005431E3"/>
    <w:rsid w:val="00590CFC"/>
    <w:rsid w:val="00617608"/>
    <w:rsid w:val="00621987"/>
    <w:rsid w:val="006B53A5"/>
    <w:rsid w:val="006E1548"/>
    <w:rsid w:val="007A0F5F"/>
    <w:rsid w:val="007A4079"/>
    <w:rsid w:val="007C2BF7"/>
    <w:rsid w:val="00836321"/>
    <w:rsid w:val="00864DB8"/>
    <w:rsid w:val="008A2903"/>
    <w:rsid w:val="008A553E"/>
    <w:rsid w:val="00911B7A"/>
    <w:rsid w:val="00967ABC"/>
    <w:rsid w:val="00973885"/>
    <w:rsid w:val="009B71AE"/>
    <w:rsid w:val="00A2366D"/>
    <w:rsid w:val="00A92ACE"/>
    <w:rsid w:val="00A93DCA"/>
    <w:rsid w:val="00A96A1A"/>
    <w:rsid w:val="00AB51BF"/>
    <w:rsid w:val="00B02180"/>
    <w:rsid w:val="00B6072D"/>
    <w:rsid w:val="00B7333E"/>
    <w:rsid w:val="00B92BE4"/>
    <w:rsid w:val="00BC62FA"/>
    <w:rsid w:val="00BE7920"/>
    <w:rsid w:val="00C24257"/>
    <w:rsid w:val="00C3415E"/>
    <w:rsid w:val="00C816E2"/>
    <w:rsid w:val="00C87C19"/>
    <w:rsid w:val="00CC2C19"/>
    <w:rsid w:val="00CE2E81"/>
    <w:rsid w:val="00D36A64"/>
    <w:rsid w:val="00DA6EB3"/>
    <w:rsid w:val="00DB765B"/>
    <w:rsid w:val="00E15E7C"/>
    <w:rsid w:val="00E258EA"/>
    <w:rsid w:val="00E53616"/>
    <w:rsid w:val="00E556BB"/>
    <w:rsid w:val="00E94C1D"/>
    <w:rsid w:val="00EC240B"/>
    <w:rsid w:val="00F47745"/>
    <w:rsid w:val="00F5471E"/>
    <w:rsid w:val="00FE0030"/>
    <w:rsid w:val="00FF1252"/>
    <w:rsid w:val="00FF479B"/>
    <w:rsid w:val="00FF64C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07FB27F4"/>
  <w15:chartTrackingRefBased/>
  <w15:docId w15:val="{C5FC87FF-7216-A948-8DD7-AC0D1A61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C19"/>
    <w:rPr>
      <w:rFonts w:ascii="Times New Roman" w:eastAsia="Times New Roman" w:hAnsi="Times New Roman"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F479B"/>
    <w:pPr>
      <w:jc w:val="center"/>
    </w:pPr>
    <w:rPr>
      <w:lang w:val="en-GB"/>
    </w:rPr>
  </w:style>
  <w:style w:type="character" w:customStyle="1" w:styleId="EndNoteBibliographyTitleChar">
    <w:name w:val="EndNote Bibliography Title Char"/>
    <w:basedOn w:val="DefaultParagraphFont"/>
    <w:link w:val="EndNoteBibliographyTitle"/>
    <w:rsid w:val="00FF479B"/>
    <w:rPr>
      <w:rFonts w:ascii="Times New Roman" w:eastAsia="Times New Roman" w:hAnsi="Times New Roman" w:cs="Times New Roman"/>
      <w:lang w:val="en-GB" w:eastAsia="en-GB"/>
    </w:rPr>
  </w:style>
  <w:style w:type="paragraph" w:customStyle="1" w:styleId="EndNoteBibliography">
    <w:name w:val="EndNote Bibliography"/>
    <w:basedOn w:val="Normal"/>
    <w:link w:val="EndNoteBibliographyChar"/>
    <w:rsid w:val="00FF479B"/>
    <w:rPr>
      <w:lang w:val="en-GB"/>
    </w:rPr>
  </w:style>
  <w:style w:type="character" w:customStyle="1" w:styleId="EndNoteBibliographyChar">
    <w:name w:val="EndNote Bibliography Char"/>
    <w:basedOn w:val="DefaultParagraphFont"/>
    <w:link w:val="EndNoteBibliography"/>
    <w:rsid w:val="00FF479B"/>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2366</Words>
  <Characters>13492</Characters>
  <Application>Microsoft Office Word</Application>
  <DocSecurity>0</DocSecurity>
  <Lines>112</Lines>
  <Paragraphs>31</Paragraphs>
  <ScaleCrop>false</ScaleCrop>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2022-04-15T10:13:00Z</dcterms:created>
  <dcterms:modified xsi:type="dcterms:W3CDTF">2022-04-28T15:31:00Z</dcterms:modified>
</cp:coreProperties>
</file>