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5" w:rsidRPr="00321870" w:rsidRDefault="00950362" w:rsidP="00321870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Toc54178949"/>
      <w:r w:rsidRPr="00321870">
        <w:rPr>
          <w:rFonts w:ascii="Times New Roman" w:hAnsi="Times New Roman" w:cs="Times New Roman"/>
          <w:b/>
          <w:kern w:val="0"/>
          <w:sz w:val="20"/>
          <w:szCs w:val="20"/>
        </w:rPr>
        <w:t>Supplemental Digital Content 3</w:t>
      </w:r>
      <w:r w:rsidR="008065A3" w:rsidRPr="00321870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="00CB2415" w:rsidRPr="00321870">
        <w:rPr>
          <w:rFonts w:ascii="Times New Roman" w:hAnsi="Times New Roman" w:cs="Times New Roman"/>
          <w:sz w:val="20"/>
          <w:szCs w:val="20"/>
        </w:rPr>
        <w:t xml:space="preserve">Individual complications </w:t>
      </w:r>
      <w:bookmarkEnd w:id="0"/>
      <w:r w:rsidR="00156DB4" w:rsidRPr="00321870">
        <w:rPr>
          <w:rFonts w:ascii="Times New Roman" w:hAnsi="Times New Roman" w:cs="Times New Roman"/>
          <w:sz w:val="20"/>
          <w:szCs w:val="20"/>
        </w:rPr>
        <w:t>and Clavien-Dindo classification</w:t>
      </w:r>
    </w:p>
    <w:tbl>
      <w:tblPr>
        <w:tblW w:w="9075" w:type="dxa"/>
        <w:tblInd w:w="-3" w:type="dxa"/>
        <w:tblBorders>
          <w:bottom w:val="single" w:sz="4" w:space="0" w:color="auto"/>
        </w:tblBorders>
        <w:tblLayout w:type="fixed"/>
        <w:tblLook w:val="04A0"/>
      </w:tblPr>
      <w:tblGrid>
        <w:gridCol w:w="6949"/>
        <w:gridCol w:w="2126"/>
      </w:tblGrid>
      <w:tr w:rsidR="00B3175B" w:rsidRPr="00321870" w:rsidTr="008D2A68">
        <w:trPr>
          <w:cantSplit/>
          <w:trHeight w:val="284"/>
        </w:trPr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75B" w:rsidRPr="00321870" w:rsidRDefault="00156DB4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B03F3" w:rsidRPr="00321870">
              <w:rPr>
                <w:rFonts w:ascii="Times New Roman" w:hAnsi="Times New Roman" w:cs="Times New Roman"/>
                <w:sz w:val="20"/>
                <w:szCs w:val="20"/>
              </w:rPr>
              <w:t>omplications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75B" w:rsidRPr="00321870" w:rsidRDefault="00B3175B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All patients (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C4BB3" w:rsidRPr="00321870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175B" w:rsidRPr="00321870" w:rsidTr="008D2A68">
        <w:trPr>
          <w:cantSplit/>
          <w:trHeight w:val="284"/>
        </w:trPr>
        <w:tc>
          <w:tcPr>
            <w:tcW w:w="6949" w:type="dxa"/>
            <w:tcBorders>
              <w:top w:val="single" w:sz="4" w:space="0" w:color="auto"/>
            </w:tcBorders>
            <w:vAlign w:val="center"/>
          </w:tcPr>
          <w:p w:rsidR="00B3175B" w:rsidRPr="00321870" w:rsidRDefault="00B3175B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Cardiovascular complications,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3175B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  <w:r w:rsidR="00B3175B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7 (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4.8</w:t>
            </w:r>
            <w:r w:rsidR="00B3175B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Acute coronary syndrome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024EE9" w:rsidRPr="00321870" w:rsidRDefault="005E69B7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28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1.3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461D9" w:rsidRPr="00321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onset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arrhythmia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024EE9" w:rsidRPr="00321870" w:rsidRDefault="00024EE9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5E69B7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1.2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Circulatory insufficiency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c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4EE9" w:rsidRPr="00321870" w:rsidRDefault="00A32BE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57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(2.6%)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431" w:hangingChars="200" w:hanging="4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Acute heart failure or exacerbation of congestive heart failure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d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4EE9" w:rsidRPr="00321870" w:rsidRDefault="00A32BE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38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1.7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Cardiac arrest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26" w:type="dxa"/>
            <w:vAlign w:val="center"/>
          </w:tcPr>
          <w:p w:rsidR="00024EE9" w:rsidRPr="00321870" w:rsidRDefault="00A32BE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(0.2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Respiratory complications,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024EE9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C60BCD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4.1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610D31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Pulmonary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infection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f</w:t>
            </w:r>
            <w:r w:rsidR="00F63D05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4EE9" w:rsidRPr="00321870" w:rsidRDefault="0039009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29 (1.3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Respiratory failure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126" w:type="dxa"/>
            <w:vAlign w:val="center"/>
          </w:tcPr>
          <w:p w:rsidR="00024EE9" w:rsidRPr="00321870" w:rsidRDefault="0039009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69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3.1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Atelectasis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126" w:type="dxa"/>
            <w:vAlign w:val="center"/>
          </w:tcPr>
          <w:p w:rsidR="00024EE9" w:rsidRPr="00321870" w:rsidRDefault="0039009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0.3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Pleural effusion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126" w:type="dxa"/>
            <w:vAlign w:val="center"/>
          </w:tcPr>
          <w:p w:rsidR="00024EE9" w:rsidRPr="00321870" w:rsidRDefault="0039009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0.4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024EE9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024EE9" w:rsidRPr="00321870" w:rsidRDefault="00024EE9" w:rsidP="00321870">
            <w:pPr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Bronchospasm</w:t>
            </w: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 xml:space="preserve"> j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A44A77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a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sthma attack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2126" w:type="dxa"/>
            <w:vAlign w:val="center"/>
          </w:tcPr>
          <w:p w:rsidR="00024EE9" w:rsidRPr="00321870" w:rsidRDefault="00A32BE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(0.3</w:t>
            </w:r>
            <w:r w:rsidR="00024EE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Neurologic</w:t>
            </w:r>
            <w:r w:rsidR="00561854" w:rsidRPr="0032187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al</w:t>
            </w:r>
            <w:r w:rsidRPr="0032187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complications,</w:t>
            </w:r>
            <w:r w:rsidRPr="00321870">
              <w:rPr>
                <w:rFonts w:ascii="Times New Roman" w:eastAsia="宋体" w:hAnsi="Times New Roman" w:cs="Times New Roman"/>
                <w:bCs/>
                <w:i/>
                <w:kern w:val="0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3C3DB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0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(1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  <w:r w:rsidR="003C3DB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Stroke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AE523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(0.5%)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Delirium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(0.6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Pulmonary encephalopathy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n</w:t>
            </w:r>
          </w:p>
        </w:tc>
        <w:tc>
          <w:tcPr>
            <w:tcW w:w="2126" w:type="dxa"/>
            <w:vAlign w:val="center"/>
          </w:tcPr>
          <w:p w:rsidR="00FB6670" w:rsidRPr="00321870" w:rsidRDefault="003C3DB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</w:tcPr>
          <w:p w:rsidR="00FB6670" w:rsidRPr="00321870" w:rsidRDefault="00FB6670" w:rsidP="0032187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Renal 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complications,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18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0.8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</w:tcPr>
          <w:p w:rsidR="00FB6670" w:rsidRPr="00321870" w:rsidRDefault="00FB6670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Acute renal failure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18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(0.8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7C4BB3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Thrombotic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complications,</w:t>
            </w:r>
            <w:r w:rsidR="00FB6670"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670"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B6670"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highlight w:val="yellow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083AC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0.5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Pulmonary embolism 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highlight w:val="yellow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(0.2%)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D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isseminated intravascular coagulation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q</w:t>
            </w:r>
          </w:p>
        </w:tc>
        <w:tc>
          <w:tcPr>
            <w:tcW w:w="2126" w:type="dxa"/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(0.3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A47E3A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Surgery-related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complications,</w:t>
            </w:r>
            <w:r w:rsidR="00FB6670"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="00FB6670"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FB6670" w:rsidRPr="00321870" w:rsidRDefault="00A47E3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3962D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650309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5.2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vAlign w:val="center"/>
          </w:tcPr>
          <w:p w:rsidR="00FB6670" w:rsidRPr="00321870" w:rsidRDefault="00FB6670" w:rsidP="00321870">
            <w:pPr>
              <w:spacing w:line="360" w:lineRule="auto"/>
              <w:ind w:leftChars="15" w:left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Intra-abdominal/pelvic </w:t>
            </w:r>
            <w:r w:rsidR="00610D31" w:rsidRPr="00321870">
              <w:rPr>
                <w:rFonts w:ascii="Times New Roman" w:hAnsi="Times New Roman" w:cs="Times New Roman"/>
                <w:sz w:val="20"/>
                <w:szCs w:val="20"/>
              </w:rPr>
              <w:t>abscess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23F95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126" w:type="dxa"/>
            <w:vAlign w:val="center"/>
          </w:tcPr>
          <w:p w:rsidR="00FB6670" w:rsidRPr="00321870" w:rsidRDefault="00FB6670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highlight w:val="yellow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B33D21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1.8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</w:tcPr>
          <w:p w:rsidR="00FB6670" w:rsidRPr="00321870" w:rsidRDefault="00FB6670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Wound dehiscence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126" w:type="dxa"/>
            <w:vAlign w:val="center"/>
          </w:tcPr>
          <w:p w:rsidR="00FB6670" w:rsidRPr="00321870" w:rsidRDefault="00A47E3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(0.1%)</w:t>
            </w:r>
          </w:p>
        </w:tc>
      </w:tr>
      <w:tr w:rsidR="00FB6670" w:rsidRPr="00321870" w:rsidTr="000D10B8">
        <w:trPr>
          <w:cantSplit/>
          <w:trHeight w:val="284"/>
        </w:trPr>
        <w:tc>
          <w:tcPr>
            <w:tcW w:w="6949" w:type="dxa"/>
            <w:tcBorders>
              <w:bottom w:val="nil"/>
            </w:tcBorders>
          </w:tcPr>
          <w:p w:rsidR="00FB6670" w:rsidRPr="00321870" w:rsidRDefault="007C4BB3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Anastomotic leak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670" w:rsidRPr="00321870" w:rsidRDefault="00A47E3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25690E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1.4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0D10B8">
        <w:trPr>
          <w:cantSplit/>
          <w:trHeight w:val="284"/>
        </w:trPr>
        <w:tc>
          <w:tcPr>
            <w:tcW w:w="6949" w:type="dxa"/>
            <w:tcBorders>
              <w:bottom w:val="nil"/>
            </w:tcBorders>
          </w:tcPr>
          <w:p w:rsidR="00FB6670" w:rsidRPr="00321870" w:rsidRDefault="00FB6670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Anastomotic stenosis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670" w:rsidRPr="00321870" w:rsidRDefault="0039009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 (0.2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0D10B8">
        <w:trPr>
          <w:cantSplit/>
          <w:trHeight w:val="284"/>
        </w:trPr>
        <w:tc>
          <w:tcPr>
            <w:tcW w:w="6949" w:type="dxa"/>
            <w:tcBorders>
              <w:top w:val="nil"/>
            </w:tcBorders>
          </w:tcPr>
          <w:p w:rsidR="00FB6670" w:rsidRPr="00321870" w:rsidRDefault="007C4BB3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 xml:space="preserve">Ileus 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B6670" w:rsidRPr="00321870" w:rsidRDefault="00B33D21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48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2.2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</w:tcPr>
          <w:p w:rsidR="00FB6670" w:rsidRPr="00321870" w:rsidRDefault="00FB6670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Surgical </w:t>
            </w:r>
            <w:r w:rsidR="00ED2EED"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="00570AC2"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="00ED2EED"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emorrhage</w:t>
            </w:r>
            <w:r w:rsidR="00C577B9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 xml:space="preserve"> w</w:t>
            </w:r>
          </w:p>
        </w:tc>
        <w:tc>
          <w:tcPr>
            <w:tcW w:w="2126" w:type="dxa"/>
            <w:vAlign w:val="center"/>
          </w:tcPr>
          <w:p w:rsidR="00FB6670" w:rsidRPr="00321870" w:rsidRDefault="003962D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B33D21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1.0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7C4BB3" w:rsidRPr="00321870" w:rsidTr="008D2A68">
        <w:trPr>
          <w:cantSplit/>
          <w:trHeight w:val="284"/>
        </w:trPr>
        <w:tc>
          <w:tcPr>
            <w:tcW w:w="6949" w:type="dxa"/>
          </w:tcPr>
          <w:p w:rsidR="007C4BB3" w:rsidRPr="00321870" w:rsidRDefault="007C4BB3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Rejection of hernia mesh </w:t>
            </w:r>
            <w:r w:rsidR="00C577B9" w:rsidRPr="003218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2126" w:type="dxa"/>
            <w:vAlign w:val="center"/>
          </w:tcPr>
          <w:p w:rsidR="007C4BB3" w:rsidRPr="00321870" w:rsidRDefault="007C4BB3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(0.0</w:t>
            </w:r>
            <w:r w:rsidR="003C3DB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tcBorders>
              <w:bottom w:val="nil"/>
            </w:tcBorders>
          </w:tcPr>
          <w:p w:rsidR="00FB6670" w:rsidRPr="00321870" w:rsidRDefault="00FB6670" w:rsidP="0032187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Infectious complications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7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25690E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(2.1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FB6670" w:rsidRPr="00321870" w:rsidTr="008D2A68">
        <w:trPr>
          <w:cantSplit/>
          <w:trHeight w:val="284"/>
        </w:trPr>
        <w:tc>
          <w:tcPr>
            <w:tcW w:w="6949" w:type="dxa"/>
            <w:tcBorders>
              <w:bottom w:val="nil"/>
            </w:tcBorders>
          </w:tcPr>
          <w:p w:rsidR="00FB6670" w:rsidRPr="00321870" w:rsidRDefault="00FB6670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</w:rPr>
              <w:t>Sepsis</w:t>
            </w:r>
            <w:r w:rsidR="00DB786B" w:rsidRPr="0032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6B" w:rsidRPr="0032187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670" w:rsidRPr="00321870" w:rsidRDefault="00095D88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25690E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="00390093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(2.1</w:t>
            </w:r>
            <w:r w:rsidR="00FB6670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156DB4" w:rsidRPr="00321870" w:rsidTr="008D2A68">
        <w:trPr>
          <w:cantSplit/>
          <w:trHeight w:val="284"/>
        </w:trPr>
        <w:tc>
          <w:tcPr>
            <w:tcW w:w="6949" w:type="dxa"/>
          </w:tcPr>
          <w:p w:rsidR="00156DB4" w:rsidRPr="00321870" w:rsidRDefault="00156DB4" w:rsidP="0032187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Complications according to </w:t>
            </w:r>
            <w:bookmarkStart w:id="1" w:name="OLE_LINK1"/>
            <w:bookmarkStart w:id="2" w:name="OLE_LINK2"/>
            <w:bookmarkStart w:id="3" w:name="_Hlk69425890"/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Clavien-Dindo</w:t>
            </w:r>
            <w:bookmarkEnd w:id="1"/>
            <w:bookmarkEnd w:id="2"/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classification</w:t>
            </w:r>
            <w:bookmarkEnd w:id="3"/>
          </w:p>
        </w:tc>
        <w:tc>
          <w:tcPr>
            <w:tcW w:w="2126" w:type="dxa"/>
            <w:vAlign w:val="center"/>
          </w:tcPr>
          <w:p w:rsidR="00156DB4" w:rsidRPr="00321870" w:rsidRDefault="00156DB4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56DB4" w:rsidRPr="00321870" w:rsidTr="008D2A68">
        <w:trPr>
          <w:cantSplit/>
          <w:trHeight w:val="284"/>
        </w:trPr>
        <w:tc>
          <w:tcPr>
            <w:tcW w:w="6949" w:type="dxa"/>
          </w:tcPr>
          <w:p w:rsidR="00156DB4" w:rsidRPr="00321870" w:rsidRDefault="00156DB4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Grade III</w:t>
            </w:r>
          </w:p>
        </w:tc>
        <w:tc>
          <w:tcPr>
            <w:tcW w:w="2126" w:type="dxa"/>
            <w:vAlign w:val="center"/>
          </w:tcPr>
          <w:p w:rsidR="00156DB4" w:rsidRPr="00321870" w:rsidRDefault="00143A1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80</w:t>
            </w:r>
            <w:r w:rsidR="002D0602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(3.6%)</w:t>
            </w:r>
          </w:p>
        </w:tc>
      </w:tr>
      <w:tr w:rsidR="00156DB4" w:rsidRPr="00321870" w:rsidTr="008D2A68">
        <w:trPr>
          <w:cantSplit/>
          <w:trHeight w:val="284"/>
        </w:trPr>
        <w:tc>
          <w:tcPr>
            <w:tcW w:w="6949" w:type="dxa"/>
          </w:tcPr>
          <w:p w:rsidR="00156DB4" w:rsidRPr="00321870" w:rsidRDefault="00156DB4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Grade IV</w:t>
            </w:r>
          </w:p>
        </w:tc>
        <w:tc>
          <w:tcPr>
            <w:tcW w:w="2126" w:type="dxa"/>
            <w:vAlign w:val="center"/>
          </w:tcPr>
          <w:p w:rsidR="00156DB4" w:rsidRPr="00321870" w:rsidRDefault="00143A1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  <w:r w:rsidR="002D0602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(6.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  <w:r w:rsidR="002D0602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  <w:tr w:rsidR="00156DB4" w:rsidRPr="00321870" w:rsidTr="008D2A68">
        <w:trPr>
          <w:cantSplit/>
          <w:trHeight w:val="284"/>
        </w:trPr>
        <w:tc>
          <w:tcPr>
            <w:tcW w:w="6949" w:type="dxa"/>
          </w:tcPr>
          <w:p w:rsidR="00156DB4" w:rsidRPr="00321870" w:rsidRDefault="00156DB4" w:rsidP="00321870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Grade V</w:t>
            </w:r>
          </w:p>
        </w:tc>
        <w:tc>
          <w:tcPr>
            <w:tcW w:w="2126" w:type="dxa"/>
            <w:vAlign w:val="center"/>
          </w:tcPr>
          <w:p w:rsidR="00156DB4" w:rsidRPr="00321870" w:rsidRDefault="00143A1A" w:rsidP="0032187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  <w:r w:rsidR="002D0602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1.2</w:t>
            </w:r>
            <w:r w:rsidR="002D0602" w:rsidRPr="00321870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</w:tbl>
    <w:p w:rsidR="002D0602" w:rsidRPr="00321870" w:rsidRDefault="002D0602" w:rsidP="0032187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21870">
        <w:rPr>
          <w:rFonts w:ascii="Times New Roman" w:hAnsi="Times New Roman" w:cs="Times New Roman"/>
          <w:bCs/>
          <w:sz w:val="20"/>
          <w:szCs w:val="20"/>
        </w:rPr>
        <w:t xml:space="preserve">Data are </w:t>
      </w:r>
      <w:r w:rsidRPr="00321870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Pr="00321870">
        <w:rPr>
          <w:rFonts w:ascii="Times New Roman" w:hAnsi="Times New Roman" w:cs="Times New Roman"/>
          <w:bCs/>
          <w:sz w:val="20"/>
          <w:szCs w:val="20"/>
        </w:rPr>
        <w:t xml:space="preserve"> (%).</w:t>
      </w:r>
    </w:p>
    <w:p w:rsidR="00610D31" w:rsidRPr="00321870" w:rsidRDefault="00610D31" w:rsidP="003218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a </w:t>
      </w:r>
      <w:r w:rsidRPr="00321870">
        <w:rPr>
          <w:rFonts w:ascii="Times New Roman" w:eastAsia="宋体" w:hAnsi="Times New Roman" w:cs="Times New Roman"/>
          <w:sz w:val="20"/>
          <w:szCs w:val="20"/>
        </w:rPr>
        <w:t>I</w:t>
      </w:r>
      <w:r w:rsidRPr="00321870">
        <w:rPr>
          <w:rFonts w:ascii="Times New Roman" w:hAnsi="Times New Roman" w:cs="Times New Roman"/>
          <w:sz w:val="20"/>
          <w:szCs w:val="20"/>
        </w:rPr>
        <w:t>nclude acute myocardial infarction and unstable angina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, </w:t>
      </w:r>
      <w:r w:rsidRPr="00321870">
        <w:rPr>
          <w:rFonts w:ascii="Times New Roman" w:hAnsi="Times New Roman" w:cs="Times New Roman"/>
          <w:sz w:val="20"/>
          <w:szCs w:val="20"/>
        </w:rPr>
        <w:t xml:space="preserve">which were confirmed by clinical symptoms, electrocardiographic changes, imaging evidence, serum cardiac troponin I concentration, and requirement of </w:t>
      </w:r>
      <w:r w:rsidRPr="00321870">
        <w:rPr>
          <w:rFonts w:ascii="Times New Roman" w:eastAsia="宋体" w:hAnsi="Times New Roman" w:cs="Times New Roman"/>
          <w:sz w:val="20"/>
          <w:szCs w:val="20"/>
        </w:rPr>
        <w:t>IC/ICU management.</w:t>
      </w:r>
    </w:p>
    <w:p w:rsidR="00610D31" w:rsidRPr="00321870" w:rsidRDefault="00610D31" w:rsidP="00321870">
      <w:pPr>
        <w:spacing w:line="360" w:lineRule="auto"/>
        <w:ind w:hanging="2"/>
        <w:rPr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b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Confirmed by 12-lead electrocardiogram and necessitated cardioversion or </w:t>
      </w:r>
      <w:r w:rsidRPr="00321870">
        <w:rPr>
          <w:rFonts w:ascii="Times New Roman" w:eastAsia="宋体" w:hAnsi="Times New Roman" w:cs="Times New Roman"/>
          <w:sz w:val="20"/>
          <w:szCs w:val="20"/>
        </w:rPr>
        <w:t>IC/ICU management.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D31" w:rsidRPr="00321870" w:rsidRDefault="00610D31" w:rsidP="003218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c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Requirement of</w:t>
      </w:r>
      <w:r w:rsidRPr="00321870">
        <w:rPr>
          <w:rFonts w:ascii="Times New Roman" w:hAnsi="Times New Roman" w:cs="Times New Roman"/>
          <w:sz w:val="20"/>
          <w:szCs w:val="20"/>
        </w:rPr>
        <w:t xml:space="preserve"> inotropics or vasopressors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for more than 24 hours after surgery and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 IC/ICU management.</w:t>
      </w:r>
    </w:p>
    <w:p w:rsidR="00610D31" w:rsidRPr="00321870" w:rsidRDefault="00610D31" w:rsidP="003218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d </w:t>
      </w:r>
      <w:r w:rsidRPr="00321870">
        <w:rPr>
          <w:rFonts w:ascii="Times New Roman" w:hAnsi="Times New Roman" w:cs="Times New Roman"/>
          <w:sz w:val="20"/>
          <w:szCs w:val="20"/>
        </w:rPr>
        <w:t>Diagnosed by the presence of n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ew-onset orthopnea with evidence of fluid retention (i.e., elevated jugular venous pressure, evidence of pulmonary oedema, and/or peripheral oedema), an elevated plasma brain natriuretic peptide of above 400 pg ml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-1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, and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 IC/ICU management.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e </w:t>
      </w:r>
      <w:r w:rsidRPr="00321870">
        <w:rPr>
          <w:rFonts w:ascii="Times New Roman" w:eastAsia="宋体" w:hAnsi="Times New Roman" w:cs="Times New Roman"/>
          <w:sz w:val="20"/>
          <w:szCs w:val="20"/>
        </w:rPr>
        <w:t>T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he absence of large artery pulsation and heart sound, subsequent loss of consciousness, respiratory arrest, dilated pupils and even death, caused by the sudden stop of heart beating.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f </w:t>
      </w:r>
      <w:r w:rsidRPr="00321870">
        <w:rPr>
          <w:rFonts w:ascii="Times New Roman" w:hAnsi="Times New Roman" w:cs="Times New Roman"/>
          <w:sz w:val="20"/>
          <w:szCs w:val="20"/>
        </w:rPr>
        <w:t>Pneumonia that required bronchoscopic aspiration or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 xml:space="preserve"> mechanical ventilation, or </w:t>
      </w:r>
      <w:r w:rsidRPr="00321870">
        <w:rPr>
          <w:rFonts w:ascii="Times New Roman" w:hAnsi="Times New Roman" w:cs="Times New Roman"/>
          <w:sz w:val="20"/>
          <w:szCs w:val="20"/>
        </w:rPr>
        <w:t>pneumonia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 xml:space="preserve"> that caused sepsis or multiple organ failure.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g </w:t>
      </w:r>
      <w:r w:rsidR="00DD2731" w:rsidRPr="00321870">
        <w:rPr>
          <w:rFonts w:ascii="Times New Roman" w:eastAsia="宋体" w:hAnsi="Times New Roman" w:cs="Times New Roman"/>
          <w:i/>
          <w:kern w:val="0"/>
          <w:sz w:val="20"/>
          <w:szCs w:val="20"/>
        </w:rPr>
        <w:t>P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</w:rPr>
        <w:t>aO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2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 &lt;60 mmHg on room air, a ratio of </w:t>
      </w:r>
      <w:r w:rsidR="00DD2731" w:rsidRPr="00321870">
        <w:rPr>
          <w:rFonts w:ascii="Times New Roman" w:eastAsia="宋体" w:hAnsi="Times New Roman" w:cs="Times New Roman"/>
          <w:i/>
          <w:kern w:val="0"/>
          <w:sz w:val="20"/>
          <w:szCs w:val="20"/>
        </w:rPr>
        <w:t>P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</w:rPr>
        <w:t>aO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2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 to inspired oxygen fraction &lt;300, or arterial oxyhemoglobin saturation measured with pulse oximetry &lt;90% and requiring oxygen therapy</w:t>
      </w:r>
      <w:r w:rsidR="00DD2731" w:rsidRPr="00A91FCD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="00DD2731" w:rsidRPr="00321870">
        <w:rPr>
          <w:rFonts w:ascii="Times New Roman" w:eastAsia="宋体" w:hAnsi="Times New Roman" w:cs="Times New Roman"/>
          <w:kern w:val="0"/>
          <w:sz w:val="20"/>
          <w:szCs w:val="20"/>
        </w:rPr>
        <w:t>and</w:t>
      </w:r>
      <w:r w:rsidR="00DD2731"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="00DD2731" w:rsidRPr="00321870">
        <w:rPr>
          <w:rFonts w:ascii="Times New Roman" w:eastAsia="宋体" w:hAnsi="Times New Roman" w:cs="Times New Roman"/>
          <w:sz w:val="20"/>
          <w:szCs w:val="20"/>
        </w:rPr>
        <w:t>IC/ICU management</w:t>
      </w:r>
      <w:r w:rsidR="00DD2731">
        <w:rPr>
          <w:rFonts w:ascii="Times New Roman" w:eastAsia="宋体" w:hAnsi="Times New Roman" w:cs="Times New Roman" w:hint="eastAsia"/>
          <w:sz w:val="20"/>
          <w:szCs w:val="20"/>
        </w:rPr>
        <w:t>,</w:t>
      </w:r>
      <w:r w:rsidR="00DD2731" w:rsidRPr="00321870">
        <w:rPr>
          <w:rFonts w:ascii="Times New Roman" w:eastAsia="宋体" w:hAnsi="Times New Roman" w:cs="Times New Roman"/>
          <w:sz w:val="20"/>
          <w:szCs w:val="20"/>
        </w:rPr>
        <w:t xml:space="preserve"> or mechanical ventilation.</w:t>
      </w:r>
    </w:p>
    <w:p w:rsidR="00610D31" w:rsidRPr="00321870" w:rsidRDefault="00610D31" w:rsidP="0032187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h 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Confirmed by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lung opacification with a shift of the mediastinum, hilum, or hemidiaphragm toward the affected area, compensatory overinflation in the adjacent non-atelectatic lung,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and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requirement of </w:t>
      </w:r>
      <w:r w:rsidRPr="00321870">
        <w:rPr>
          <w:rFonts w:ascii="Times New Roman" w:hAnsi="Times New Roman" w:cs="Times New Roman"/>
          <w:sz w:val="20"/>
          <w:szCs w:val="20"/>
        </w:rPr>
        <w:lastRenderedPageBreak/>
        <w:t>m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>echanical ventilation or thoracentesis including drain placement.</w:t>
      </w:r>
    </w:p>
    <w:p w:rsidR="00610D31" w:rsidRPr="00321870" w:rsidRDefault="00610D31" w:rsidP="0032187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i</w:t>
      </w:r>
      <w:r w:rsidRPr="003218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Confirmed by chest X-ray demonstrating blunting of the costophrenic angle, loss of the sharp silhouette of the ipsilateral hemidiaphragm in the upright position, a hazy opacity in one hemithorax with preserved vascular shadows in the supine position, evidence of displacement of adjacent anatomical structures, and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requirement of </w:t>
      </w:r>
      <w:r w:rsidRPr="00321870">
        <w:rPr>
          <w:rFonts w:ascii="Times New Roman" w:hAnsi="Times New Roman" w:cs="Times New Roman"/>
          <w:sz w:val="20"/>
          <w:szCs w:val="20"/>
        </w:rPr>
        <w:t>m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>echanical ventilation or thoracentesis including drain placement.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j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Confirmed by new-onset expiratory wheezing, necessitated treatment with </w:t>
      </w:r>
      <w:r w:rsidRPr="00321870">
        <w:rPr>
          <w:rFonts w:ascii="Times New Roman" w:eastAsia="宋体" w:hAnsi="Times New Roman" w:cs="Times New Roman"/>
          <w:sz w:val="20"/>
          <w:szCs w:val="20"/>
        </w:rPr>
        <w:t>mechanical ventilation, or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 bronchodilators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and </w:t>
      </w:r>
      <w:r w:rsidRPr="00321870">
        <w:rPr>
          <w:rFonts w:ascii="Times New Roman" w:eastAsia="宋体" w:hAnsi="Times New Roman" w:cs="Times New Roman"/>
          <w:sz w:val="20"/>
          <w:szCs w:val="20"/>
        </w:rPr>
        <w:t>IC/ICU management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k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hAnsi="Times New Roman" w:cs="Times New Roman"/>
          <w:sz w:val="20"/>
          <w:szCs w:val="20"/>
        </w:rPr>
        <w:t xml:space="preserve">Diagnosed according to clinical signs,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mechanical ventilation</w:t>
      </w:r>
      <w:r w:rsidRPr="00321870">
        <w:rPr>
          <w:rFonts w:ascii="Times New Roman" w:hAnsi="Times New Roman" w:cs="Times New Roman"/>
          <w:sz w:val="20"/>
          <w:szCs w:val="20"/>
        </w:rPr>
        <w:t>, or inhaled bronchodilator therapy and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 IC/ICU management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hAnsi="Times New Roman" w:cs="Times New Roman"/>
          <w:sz w:val="20"/>
          <w:szCs w:val="20"/>
          <w:vertAlign w:val="superscript"/>
        </w:rPr>
        <w:t xml:space="preserve">l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Persisted new focal neurologic deficit confirmed by neurologic imaging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, requiring radiological/surgical intervention or IC/ICU management. </w:t>
      </w:r>
    </w:p>
    <w:p w:rsidR="00610D31" w:rsidRPr="00321870" w:rsidRDefault="00610D31" w:rsidP="0032187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0"/>
          <w:szCs w:val="20"/>
          <w:vertAlign w:val="superscript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m</w:t>
      </w:r>
      <w:r w:rsidRPr="00321870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Diagnosed by psychiatric symptoms of </w:t>
      </w:r>
      <w:r w:rsidRPr="00321870">
        <w:rPr>
          <w:rFonts w:ascii="Times New Roman" w:hAnsi="Times New Roman" w:cs="Times New Roman"/>
          <w:kern w:val="0"/>
          <w:sz w:val="20"/>
          <w:szCs w:val="20"/>
        </w:rPr>
        <w:t xml:space="preserve">inattention and thinking disorder, or inattention and altered level of consciousness, with an acute onset or a </w:t>
      </w:r>
      <w:r w:rsidRPr="00321870">
        <w:rPr>
          <w:rFonts w:ascii="Times New Roman" w:eastAsia="AdvTT5235d5a9+fb" w:hAnsi="Times New Roman" w:cs="Times New Roman"/>
          <w:kern w:val="0"/>
          <w:sz w:val="20"/>
          <w:szCs w:val="20"/>
        </w:rPr>
        <w:t>fl</w:t>
      </w:r>
      <w:r w:rsidRPr="00321870">
        <w:rPr>
          <w:rFonts w:ascii="Times New Roman" w:hAnsi="Times New Roman" w:cs="Times New Roman"/>
          <w:kern w:val="0"/>
          <w:sz w:val="20"/>
          <w:szCs w:val="20"/>
        </w:rPr>
        <w:t>uctuation course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and necessitated IC/ICU management.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n</w:t>
      </w:r>
      <w:r w:rsidRPr="003218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21870">
        <w:rPr>
          <w:rFonts w:ascii="Times New Roman" w:hAnsi="Times New Roman" w:cs="Times New Roman"/>
          <w:sz w:val="20"/>
          <w:szCs w:val="20"/>
        </w:rPr>
        <w:t xml:space="preserve">Neuropsychiatric syndrome caused by carbon dioxide accumulation and hypoxia due to respiratory failure and </w:t>
      </w:r>
      <w:r w:rsidRPr="00321870">
        <w:rPr>
          <w:rFonts w:ascii="Times New Roman" w:eastAsia="宋体" w:hAnsi="Times New Roman" w:cs="Times New Roman"/>
          <w:sz w:val="20"/>
          <w:szCs w:val="20"/>
        </w:rPr>
        <w:t>ruled out</w:t>
      </w:r>
      <w:r w:rsidRPr="00321870">
        <w:rPr>
          <w:rFonts w:ascii="Times New Roman" w:hAnsi="Times New Roman" w:cs="Times New Roman"/>
          <w:sz w:val="20"/>
          <w:szCs w:val="20"/>
        </w:rPr>
        <w:t xml:space="preserve"> other causes of neuropsychiatric disorders, </w:t>
      </w:r>
      <w:r w:rsidRPr="00321870">
        <w:rPr>
          <w:rFonts w:ascii="Times New Roman" w:eastAsia="宋体" w:hAnsi="Times New Roman" w:cs="Times New Roman"/>
          <w:sz w:val="20"/>
          <w:szCs w:val="20"/>
        </w:rPr>
        <w:t>requiring IC/ICU management.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o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 New onset renal failure that required renal replacement therapy.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p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Hypotension or shock suspected of pulmonary embolism requiring IC/ICU level management, and meeting one of the following: filling defect in any branch of the pulmonary artery in computed tomographic pulmonary angiogram or right ventricular overload in the echocardiogram.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For suspected pulmonary embolism without symptoms, positive</w:t>
      </w:r>
      <w:r w:rsidRPr="00321870" w:rsidDel="00586E6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finding in computed tomographic pulmonary angiogram</w:t>
      </w:r>
      <w:r w:rsidRPr="00321870" w:rsidDel="00586E6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was required for diagnosis.</w:t>
      </w:r>
    </w:p>
    <w:p w:rsidR="00610D31" w:rsidRPr="00321870" w:rsidRDefault="00610D31" w:rsidP="00321870">
      <w:pPr>
        <w:spacing w:line="360" w:lineRule="auto"/>
        <w:rPr>
          <w:rStyle w:val="transsent"/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q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 xml:space="preserve">Diagnosed by abnormal bleeding symptoms, and 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>more than three anomalies in the following items: platelet &lt;100×10</w:t>
      </w:r>
      <w:r w:rsidRPr="00321870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>9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 xml:space="preserve"> l</w:t>
      </w:r>
      <w:r w:rsidRPr="00321870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 xml:space="preserve"> or progressive decline; fibrinogen &lt;1.5 g l</w:t>
      </w:r>
      <w:r w:rsidRPr="00321870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 xml:space="preserve"> or progressive decline or &gt;4 g l</w:t>
      </w:r>
      <w:r w:rsidRPr="00321870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>; plasma fibrin degradation product (FDP) &gt;20 mg l</w:t>
      </w:r>
      <w:r w:rsidRPr="00321870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1870">
        <w:rPr>
          <w:rStyle w:val="transsent"/>
          <w:rFonts w:ascii="Times New Roman" w:hAnsi="Times New Roman" w:cs="Times New Roman"/>
          <w:sz w:val="20"/>
          <w:szCs w:val="20"/>
        </w:rPr>
        <w:t xml:space="preserve"> or D-dimer level increased or positive, or 3P test (plasma protamine paracoagulation test) positive; prothrombin time (PT) shorter or longer than 3 s or activated partial thromboplastin time (APTT) shorter or longer than 10 s.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r 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Confirmed by imaging examination, or the purulent fluid extracted by puncture and bacteria cultured from the fluid </w:t>
      </w:r>
      <w:r w:rsidRPr="00321870">
        <w:rPr>
          <w:rFonts w:ascii="Times New Roman" w:hAnsi="Times New Roman" w:cs="Times New Roman"/>
          <w:sz w:val="20"/>
          <w:szCs w:val="20"/>
        </w:rPr>
        <w:t xml:space="preserve">and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>image-guided drain placement/paracentesis/secondary surgery; or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hAnsi="Times New Roman" w:cs="Times New Roman"/>
          <w:sz w:val="20"/>
          <w:szCs w:val="20"/>
        </w:rPr>
        <w:lastRenderedPageBreak/>
        <w:t>intra-abdominal/pelvic abscess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>that caused sepsis or at least one organ failure.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s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Wound rupture that required secondary suturing or antibiotics.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t </w:t>
      </w:r>
      <w:r w:rsidRPr="00321870">
        <w:rPr>
          <w:rFonts w:ascii="Times New Roman" w:hAnsi="Times New Roman" w:cs="Times New Roman"/>
          <w:sz w:val="20"/>
          <w:szCs w:val="20"/>
        </w:rPr>
        <w:t>Diagnosed by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extravasation of contrast agent in the body cavity or retroperitoneal space during imaging examination, or perianastomotic abscess, </w:t>
      </w:r>
      <w:r w:rsidRPr="00321870">
        <w:rPr>
          <w:rFonts w:ascii="Times New Roman" w:hAnsi="Times New Roman" w:cs="Times New Roman"/>
          <w:sz w:val="20"/>
          <w:szCs w:val="20"/>
        </w:rPr>
        <w:t xml:space="preserve">and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</w:t>
      </w:r>
      <w:r w:rsidRPr="00321870">
        <w:rPr>
          <w:rFonts w:ascii="Times New Roman" w:hAnsi="Times New Roman" w:cs="Times New Roman"/>
          <w:sz w:val="20"/>
          <w:szCs w:val="20"/>
        </w:rPr>
        <w:t xml:space="preserve"> 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image-guided drain placement/paracentesis /secondary surgery; or anastomotic leak 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>that caused sepsis or at least one organ failure.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u </w:t>
      </w:r>
      <w:r w:rsidRPr="00321870">
        <w:rPr>
          <w:rFonts w:ascii="Times New Roman" w:eastAsia="宋体" w:hAnsi="Times New Roman" w:cs="Times New Roman"/>
          <w:sz w:val="20"/>
          <w:szCs w:val="20"/>
        </w:rPr>
        <w:t>Diagnosis supported by imaging examination or endoscopy and ruled out the presence of gastrointestinal dysfunction and mechanical obstruction, requiring balloon dilation, stenting or secondary surgery.</w:t>
      </w:r>
    </w:p>
    <w:p w:rsidR="00610D31" w:rsidRPr="00321870" w:rsidRDefault="00610D31" w:rsidP="0032187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v</w:t>
      </w:r>
      <w:r w:rsidRPr="00321870">
        <w:rPr>
          <w:rFonts w:ascii="Times New Roman" w:hAnsi="Times New Roman" w:cs="Times New Roman"/>
          <w:sz w:val="20"/>
          <w:szCs w:val="20"/>
        </w:rPr>
        <w:t xml:space="preserve"> Diagnosed by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lack of bowel movement, flatulence, and requirement of nasoenteric tube placement or secondary surgery; or </w:t>
      </w:r>
      <w:r w:rsidRPr="00321870">
        <w:rPr>
          <w:rFonts w:ascii="Times New Roman" w:eastAsia="NmcrhnTimes-Roman" w:hAnsi="Times New Roman" w:cs="Times New Roman"/>
          <w:sz w:val="20"/>
          <w:szCs w:val="20"/>
        </w:rPr>
        <w:t>extensive intestinal necrosis, with at least one organ failure or sepsis.</w:t>
      </w:r>
    </w:p>
    <w:p w:rsidR="00610D31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w</w:t>
      </w:r>
      <w:r w:rsidRPr="00321870">
        <w:rPr>
          <w:rFonts w:ascii="Times New Roman" w:eastAsia="宋体" w:hAnsi="Times New Roman" w:cs="Times New Roman"/>
          <w:sz w:val="20"/>
          <w:szCs w:val="20"/>
        </w:rPr>
        <w:t xml:space="preserve"> Bleeding after surgery that required secondary surgical hemostasis.</w:t>
      </w:r>
    </w:p>
    <w:p w:rsidR="00610D31" w:rsidRPr="00321870" w:rsidRDefault="00610D31" w:rsidP="003218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x </w:t>
      </w:r>
      <w:r w:rsidRPr="00321870">
        <w:rPr>
          <w:rFonts w:ascii="Times New Roman" w:eastAsia="宋体" w:hAnsi="Times New Roman" w:cs="Times New Roman"/>
          <w:sz w:val="20"/>
          <w:szCs w:val="20"/>
        </w:rPr>
        <w:t>Diagnosed by</w:t>
      </w:r>
      <w:r w:rsidRPr="00321870">
        <w:rPr>
          <w:rFonts w:ascii="Times New Roman" w:hAnsi="Times New Roman" w:cs="Times New Roman"/>
          <w:sz w:val="20"/>
          <w:szCs w:val="20"/>
        </w:rPr>
        <w:t xml:space="preserve"> the symptoms of non-healing wounds, exudation, abdominal pain, and fever (</w:t>
      </w:r>
      <w:r w:rsidRPr="00321870">
        <w:rPr>
          <w:rFonts w:ascii="Times New Roman" w:eastAsia="宋体" w:hAnsi="Times New Roman" w:cs="Times New Roman"/>
          <w:sz w:val="20"/>
          <w:szCs w:val="20"/>
        </w:rPr>
        <w:t>ruled out the presence of</w:t>
      </w:r>
      <w:r w:rsidRPr="00321870">
        <w:rPr>
          <w:rFonts w:ascii="Times New Roman" w:hAnsi="Times New Roman" w:cs="Times New Roman"/>
          <w:sz w:val="20"/>
          <w:szCs w:val="20"/>
        </w:rPr>
        <w:t xml:space="preserve"> incision infection or subcutaneous effusion), and </w:t>
      </w:r>
      <w:r w:rsidRPr="00321870">
        <w:rPr>
          <w:rFonts w:ascii="Times New Roman" w:eastAsia="宋体" w:hAnsi="Times New Roman" w:cs="Times New Roman"/>
          <w:sz w:val="20"/>
          <w:szCs w:val="20"/>
        </w:rPr>
        <w:t>necessitated</w:t>
      </w:r>
      <w:r w:rsidRPr="00321870">
        <w:rPr>
          <w:rFonts w:ascii="Times New Roman" w:hAnsi="Times New Roman" w:cs="Times New Roman"/>
          <w:sz w:val="20"/>
          <w:szCs w:val="20"/>
        </w:rPr>
        <w:t xml:space="preserve"> surgical intervention.</w:t>
      </w:r>
    </w:p>
    <w:p w:rsidR="003B279A" w:rsidRPr="00321870" w:rsidRDefault="00610D31" w:rsidP="00321870">
      <w:pPr>
        <w:spacing w:line="360" w:lineRule="auto"/>
        <w:rPr>
          <w:rFonts w:ascii="Times New Roman" w:eastAsia="宋体" w:hAnsi="Times New Roman" w:cs="Times New Roman"/>
          <w:sz w:val="20"/>
          <w:szCs w:val="20"/>
          <w:vertAlign w:val="superscript"/>
        </w:rPr>
      </w:pPr>
      <w:r w:rsidRPr="00321870">
        <w:rPr>
          <w:rFonts w:ascii="Times New Roman" w:eastAsia="宋体" w:hAnsi="Times New Roman" w:cs="Times New Roman"/>
          <w:sz w:val="20"/>
          <w:szCs w:val="20"/>
          <w:vertAlign w:val="superscript"/>
        </w:rPr>
        <w:t>y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321870">
        <w:rPr>
          <w:rFonts w:ascii="Times New Roman" w:eastAsia="宋体" w:hAnsi="Times New Roman" w:cs="Times New Roman"/>
          <w:kern w:val="0"/>
          <w:sz w:val="20"/>
          <w:szCs w:val="20"/>
        </w:rPr>
        <w:t>Two or more criteria of systemic inflammatory response syndrome, with known infection and new-onset dysfunction of at least one organ/system.</w:t>
      </w:r>
    </w:p>
    <w:sectPr w:rsidR="003B279A" w:rsidRPr="00321870" w:rsidSect="00303679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0C" w:rsidRDefault="00D1690C" w:rsidP="00D640D6">
      <w:r>
        <w:separator/>
      </w:r>
    </w:p>
  </w:endnote>
  <w:endnote w:type="continuationSeparator" w:id="0">
    <w:p w:rsidR="00D1690C" w:rsidRDefault="00D1690C" w:rsidP="00D6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mcrhnTimes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vTT5235d5a9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0C" w:rsidRDefault="00D1690C" w:rsidP="00D640D6">
      <w:r>
        <w:separator/>
      </w:r>
    </w:p>
  </w:footnote>
  <w:footnote w:type="continuationSeparator" w:id="0">
    <w:p w:rsidR="00D1690C" w:rsidRDefault="00D1690C" w:rsidP="00D6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08081"/>
      <w:docPartObj>
        <w:docPartGallery w:val="Page Numbers (Top of Page)"/>
        <w:docPartUnique/>
      </w:docPartObj>
    </w:sdtPr>
    <w:sdtContent>
      <w:p w:rsidR="000D10B8" w:rsidRDefault="00E66BA2" w:rsidP="00FE286C">
        <w:pPr>
          <w:pStyle w:val="a3"/>
          <w:pBdr>
            <w:bottom w:val="none" w:sz="0" w:space="0" w:color="auto"/>
          </w:pBdr>
          <w:jc w:val="right"/>
        </w:pPr>
        <w:r w:rsidRPr="00E66BA2">
          <w:fldChar w:fldCharType="begin"/>
        </w:r>
        <w:r w:rsidR="000D10B8">
          <w:instrText>PAGE   \* MERGEFORMAT</w:instrText>
        </w:r>
        <w:r w:rsidRPr="00E66BA2">
          <w:fldChar w:fldCharType="separate"/>
        </w:r>
        <w:r w:rsidR="007C30C2" w:rsidRPr="007C30C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D10B8" w:rsidRDefault="000D10B8" w:rsidP="00FE286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C63"/>
    <w:multiLevelType w:val="hybridMultilevel"/>
    <w:tmpl w:val="D0A8566C"/>
    <w:lvl w:ilvl="0" w:tplc="449C8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3A5A5B"/>
    <w:multiLevelType w:val="multilevel"/>
    <w:tmpl w:val="5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75A81"/>
    <w:multiLevelType w:val="multilevel"/>
    <w:tmpl w:val="7EF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zIwtDQ0NDA0NTSysDRQ0lEKTi0uzszPAykwMq0FAHIxVGktAAAA"/>
  </w:docVars>
  <w:rsids>
    <w:rsidRoot w:val="00D640D6"/>
    <w:rsid w:val="00001BB2"/>
    <w:rsid w:val="00002FC6"/>
    <w:rsid w:val="0001232C"/>
    <w:rsid w:val="000127DC"/>
    <w:rsid w:val="0001352A"/>
    <w:rsid w:val="000142A7"/>
    <w:rsid w:val="00016954"/>
    <w:rsid w:val="000211AF"/>
    <w:rsid w:val="00024EE9"/>
    <w:rsid w:val="0002631D"/>
    <w:rsid w:val="0003126E"/>
    <w:rsid w:val="000350E6"/>
    <w:rsid w:val="00035577"/>
    <w:rsid w:val="00044263"/>
    <w:rsid w:val="000520C5"/>
    <w:rsid w:val="000624FD"/>
    <w:rsid w:val="00063316"/>
    <w:rsid w:val="00064FDF"/>
    <w:rsid w:val="00065A41"/>
    <w:rsid w:val="0007323D"/>
    <w:rsid w:val="00073C23"/>
    <w:rsid w:val="00075653"/>
    <w:rsid w:val="000765CB"/>
    <w:rsid w:val="00076E34"/>
    <w:rsid w:val="000808A8"/>
    <w:rsid w:val="000813F6"/>
    <w:rsid w:val="000822DE"/>
    <w:rsid w:val="00083AC3"/>
    <w:rsid w:val="00083EF7"/>
    <w:rsid w:val="00085020"/>
    <w:rsid w:val="0008756C"/>
    <w:rsid w:val="00091A7B"/>
    <w:rsid w:val="00095D88"/>
    <w:rsid w:val="0009648A"/>
    <w:rsid w:val="00096B10"/>
    <w:rsid w:val="00097418"/>
    <w:rsid w:val="000A0523"/>
    <w:rsid w:val="000A06F0"/>
    <w:rsid w:val="000A41FF"/>
    <w:rsid w:val="000A5AB2"/>
    <w:rsid w:val="000B211A"/>
    <w:rsid w:val="000B7D8C"/>
    <w:rsid w:val="000C1732"/>
    <w:rsid w:val="000C2143"/>
    <w:rsid w:val="000C4E10"/>
    <w:rsid w:val="000C6D5D"/>
    <w:rsid w:val="000D08C4"/>
    <w:rsid w:val="000D10B8"/>
    <w:rsid w:val="000D6C45"/>
    <w:rsid w:val="000E2DDC"/>
    <w:rsid w:val="000F2D94"/>
    <w:rsid w:val="000F4CE3"/>
    <w:rsid w:val="000F55E0"/>
    <w:rsid w:val="000F625D"/>
    <w:rsid w:val="000F7054"/>
    <w:rsid w:val="000F72F7"/>
    <w:rsid w:val="001019CE"/>
    <w:rsid w:val="00102610"/>
    <w:rsid w:val="00103BD3"/>
    <w:rsid w:val="00112526"/>
    <w:rsid w:val="0011340C"/>
    <w:rsid w:val="001214C6"/>
    <w:rsid w:val="001306A3"/>
    <w:rsid w:val="0013670D"/>
    <w:rsid w:val="00137796"/>
    <w:rsid w:val="001409D9"/>
    <w:rsid w:val="0014166C"/>
    <w:rsid w:val="0014297B"/>
    <w:rsid w:val="00143A1A"/>
    <w:rsid w:val="001442EA"/>
    <w:rsid w:val="00152693"/>
    <w:rsid w:val="001546B4"/>
    <w:rsid w:val="00156C49"/>
    <w:rsid w:val="00156CA9"/>
    <w:rsid w:val="00156DB4"/>
    <w:rsid w:val="0015706B"/>
    <w:rsid w:val="001641FD"/>
    <w:rsid w:val="00167192"/>
    <w:rsid w:val="001734EF"/>
    <w:rsid w:val="00181D85"/>
    <w:rsid w:val="00187BE5"/>
    <w:rsid w:val="00190A2D"/>
    <w:rsid w:val="00193A48"/>
    <w:rsid w:val="00195E1A"/>
    <w:rsid w:val="0019623F"/>
    <w:rsid w:val="0019650E"/>
    <w:rsid w:val="001969A3"/>
    <w:rsid w:val="001A4EE7"/>
    <w:rsid w:val="001A54E4"/>
    <w:rsid w:val="001B17E5"/>
    <w:rsid w:val="001C23F0"/>
    <w:rsid w:val="001C41EE"/>
    <w:rsid w:val="001C6344"/>
    <w:rsid w:val="001C7E32"/>
    <w:rsid w:val="001D13C7"/>
    <w:rsid w:val="001D23F1"/>
    <w:rsid w:val="001D3514"/>
    <w:rsid w:val="001E4578"/>
    <w:rsid w:val="001E6771"/>
    <w:rsid w:val="001E681D"/>
    <w:rsid w:val="001F4CC1"/>
    <w:rsid w:val="00202D09"/>
    <w:rsid w:val="002041C0"/>
    <w:rsid w:val="00213547"/>
    <w:rsid w:val="00222297"/>
    <w:rsid w:val="00224F09"/>
    <w:rsid w:val="002455BD"/>
    <w:rsid w:val="00246497"/>
    <w:rsid w:val="00255EB8"/>
    <w:rsid w:val="0025690E"/>
    <w:rsid w:val="002618B4"/>
    <w:rsid w:val="0026439E"/>
    <w:rsid w:val="00271BF1"/>
    <w:rsid w:val="00271FF8"/>
    <w:rsid w:val="00272527"/>
    <w:rsid w:val="00283AA1"/>
    <w:rsid w:val="00286AE3"/>
    <w:rsid w:val="00287294"/>
    <w:rsid w:val="002908E6"/>
    <w:rsid w:val="002B03F3"/>
    <w:rsid w:val="002B5225"/>
    <w:rsid w:val="002B62C9"/>
    <w:rsid w:val="002B764E"/>
    <w:rsid w:val="002C029C"/>
    <w:rsid w:val="002C0FF7"/>
    <w:rsid w:val="002C21C2"/>
    <w:rsid w:val="002C443A"/>
    <w:rsid w:val="002C609C"/>
    <w:rsid w:val="002D0602"/>
    <w:rsid w:val="002D2984"/>
    <w:rsid w:val="002D3934"/>
    <w:rsid w:val="002F4EC1"/>
    <w:rsid w:val="002F71D4"/>
    <w:rsid w:val="00301E12"/>
    <w:rsid w:val="00303679"/>
    <w:rsid w:val="00303A5B"/>
    <w:rsid w:val="00304316"/>
    <w:rsid w:val="00305009"/>
    <w:rsid w:val="00305F1D"/>
    <w:rsid w:val="00310630"/>
    <w:rsid w:val="00315BF6"/>
    <w:rsid w:val="00316A2E"/>
    <w:rsid w:val="003171F2"/>
    <w:rsid w:val="00320A6B"/>
    <w:rsid w:val="00321870"/>
    <w:rsid w:val="00324D36"/>
    <w:rsid w:val="00325774"/>
    <w:rsid w:val="0033026B"/>
    <w:rsid w:val="00334377"/>
    <w:rsid w:val="003406CF"/>
    <w:rsid w:val="00341D4D"/>
    <w:rsid w:val="00343A37"/>
    <w:rsid w:val="00354C74"/>
    <w:rsid w:val="00356C29"/>
    <w:rsid w:val="00357EFC"/>
    <w:rsid w:val="00370153"/>
    <w:rsid w:val="00382875"/>
    <w:rsid w:val="0038527E"/>
    <w:rsid w:val="00390093"/>
    <w:rsid w:val="00394199"/>
    <w:rsid w:val="00394A5B"/>
    <w:rsid w:val="003962D3"/>
    <w:rsid w:val="00396324"/>
    <w:rsid w:val="00397EEA"/>
    <w:rsid w:val="003B01DC"/>
    <w:rsid w:val="003B279A"/>
    <w:rsid w:val="003B312A"/>
    <w:rsid w:val="003C2ED0"/>
    <w:rsid w:val="003C32E1"/>
    <w:rsid w:val="003C3DB0"/>
    <w:rsid w:val="003C7C09"/>
    <w:rsid w:val="003D5B8E"/>
    <w:rsid w:val="003E2665"/>
    <w:rsid w:val="003E748E"/>
    <w:rsid w:val="003F4FCB"/>
    <w:rsid w:val="00402854"/>
    <w:rsid w:val="0041128C"/>
    <w:rsid w:val="00422238"/>
    <w:rsid w:val="00424B96"/>
    <w:rsid w:val="00433CFA"/>
    <w:rsid w:val="004341C4"/>
    <w:rsid w:val="00437493"/>
    <w:rsid w:val="0044601B"/>
    <w:rsid w:val="0045783F"/>
    <w:rsid w:val="004629FD"/>
    <w:rsid w:val="00466B11"/>
    <w:rsid w:val="0048053E"/>
    <w:rsid w:val="00482287"/>
    <w:rsid w:val="00486B9D"/>
    <w:rsid w:val="00493561"/>
    <w:rsid w:val="00495247"/>
    <w:rsid w:val="004954F2"/>
    <w:rsid w:val="0049722D"/>
    <w:rsid w:val="004A030B"/>
    <w:rsid w:val="004A6115"/>
    <w:rsid w:val="004A79AF"/>
    <w:rsid w:val="004B39DD"/>
    <w:rsid w:val="004B6BED"/>
    <w:rsid w:val="004C2C1C"/>
    <w:rsid w:val="004C417D"/>
    <w:rsid w:val="004D3653"/>
    <w:rsid w:val="004D646A"/>
    <w:rsid w:val="004E2DF1"/>
    <w:rsid w:val="004E332F"/>
    <w:rsid w:val="004F52C0"/>
    <w:rsid w:val="005002E3"/>
    <w:rsid w:val="00500409"/>
    <w:rsid w:val="00505960"/>
    <w:rsid w:val="005150C6"/>
    <w:rsid w:val="005151B0"/>
    <w:rsid w:val="00517245"/>
    <w:rsid w:val="00523795"/>
    <w:rsid w:val="005343EB"/>
    <w:rsid w:val="0053569B"/>
    <w:rsid w:val="005360C5"/>
    <w:rsid w:val="005410E2"/>
    <w:rsid w:val="00541288"/>
    <w:rsid w:val="00541F73"/>
    <w:rsid w:val="00544EC7"/>
    <w:rsid w:val="005456EF"/>
    <w:rsid w:val="0054613C"/>
    <w:rsid w:val="00546D40"/>
    <w:rsid w:val="00551EEB"/>
    <w:rsid w:val="005537C5"/>
    <w:rsid w:val="005544D5"/>
    <w:rsid w:val="005569D4"/>
    <w:rsid w:val="00556D60"/>
    <w:rsid w:val="00560A75"/>
    <w:rsid w:val="00561099"/>
    <w:rsid w:val="00561854"/>
    <w:rsid w:val="00562490"/>
    <w:rsid w:val="00563A64"/>
    <w:rsid w:val="00570AC2"/>
    <w:rsid w:val="00571F57"/>
    <w:rsid w:val="00582D22"/>
    <w:rsid w:val="00586E61"/>
    <w:rsid w:val="00587A2B"/>
    <w:rsid w:val="00594A81"/>
    <w:rsid w:val="0059704C"/>
    <w:rsid w:val="005A188C"/>
    <w:rsid w:val="005A218B"/>
    <w:rsid w:val="005A3809"/>
    <w:rsid w:val="005A4560"/>
    <w:rsid w:val="005A4848"/>
    <w:rsid w:val="005A6D92"/>
    <w:rsid w:val="005B3BD1"/>
    <w:rsid w:val="005C0457"/>
    <w:rsid w:val="005D1BF6"/>
    <w:rsid w:val="005E23CB"/>
    <w:rsid w:val="005E5534"/>
    <w:rsid w:val="005E5BDC"/>
    <w:rsid w:val="005E69B7"/>
    <w:rsid w:val="005F1FAB"/>
    <w:rsid w:val="005F508B"/>
    <w:rsid w:val="006025CC"/>
    <w:rsid w:val="0060478A"/>
    <w:rsid w:val="006052C7"/>
    <w:rsid w:val="0060689C"/>
    <w:rsid w:val="00610D31"/>
    <w:rsid w:val="00612853"/>
    <w:rsid w:val="00613028"/>
    <w:rsid w:val="0061501E"/>
    <w:rsid w:val="00621628"/>
    <w:rsid w:val="00624AF4"/>
    <w:rsid w:val="00626D26"/>
    <w:rsid w:val="0063117A"/>
    <w:rsid w:val="00631851"/>
    <w:rsid w:val="006319EA"/>
    <w:rsid w:val="006348A3"/>
    <w:rsid w:val="00636F67"/>
    <w:rsid w:val="00637255"/>
    <w:rsid w:val="00640CCE"/>
    <w:rsid w:val="00647B24"/>
    <w:rsid w:val="00650309"/>
    <w:rsid w:val="0066119A"/>
    <w:rsid w:val="00666D3B"/>
    <w:rsid w:val="0067684C"/>
    <w:rsid w:val="006774FD"/>
    <w:rsid w:val="0068035E"/>
    <w:rsid w:val="00681B38"/>
    <w:rsid w:val="006829EA"/>
    <w:rsid w:val="00682B42"/>
    <w:rsid w:val="00685A01"/>
    <w:rsid w:val="00685DF8"/>
    <w:rsid w:val="006926F3"/>
    <w:rsid w:val="00695A2E"/>
    <w:rsid w:val="006B098F"/>
    <w:rsid w:val="006B71D2"/>
    <w:rsid w:val="006C3C10"/>
    <w:rsid w:val="006C4A85"/>
    <w:rsid w:val="006D2BA5"/>
    <w:rsid w:val="006D4762"/>
    <w:rsid w:val="006D68E0"/>
    <w:rsid w:val="006D7DEE"/>
    <w:rsid w:val="006E0028"/>
    <w:rsid w:val="006E1BE7"/>
    <w:rsid w:val="006E6EAE"/>
    <w:rsid w:val="006F2020"/>
    <w:rsid w:val="006F4FEF"/>
    <w:rsid w:val="00721F24"/>
    <w:rsid w:val="007242FF"/>
    <w:rsid w:val="00725728"/>
    <w:rsid w:val="00730B42"/>
    <w:rsid w:val="0073242E"/>
    <w:rsid w:val="00736A54"/>
    <w:rsid w:val="00742AB2"/>
    <w:rsid w:val="007452F4"/>
    <w:rsid w:val="00746278"/>
    <w:rsid w:val="007553FC"/>
    <w:rsid w:val="00756E26"/>
    <w:rsid w:val="007600B8"/>
    <w:rsid w:val="00760855"/>
    <w:rsid w:val="0076380B"/>
    <w:rsid w:val="00767FE6"/>
    <w:rsid w:val="007738FB"/>
    <w:rsid w:val="0078019B"/>
    <w:rsid w:val="00787D4D"/>
    <w:rsid w:val="007924FB"/>
    <w:rsid w:val="007933EB"/>
    <w:rsid w:val="007958A4"/>
    <w:rsid w:val="007A47CA"/>
    <w:rsid w:val="007A5503"/>
    <w:rsid w:val="007A57A0"/>
    <w:rsid w:val="007B1A3A"/>
    <w:rsid w:val="007C30C2"/>
    <w:rsid w:val="007C417C"/>
    <w:rsid w:val="007C4BB3"/>
    <w:rsid w:val="007C5FB2"/>
    <w:rsid w:val="007C629F"/>
    <w:rsid w:val="007C76D6"/>
    <w:rsid w:val="007D717B"/>
    <w:rsid w:val="007D7BFC"/>
    <w:rsid w:val="007E32DF"/>
    <w:rsid w:val="007E4BB9"/>
    <w:rsid w:val="007E5189"/>
    <w:rsid w:val="007F1E7F"/>
    <w:rsid w:val="007F4D74"/>
    <w:rsid w:val="00803094"/>
    <w:rsid w:val="008051D7"/>
    <w:rsid w:val="008065A3"/>
    <w:rsid w:val="00825C19"/>
    <w:rsid w:val="0083127F"/>
    <w:rsid w:val="0083654D"/>
    <w:rsid w:val="00851DFE"/>
    <w:rsid w:val="008561A7"/>
    <w:rsid w:val="00864325"/>
    <w:rsid w:val="00872D9C"/>
    <w:rsid w:val="00872F0F"/>
    <w:rsid w:val="00872F4C"/>
    <w:rsid w:val="00881580"/>
    <w:rsid w:val="008A0CD7"/>
    <w:rsid w:val="008B311A"/>
    <w:rsid w:val="008B5798"/>
    <w:rsid w:val="008B60D2"/>
    <w:rsid w:val="008C19DB"/>
    <w:rsid w:val="008C339C"/>
    <w:rsid w:val="008C4918"/>
    <w:rsid w:val="008C5012"/>
    <w:rsid w:val="008D2A68"/>
    <w:rsid w:val="008D2B54"/>
    <w:rsid w:val="008D6D37"/>
    <w:rsid w:val="008E1087"/>
    <w:rsid w:val="008E3AC5"/>
    <w:rsid w:val="008E3FFD"/>
    <w:rsid w:val="008E5BEB"/>
    <w:rsid w:val="008E727B"/>
    <w:rsid w:val="008F3CDD"/>
    <w:rsid w:val="009015F2"/>
    <w:rsid w:val="00903388"/>
    <w:rsid w:val="009039EF"/>
    <w:rsid w:val="009105F3"/>
    <w:rsid w:val="00921A3B"/>
    <w:rsid w:val="009232F9"/>
    <w:rsid w:val="00925628"/>
    <w:rsid w:val="009344CC"/>
    <w:rsid w:val="009347AE"/>
    <w:rsid w:val="00936479"/>
    <w:rsid w:val="00942855"/>
    <w:rsid w:val="00944956"/>
    <w:rsid w:val="00950362"/>
    <w:rsid w:val="00950C45"/>
    <w:rsid w:val="00952F95"/>
    <w:rsid w:val="00956ABB"/>
    <w:rsid w:val="009628AA"/>
    <w:rsid w:val="00966298"/>
    <w:rsid w:val="00971F6F"/>
    <w:rsid w:val="00971F8E"/>
    <w:rsid w:val="00972D1F"/>
    <w:rsid w:val="00975969"/>
    <w:rsid w:val="0097675B"/>
    <w:rsid w:val="009854A4"/>
    <w:rsid w:val="00991513"/>
    <w:rsid w:val="0099767F"/>
    <w:rsid w:val="009A1267"/>
    <w:rsid w:val="009A25A9"/>
    <w:rsid w:val="009A349A"/>
    <w:rsid w:val="009A4458"/>
    <w:rsid w:val="009C2B94"/>
    <w:rsid w:val="009C71A4"/>
    <w:rsid w:val="009D2B7B"/>
    <w:rsid w:val="009D5F75"/>
    <w:rsid w:val="009D7231"/>
    <w:rsid w:val="009E7FEC"/>
    <w:rsid w:val="009F3A12"/>
    <w:rsid w:val="009F505B"/>
    <w:rsid w:val="009F76D4"/>
    <w:rsid w:val="00A04656"/>
    <w:rsid w:val="00A071DD"/>
    <w:rsid w:val="00A074E2"/>
    <w:rsid w:val="00A203B5"/>
    <w:rsid w:val="00A23F95"/>
    <w:rsid w:val="00A25E93"/>
    <w:rsid w:val="00A271CC"/>
    <w:rsid w:val="00A32BE0"/>
    <w:rsid w:val="00A35BCB"/>
    <w:rsid w:val="00A44A77"/>
    <w:rsid w:val="00A452A8"/>
    <w:rsid w:val="00A4557D"/>
    <w:rsid w:val="00A47E3A"/>
    <w:rsid w:val="00A51375"/>
    <w:rsid w:val="00A518C0"/>
    <w:rsid w:val="00A616A9"/>
    <w:rsid w:val="00A71E3C"/>
    <w:rsid w:val="00A76CC3"/>
    <w:rsid w:val="00A827D2"/>
    <w:rsid w:val="00A83819"/>
    <w:rsid w:val="00A93721"/>
    <w:rsid w:val="00A93DF0"/>
    <w:rsid w:val="00A94874"/>
    <w:rsid w:val="00AA2F56"/>
    <w:rsid w:val="00AA55E8"/>
    <w:rsid w:val="00AB5415"/>
    <w:rsid w:val="00AB64EF"/>
    <w:rsid w:val="00AC3394"/>
    <w:rsid w:val="00AC5DEA"/>
    <w:rsid w:val="00AC7945"/>
    <w:rsid w:val="00AD16EC"/>
    <w:rsid w:val="00AD2C4A"/>
    <w:rsid w:val="00AE37E1"/>
    <w:rsid w:val="00AE5233"/>
    <w:rsid w:val="00AE6875"/>
    <w:rsid w:val="00AF1817"/>
    <w:rsid w:val="00AF292A"/>
    <w:rsid w:val="00AF35D0"/>
    <w:rsid w:val="00B00983"/>
    <w:rsid w:val="00B010F1"/>
    <w:rsid w:val="00B06EEE"/>
    <w:rsid w:val="00B11370"/>
    <w:rsid w:val="00B15678"/>
    <w:rsid w:val="00B26825"/>
    <w:rsid w:val="00B3175B"/>
    <w:rsid w:val="00B321D6"/>
    <w:rsid w:val="00B33D21"/>
    <w:rsid w:val="00B34052"/>
    <w:rsid w:val="00B342DF"/>
    <w:rsid w:val="00B41E66"/>
    <w:rsid w:val="00B43E43"/>
    <w:rsid w:val="00B50AC6"/>
    <w:rsid w:val="00B519C0"/>
    <w:rsid w:val="00B53F3C"/>
    <w:rsid w:val="00B62071"/>
    <w:rsid w:val="00B64F6C"/>
    <w:rsid w:val="00B73632"/>
    <w:rsid w:val="00B8403D"/>
    <w:rsid w:val="00B853AC"/>
    <w:rsid w:val="00B90CDC"/>
    <w:rsid w:val="00B95252"/>
    <w:rsid w:val="00BA5CF5"/>
    <w:rsid w:val="00BA6BB4"/>
    <w:rsid w:val="00BB49D2"/>
    <w:rsid w:val="00BB504B"/>
    <w:rsid w:val="00BB668B"/>
    <w:rsid w:val="00BC7434"/>
    <w:rsid w:val="00BD29B5"/>
    <w:rsid w:val="00BD3CD4"/>
    <w:rsid w:val="00BD57B3"/>
    <w:rsid w:val="00BE257F"/>
    <w:rsid w:val="00BE459F"/>
    <w:rsid w:val="00BE7FD2"/>
    <w:rsid w:val="00BF0A06"/>
    <w:rsid w:val="00C00168"/>
    <w:rsid w:val="00C00741"/>
    <w:rsid w:val="00C033C5"/>
    <w:rsid w:val="00C06F39"/>
    <w:rsid w:val="00C203F7"/>
    <w:rsid w:val="00C23BEB"/>
    <w:rsid w:val="00C24CAD"/>
    <w:rsid w:val="00C2520B"/>
    <w:rsid w:val="00C2719F"/>
    <w:rsid w:val="00C36CF9"/>
    <w:rsid w:val="00C37740"/>
    <w:rsid w:val="00C37B89"/>
    <w:rsid w:val="00C40DA1"/>
    <w:rsid w:val="00C455B5"/>
    <w:rsid w:val="00C4590B"/>
    <w:rsid w:val="00C508EA"/>
    <w:rsid w:val="00C54387"/>
    <w:rsid w:val="00C577B9"/>
    <w:rsid w:val="00C57E15"/>
    <w:rsid w:val="00C60A42"/>
    <w:rsid w:val="00C60BCD"/>
    <w:rsid w:val="00C618AE"/>
    <w:rsid w:val="00C65472"/>
    <w:rsid w:val="00C71649"/>
    <w:rsid w:val="00C75282"/>
    <w:rsid w:val="00C77317"/>
    <w:rsid w:val="00C85346"/>
    <w:rsid w:val="00C908D4"/>
    <w:rsid w:val="00C97A1A"/>
    <w:rsid w:val="00CA04F1"/>
    <w:rsid w:val="00CA0AB7"/>
    <w:rsid w:val="00CA30D6"/>
    <w:rsid w:val="00CA493F"/>
    <w:rsid w:val="00CB2415"/>
    <w:rsid w:val="00CB56D0"/>
    <w:rsid w:val="00CB7227"/>
    <w:rsid w:val="00CC1925"/>
    <w:rsid w:val="00CC2DA1"/>
    <w:rsid w:val="00CC3609"/>
    <w:rsid w:val="00CC4E45"/>
    <w:rsid w:val="00CC5F97"/>
    <w:rsid w:val="00CD2B96"/>
    <w:rsid w:val="00CD36F8"/>
    <w:rsid w:val="00CD753B"/>
    <w:rsid w:val="00CE1812"/>
    <w:rsid w:val="00CE51D4"/>
    <w:rsid w:val="00CF5D4C"/>
    <w:rsid w:val="00CF753B"/>
    <w:rsid w:val="00D00CD2"/>
    <w:rsid w:val="00D0503B"/>
    <w:rsid w:val="00D07A84"/>
    <w:rsid w:val="00D131F6"/>
    <w:rsid w:val="00D140A7"/>
    <w:rsid w:val="00D14176"/>
    <w:rsid w:val="00D14443"/>
    <w:rsid w:val="00D147F0"/>
    <w:rsid w:val="00D1690C"/>
    <w:rsid w:val="00D2138B"/>
    <w:rsid w:val="00D32243"/>
    <w:rsid w:val="00D347AA"/>
    <w:rsid w:val="00D35FE8"/>
    <w:rsid w:val="00D37044"/>
    <w:rsid w:val="00D509C7"/>
    <w:rsid w:val="00D52BF5"/>
    <w:rsid w:val="00D60CF0"/>
    <w:rsid w:val="00D63126"/>
    <w:rsid w:val="00D640D6"/>
    <w:rsid w:val="00D805FB"/>
    <w:rsid w:val="00D8394D"/>
    <w:rsid w:val="00D8681E"/>
    <w:rsid w:val="00D87927"/>
    <w:rsid w:val="00D92D2F"/>
    <w:rsid w:val="00D95580"/>
    <w:rsid w:val="00DA29BC"/>
    <w:rsid w:val="00DA5055"/>
    <w:rsid w:val="00DB1133"/>
    <w:rsid w:val="00DB6B95"/>
    <w:rsid w:val="00DB786B"/>
    <w:rsid w:val="00DB7AC8"/>
    <w:rsid w:val="00DB7FCC"/>
    <w:rsid w:val="00DC019E"/>
    <w:rsid w:val="00DC309F"/>
    <w:rsid w:val="00DC7E43"/>
    <w:rsid w:val="00DD2309"/>
    <w:rsid w:val="00DD2731"/>
    <w:rsid w:val="00DD4F4B"/>
    <w:rsid w:val="00DD773A"/>
    <w:rsid w:val="00DE0FF9"/>
    <w:rsid w:val="00DE2FEB"/>
    <w:rsid w:val="00DE73E7"/>
    <w:rsid w:val="00DF1065"/>
    <w:rsid w:val="00DF6F0C"/>
    <w:rsid w:val="00DF7E89"/>
    <w:rsid w:val="00E05AED"/>
    <w:rsid w:val="00E06C59"/>
    <w:rsid w:val="00E10966"/>
    <w:rsid w:val="00E10CFD"/>
    <w:rsid w:val="00E114DE"/>
    <w:rsid w:val="00E16E15"/>
    <w:rsid w:val="00E20984"/>
    <w:rsid w:val="00E20A84"/>
    <w:rsid w:val="00E2238A"/>
    <w:rsid w:val="00E25D1D"/>
    <w:rsid w:val="00E27757"/>
    <w:rsid w:val="00E3114A"/>
    <w:rsid w:val="00E31EC8"/>
    <w:rsid w:val="00E35B0A"/>
    <w:rsid w:val="00E41351"/>
    <w:rsid w:val="00E50779"/>
    <w:rsid w:val="00E50DEE"/>
    <w:rsid w:val="00E54EDE"/>
    <w:rsid w:val="00E55263"/>
    <w:rsid w:val="00E66BA2"/>
    <w:rsid w:val="00E76A1E"/>
    <w:rsid w:val="00E778AC"/>
    <w:rsid w:val="00E80828"/>
    <w:rsid w:val="00E81433"/>
    <w:rsid w:val="00E918EE"/>
    <w:rsid w:val="00E95939"/>
    <w:rsid w:val="00E9762D"/>
    <w:rsid w:val="00E9794C"/>
    <w:rsid w:val="00EA4A0A"/>
    <w:rsid w:val="00EA60AE"/>
    <w:rsid w:val="00EA74CE"/>
    <w:rsid w:val="00EB1314"/>
    <w:rsid w:val="00EB1D92"/>
    <w:rsid w:val="00EB2C66"/>
    <w:rsid w:val="00EB4E5C"/>
    <w:rsid w:val="00EB7066"/>
    <w:rsid w:val="00EC198B"/>
    <w:rsid w:val="00EC397E"/>
    <w:rsid w:val="00ED193A"/>
    <w:rsid w:val="00ED2EED"/>
    <w:rsid w:val="00ED3316"/>
    <w:rsid w:val="00ED6074"/>
    <w:rsid w:val="00ED6A7F"/>
    <w:rsid w:val="00EE455C"/>
    <w:rsid w:val="00EE66F1"/>
    <w:rsid w:val="00EF27DE"/>
    <w:rsid w:val="00EF4805"/>
    <w:rsid w:val="00F01061"/>
    <w:rsid w:val="00F0236D"/>
    <w:rsid w:val="00F07108"/>
    <w:rsid w:val="00F10FCB"/>
    <w:rsid w:val="00F1718F"/>
    <w:rsid w:val="00F260A4"/>
    <w:rsid w:val="00F32CCC"/>
    <w:rsid w:val="00F356EC"/>
    <w:rsid w:val="00F3769A"/>
    <w:rsid w:val="00F410BC"/>
    <w:rsid w:val="00F42B86"/>
    <w:rsid w:val="00F42DCC"/>
    <w:rsid w:val="00F45B98"/>
    <w:rsid w:val="00F461D9"/>
    <w:rsid w:val="00F5093E"/>
    <w:rsid w:val="00F5119C"/>
    <w:rsid w:val="00F54056"/>
    <w:rsid w:val="00F56A91"/>
    <w:rsid w:val="00F621A9"/>
    <w:rsid w:val="00F63D05"/>
    <w:rsid w:val="00F86BBE"/>
    <w:rsid w:val="00F9069B"/>
    <w:rsid w:val="00F93819"/>
    <w:rsid w:val="00FA23C1"/>
    <w:rsid w:val="00FA35CE"/>
    <w:rsid w:val="00FA7830"/>
    <w:rsid w:val="00FB6670"/>
    <w:rsid w:val="00FB6FE2"/>
    <w:rsid w:val="00FC3CD7"/>
    <w:rsid w:val="00FD2CFF"/>
    <w:rsid w:val="00FE286C"/>
    <w:rsid w:val="00FE38FC"/>
    <w:rsid w:val="00FE43FD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1B38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1B38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D6"/>
    <w:rPr>
      <w:sz w:val="18"/>
      <w:szCs w:val="18"/>
    </w:rPr>
  </w:style>
  <w:style w:type="character" w:customStyle="1" w:styleId="apple-converted-space">
    <w:name w:val="apple-converted-space"/>
    <w:basedOn w:val="a0"/>
    <w:rsid w:val="00303A5B"/>
  </w:style>
  <w:style w:type="character" w:customStyle="1" w:styleId="tran">
    <w:name w:val="tran"/>
    <w:basedOn w:val="a0"/>
    <w:rsid w:val="00303A5B"/>
  </w:style>
  <w:style w:type="character" w:customStyle="1" w:styleId="transsent">
    <w:name w:val="transsent"/>
    <w:basedOn w:val="a0"/>
    <w:rsid w:val="00085020"/>
  </w:style>
  <w:style w:type="character" w:customStyle="1" w:styleId="skip">
    <w:name w:val="skip"/>
    <w:basedOn w:val="a0"/>
    <w:rsid w:val="0078019B"/>
  </w:style>
  <w:style w:type="paragraph" w:styleId="a5">
    <w:name w:val="Balloon Text"/>
    <w:basedOn w:val="a"/>
    <w:link w:val="Char1"/>
    <w:uiPriority w:val="99"/>
    <w:semiHidden/>
    <w:unhideWhenUsed/>
    <w:rsid w:val="00515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B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854A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854A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854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854A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854A4"/>
    <w:rPr>
      <w:b/>
      <w:bCs/>
    </w:rPr>
  </w:style>
  <w:style w:type="paragraph" w:styleId="a9">
    <w:name w:val="Revision"/>
    <w:hidden/>
    <w:uiPriority w:val="99"/>
    <w:semiHidden/>
    <w:rsid w:val="007A57A0"/>
  </w:style>
  <w:style w:type="paragraph" w:styleId="aa">
    <w:name w:val="List Paragraph"/>
    <w:basedOn w:val="a"/>
    <w:uiPriority w:val="34"/>
    <w:qFormat/>
    <w:rsid w:val="006E1BE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1B38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81B38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paragraph" w:customStyle="1" w:styleId="src">
    <w:name w:val="src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_tgt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8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80EE-F430-427F-9042-25A3C4D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lichunqing</cp:lastModifiedBy>
  <cp:revision>37</cp:revision>
  <cp:lastPrinted>2021-01-19T12:26:00Z</cp:lastPrinted>
  <dcterms:created xsi:type="dcterms:W3CDTF">2021-04-20T08:09:00Z</dcterms:created>
  <dcterms:modified xsi:type="dcterms:W3CDTF">2021-10-11T12:16:00Z</dcterms:modified>
</cp:coreProperties>
</file>