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ECADE" w14:textId="6DCDCF8F" w:rsidR="00F977A9" w:rsidRDefault="00F977A9" w:rsidP="00F977A9">
      <w:pPr>
        <w:pStyle w:val="Heading1"/>
      </w:pPr>
      <w:r>
        <w:t>A. M</w:t>
      </w:r>
      <w:r w:rsidRPr="00DD4B3D">
        <w:t>icroglial activation and Aβ burden</w:t>
      </w:r>
      <w:r>
        <w:t xml:space="preserve"> analysis.</w:t>
      </w:r>
    </w:p>
    <w:p w14:paraId="0BA0A593" w14:textId="77777777" w:rsidR="00F977A9" w:rsidRPr="00F977A9" w:rsidRDefault="00F977A9" w:rsidP="00F977A9"/>
    <w:p w14:paraId="0991075A" w14:textId="1A40C47F" w:rsidR="002E3A2F" w:rsidRDefault="00F977A9" w:rsidP="00F977A9">
      <w:pPr>
        <w:spacing w:line="480" w:lineRule="auto"/>
        <w:rPr>
          <w:rFonts w:asciiTheme="majorBidi" w:hAnsiTheme="majorBidi" w:cstheme="majorBidi"/>
          <w:b/>
          <w:bCs/>
        </w:rPr>
      </w:pPr>
      <w:r w:rsidRPr="00656A22">
        <w:rPr>
          <w:rFonts w:asciiTheme="majorBidi" w:hAnsiTheme="majorBidi" w:cstheme="majorBidi"/>
          <w:b/>
          <w:bCs/>
          <w:highlight w:val="yellow"/>
        </w:rPr>
        <w:t>A1. Stereology and ELISA analysis showed MDP had no effect</w:t>
      </w:r>
      <w:r w:rsidRPr="007F40C4">
        <w:rPr>
          <w:rFonts w:asciiTheme="majorBidi" w:hAnsiTheme="majorBidi" w:cstheme="majorBidi"/>
          <w:b/>
          <w:bCs/>
          <w:highlight w:val="yellow"/>
        </w:rPr>
        <w:t xml:space="preserve"> on </w:t>
      </w:r>
      <w:r w:rsidRPr="00656A22">
        <w:rPr>
          <w:rFonts w:asciiTheme="majorBidi" w:hAnsiTheme="majorBidi" w:cstheme="majorBidi"/>
          <w:b/>
          <w:bCs/>
          <w:highlight w:val="yellow"/>
        </w:rPr>
        <w:t>microglial activation and Aβ burden in both high frequency (figure S1) and low frequency (data not shown) protocols.</w:t>
      </w:r>
    </w:p>
    <w:p w14:paraId="23506756" w14:textId="1BB88B4F" w:rsidR="00DD4B3D" w:rsidRDefault="001A5390" w:rsidP="00B91E44">
      <w:pPr>
        <w:spacing w:line="480" w:lineRule="auto"/>
        <w:rPr>
          <w:rFonts w:asciiTheme="majorBidi" w:hAnsiTheme="majorBidi" w:cstheme="majorBidi"/>
          <w:b/>
          <w:bCs/>
        </w:rPr>
      </w:pPr>
      <w:r>
        <w:rPr>
          <w:rFonts w:asciiTheme="majorBidi" w:hAnsiTheme="majorBidi" w:cstheme="majorBidi"/>
          <w:b/>
          <w:bCs/>
          <w:noProof/>
        </w:rPr>
        <w:drawing>
          <wp:inline distT="0" distB="0" distL="0" distR="0" wp14:anchorId="11C5135E" wp14:editId="236C0AF1">
            <wp:extent cx="5943600" cy="467169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 supplement.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671695"/>
                    </a:xfrm>
                    <a:prstGeom prst="rect">
                      <a:avLst/>
                    </a:prstGeom>
                  </pic:spPr>
                </pic:pic>
              </a:graphicData>
            </a:graphic>
          </wp:inline>
        </w:drawing>
      </w:r>
    </w:p>
    <w:p w14:paraId="603DFDEF" w14:textId="753ED936" w:rsidR="00DD4B3D" w:rsidRPr="00AD7213" w:rsidRDefault="00DD4B3D" w:rsidP="00DD4B3D">
      <w:pPr>
        <w:spacing w:line="480" w:lineRule="auto"/>
        <w:rPr>
          <w:rFonts w:asciiTheme="majorBidi" w:hAnsiTheme="majorBidi" w:cstheme="majorBidi"/>
          <w:highlight w:val="yellow"/>
        </w:rPr>
      </w:pPr>
      <w:r w:rsidRPr="00656A22">
        <w:rPr>
          <w:rFonts w:asciiTheme="majorBidi" w:hAnsiTheme="majorBidi" w:cstheme="majorBidi"/>
        </w:rPr>
        <w:t xml:space="preserve">(A) and (B) The average number of Iba1+ associated to 6E10+ plaques, and the average number of 6E10+ plaques respectively to the hippocampus area (um2) of APP mice treated with vehicle and MDP </w:t>
      </w:r>
      <w:r w:rsidRPr="00AD7213">
        <w:rPr>
          <w:rFonts w:asciiTheme="majorBidi" w:hAnsiTheme="majorBidi" w:cstheme="majorBidi"/>
          <w:highlight w:val="yellow"/>
        </w:rPr>
        <w:t>(</w:t>
      </w:r>
      <w:r w:rsidRPr="00AD7213">
        <w:rPr>
          <w:rFonts w:asciiTheme="majorBidi" w:hAnsiTheme="majorBidi" w:cstheme="majorBidi"/>
          <w:sz w:val="24"/>
          <w:szCs w:val="24"/>
          <w:highlight w:val="yellow"/>
          <w:lang w:val="en-US" w:bidi="fa-IR"/>
        </w:rPr>
        <w:t>n=10 mice per group</w:t>
      </w:r>
      <w:r w:rsidR="00A44AB9" w:rsidRPr="00AD7213">
        <w:rPr>
          <w:rFonts w:asciiTheme="majorBidi" w:hAnsiTheme="majorBidi" w:cstheme="majorBidi"/>
          <w:sz w:val="24"/>
          <w:szCs w:val="24"/>
          <w:highlight w:val="yellow"/>
          <w:lang w:val="en-US" w:bidi="fa-IR"/>
        </w:rPr>
        <w:t xml:space="preserve">, </w:t>
      </w:r>
      <w:r w:rsidRPr="00AD7213">
        <w:rPr>
          <w:rFonts w:asciiTheme="majorBidi" w:hAnsiTheme="majorBidi" w:cstheme="majorBidi"/>
          <w:sz w:val="24"/>
          <w:szCs w:val="24"/>
          <w:highlight w:val="yellow"/>
          <w:lang w:val="en-US" w:bidi="fa-IR"/>
        </w:rPr>
        <w:t xml:space="preserve">and </w:t>
      </w:r>
      <w:r w:rsidR="005F38AB">
        <w:rPr>
          <w:rFonts w:asciiTheme="majorBidi" w:hAnsiTheme="majorBidi" w:cstheme="majorBidi"/>
          <w:sz w:val="24"/>
          <w:szCs w:val="24"/>
          <w:highlight w:val="yellow"/>
          <w:lang w:val="en-US" w:bidi="fa-IR"/>
        </w:rPr>
        <w:t>4-</w:t>
      </w:r>
      <w:r w:rsidRPr="00AD7213">
        <w:rPr>
          <w:rFonts w:asciiTheme="majorBidi" w:hAnsiTheme="majorBidi" w:cstheme="majorBidi"/>
          <w:sz w:val="24"/>
          <w:szCs w:val="24"/>
          <w:highlight w:val="yellow"/>
          <w:lang w:val="en-US" w:bidi="fa-IR"/>
        </w:rPr>
        <w:t xml:space="preserve">6 </w:t>
      </w:r>
      <w:r w:rsidR="00A44AB9" w:rsidRPr="00AD7213">
        <w:rPr>
          <w:rFonts w:asciiTheme="majorBidi" w:hAnsiTheme="majorBidi" w:cstheme="majorBidi"/>
          <w:sz w:val="24"/>
          <w:szCs w:val="24"/>
          <w:highlight w:val="yellow"/>
          <w:lang w:val="en-US" w:bidi="fa-IR"/>
        </w:rPr>
        <w:t>sections</w:t>
      </w:r>
      <w:r w:rsidRPr="00AD7213">
        <w:rPr>
          <w:rFonts w:asciiTheme="majorBidi" w:hAnsiTheme="majorBidi" w:cstheme="majorBidi"/>
          <w:sz w:val="24"/>
          <w:szCs w:val="24"/>
          <w:highlight w:val="yellow"/>
          <w:lang w:val="en-US" w:bidi="fa-IR"/>
        </w:rPr>
        <w:t>/</w:t>
      </w:r>
      <w:r w:rsidR="005F38AB">
        <w:rPr>
          <w:rFonts w:asciiTheme="majorBidi" w:hAnsiTheme="majorBidi" w:cstheme="majorBidi"/>
          <w:sz w:val="24"/>
          <w:szCs w:val="24"/>
          <w:highlight w:val="yellow"/>
          <w:lang w:val="en-US" w:bidi="fa-IR"/>
        </w:rPr>
        <w:t>mouse</w:t>
      </w:r>
      <w:r w:rsidRPr="00AD7213">
        <w:rPr>
          <w:rFonts w:asciiTheme="majorBidi" w:hAnsiTheme="majorBidi" w:cstheme="majorBidi"/>
          <w:sz w:val="24"/>
          <w:szCs w:val="24"/>
          <w:highlight w:val="yellow"/>
          <w:lang w:val="en-US" w:bidi="fa-IR"/>
        </w:rPr>
        <w:t>)</w:t>
      </w:r>
      <w:r w:rsidRPr="00AD7213">
        <w:rPr>
          <w:rFonts w:asciiTheme="majorBidi" w:hAnsiTheme="majorBidi" w:cstheme="majorBidi"/>
          <w:highlight w:val="yellow"/>
        </w:rPr>
        <w:t>.</w:t>
      </w:r>
    </w:p>
    <w:p w14:paraId="45439BC1" w14:textId="108C21D5" w:rsidR="00DD4B3D" w:rsidRPr="00AD7213" w:rsidRDefault="00DD4B3D" w:rsidP="00DD4B3D">
      <w:pPr>
        <w:spacing w:line="480" w:lineRule="auto"/>
        <w:rPr>
          <w:rFonts w:asciiTheme="majorBidi" w:hAnsiTheme="majorBidi" w:cstheme="majorBidi"/>
          <w:highlight w:val="yellow"/>
        </w:rPr>
      </w:pPr>
      <w:r w:rsidRPr="00656A22">
        <w:rPr>
          <w:rFonts w:asciiTheme="majorBidi" w:hAnsiTheme="majorBidi" w:cstheme="majorBidi"/>
        </w:rPr>
        <w:lastRenderedPageBreak/>
        <w:t xml:space="preserve"> (C) and (D) The average number of Iba1+ associated to 6E10+ plaques, and the average number of 6E10+ plaques respectively to cortex area (um2) of APP mice treated with vehicle and MDP</w:t>
      </w:r>
      <w:r w:rsidR="00A44AB9" w:rsidRPr="00AD7213">
        <w:rPr>
          <w:rFonts w:asciiTheme="majorBidi" w:hAnsiTheme="majorBidi" w:cstheme="majorBidi"/>
          <w:highlight w:val="yellow"/>
        </w:rPr>
        <w:t>(</w:t>
      </w:r>
      <w:r w:rsidR="00A44AB9" w:rsidRPr="00AD7213">
        <w:rPr>
          <w:rFonts w:asciiTheme="majorBidi" w:hAnsiTheme="majorBidi" w:cstheme="majorBidi"/>
          <w:sz w:val="24"/>
          <w:szCs w:val="24"/>
          <w:highlight w:val="yellow"/>
          <w:lang w:val="en-US" w:bidi="fa-IR"/>
        </w:rPr>
        <w:t xml:space="preserve">n=10 mice per group, and </w:t>
      </w:r>
      <w:r w:rsidR="005F38AB">
        <w:rPr>
          <w:rFonts w:asciiTheme="majorBidi" w:hAnsiTheme="majorBidi" w:cstheme="majorBidi"/>
          <w:sz w:val="24"/>
          <w:szCs w:val="24"/>
          <w:highlight w:val="yellow"/>
          <w:lang w:val="en-US" w:bidi="fa-IR"/>
        </w:rPr>
        <w:t>4-</w:t>
      </w:r>
      <w:r w:rsidR="00A44AB9" w:rsidRPr="00AD7213">
        <w:rPr>
          <w:rFonts w:asciiTheme="majorBidi" w:hAnsiTheme="majorBidi" w:cstheme="majorBidi"/>
          <w:sz w:val="24"/>
          <w:szCs w:val="24"/>
          <w:highlight w:val="yellow"/>
          <w:lang w:val="en-US" w:bidi="fa-IR"/>
        </w:rPr>
        <w:t>6 sections/</w:t>
      </w:r>
      <w:r w:rsidR="005F38AB">
        <w:rPr>
          <w:rFonts w:asciiTheme="majorBidi" w:hAnsiTheme="majorBidi" w:cstheme="majorBidi"/>
          <w:sz w:val="24"/>
          <w:szCs w:val="24"/>
          <w:highlight w:val="yellow"/>
          <w:lang w:val="en-US" w:bidi="fa-IR"/>
        </w:rPr>
        <w:t>mouse</w:t>
      </w:r>
      <w:r w:rsidR="00A44AB9" w:rsidRPr="00AD7213">
        <w:rPr>
          <w:rFonts w:asciiTheme="majorBidi" w:hAnsiTheme="majorBidi" w:cstheme="majorBidi"/>
          <w:sz w:val="24"/>
          <w:szCs w:val="24"/>
          <w:highlight w:val="yellow"/>
          <w:lang w:val="en-US" w:bidi="fa-IR"/>
        </w:rPr>
        <w:t>)</w:t>
      </w:r>
      <w:r w:rsidRPr="00AD7213">
        <w:rPr>
          <w:rFonts w:asciiTheme="majorBidi" w:hAnsiTheme="majorBidi" w:cstheme="majorBidi"/>
          <w:highlight w:val="yellow"/>
        </w:rPr>
        <w:t>.</w:t>
      </w:r>
    </w:p>
    <w:p w14:paraId="4DBB2476" w14:textId="4009FA04" w:rsidR="00DD4B3D" w:rsidRPr="00656A22" w:rsidRDefault="00DD4B3D" w:rsidP="00DC688D">
      <w:pPr>
        <w:spacing w:line="480" w:lineRule="auto"/>
        <w:rPr>
          <w:rFonts w:asciiTheme="majorBidi" w:hAnsiTheme="majorBidi" w:cstheme="majorBidi"/>
        </w:rPr>
      </w:pPr>
      <w:r w:rsidRPr="00656A22">
        <w:rPr>
          <w:rFonts w:asciiTheme="majorBidi" w:hAnsiTheme="majorBidi" w:cstheme="majorBidi"/>
        </w:rPr>
        <w:t xml:space="preserve"> (E) and (F) Representative iba1 (red), 6E10 (green), and DAPI (blue)-immunoreactivity in the hippocampus of APP mice treated with vehicle (left) and MDP (right) (Scale bar, 20μm)</w:t>
      </w:r>
      <w:r w:rsidR="00DC688D" w:rsidRPr="00656A22">
        <w:rPr>
          <w:rFonts w:asciiTheme="majorBidi" w:hAnsiTheme="majorBidi" w:cstheme="majorBidi"/>
        </w:rPr>
        <w:t>.</w:t>
      </w:r>
    </w:p>
    <w:p w14:paraId="1F72AB8B" w14:textId="2BAFD7DA" w:rsidR="00DD4B3D" w:rsidRPr="00656A22" w:rsidRDefault="00DD4B3D" w:rsidP="00A44AB9">
      <w:pPr>
        <w:spacing w:line="480" w:lineRule="auto"/>
        <w:rPr>
          <w:rFonts w:asciiTheme="majorBidi" w:hAnsiTheme="majorBidi" w:cstheme="majorBidi"/>
        </w:rPr>
      </w:pPr>
      <w:r w:rsidRPr="00656A22">
        <w:rPr>
          <w:rFonts w:asciiTheme="majorBidi" w:hAnsiTheme="majorBidi" w:cstheme="majorBidi"/>
        </w:rPr>
        <w:t>(G) and (H) Representative 6E10 (red)-immunoreactivity in the hippocampus of APP mice treated with vehicle (left) and MDP (right) (Scale bar, 100μm)</w:t>
      </w:r>
      <w:r w:rsidR="00A44AB9" w:rsidRPr="00656A22">
        <w:rPr>
          <w:rFonts w:asciiTheme="majorBidi" w:hAnsiTheme="majorBidi" w:cstheme="majorBidi"/>
        </w:rPr>
        <w:t>.</w:t>
      </w:r>
    </w:p>
    <w:p w14:paraId="0D2BC3D3" w14:textId="6FD682FE" w:rsidR="00DD4B3D" w:rsidRPr="00A44AB9" w:rsidRDefault="00DD4B3D" w:rsidP="00A44AB9">
      <w:pPr>
        <w:spacing w:line="480" w:lineRule="auto"/>
        <w:rPr>
          <w:rFonts w:asciiTheme="majorBidi" w:hAnsiTheme="majorBidi" w:cstheme="majorBidi"/>
          <w:highlight w:val="yellow"/>
        </w:rPr>
      </w:pPr>
      <w:r w:rsidRPr="00DD4B3D">
        <w:rPr>
          <w:rFonts w:asciiTheme="majorBidi" w:hAnsiTheme="majorBidi" w:cstheme="majorBidi"/>
        </w:rPr>
        <w:t>(I) Aβ40 and Aβ42 concentrations (picogram/ml) in the cortex and hippocampus of APP mice treated with vehicle and MDP were quantified by ELISA</w:t>
      </w:r>
      <w:r w:rsidR="00A44AB9">
        <w:rPr>
          <w:rFonts w:asciiTheme="majorBidi" w:hAnsiTheme="majorBidi" w:cstheme="majorBidi"/>
        </w:rPr>
        <w:t xml:space="preserve"> </w:t>
      </w:r>
      <w:r w:rsidR="00A44AB9" w:rsidRPr="00AD7213">
        <w:rPr>
          <w:rFonts w:asciiTheme="majorBidi" w:hAnsiTheme="majorBidi" w:cstheme="majorBidi"/>
          <w:highlight w:val="yellow"/>
        </w:rPr>
        <w:t>(</w:t>
      </w:r>
      <w:r w:rsidR="00A44AB9" w:rsidRPr="00AD7213">
        <w:rPr>
          <w:rFonts w:asciiTheme="majorBidi" w:hAnsiTheme="majorBidi" w:cstheme="majorBidi"/>
          <w:sz w:val="24"/>
          <w:szCs w:val="24"/>
          <w:highlight w:val="yellow"/>
          <w:lang w:val="en-US" w:bidi="fa-IR"/>
        </w:rPr>
        <w:t>n=10 mice per group)</w:t>
      </w:r>
      <w:r w:rsidR="00A44AB9" w:rsidRPr="00AD7213">
        <w:rPr>
          <w:rFonts w:asciiTheme="majorBidi" w:hAnsiTheme="majorBidi" w:cstheme="majorBidi"/>
          <w:highlight w:val="yellow"/>
        </w:rPr>
        <w:t>.</w:t>
      </w:r>
    </w:p>
    <w:p w14:paraId="63041E56" w14:textId="553A4DBB" w:rsidR="00DD4B3D" w:rsidRPr="00A44AB9" w:rsidRDefault="00DD4B3D" w:rsidP="00A44AB9">
      <w:pPr>
        <w:spacing w:line="480" w:lineRule="auto"/>
        <w:rPr>
          <w:rFonts w:asciiTheme="majorBidi" w:hAnsiTheme="majorBidi" w:cstheme="majorBidi"/>
          <w:highlight w:val="yellow"/>
        </w:rPr>
      </w:pPr>
      <w:r w:rsidRPr="00DD4B3D">
        <w:rPr>
          <w:rFonts w:asciiTheme="majorBidi" w:hAnsiTheme="majorBidi" w:cstheme="majorBidi"/>
        </w:rPr>
        <w:t>(J) Aβ40 and Aβ42 ratios in the cortex and hippocampus of APP mice treated with vehicle and MDP, which were quantified by ELISA</w:t>
      </w:r>
      <w:r w:rsidR="00A44AB9">
        <w:rPr>
          <w:rFonts w:asciiTheme="majorBidi" w:hAnsiTheme="majorBidi" w:cstheme="majorBidi"/>
        </w:rPr>
        <w:t xml:space="preserve"> </w:t>
      </w:r>
      <w:r w:rsidR="00A44AB9" w:rsidRPr="00AD7213">
        <w:rPr>
          <w:rFonts w:asciiTheme="majorBidi" w:hAnsiTheme="majorBidi" w:cstheme="majorBidi"/>
          <w:highlight w:val="yellow"/>
        </w:rPr>
        <w:t>(</w:t>
      </w:r>
      <w:r w:rsidR="00A44AB9" w:rsidRPr="00AD7213">
        <w:rPr>
          <w:rFonts w:asciiTheme="majorBidi" w:hAnsiTheme="majorBidi" w:cstheme="majorBidi"/>
          <w:sz w:val="24"/>
          <w:szCs w:val="24"/>
          <w:highlight w:val="yellow"/>
          <w:lang w:val="en-US" w:bidi="fa-IR"/>
        </w:rPr>
        <w:t>n=10 mice per group)</w:t>
      </w:r>
      <w:r w:rsidR="00A44AB9" w:rsidRPr="00AD7213">
        <w:rPr>
          <w:rFonts w:asciiTheme="majorBidi" w:hAnsiTheme="majorBidi" w:cstheme="majorBidi"/>
          <w:highlight w:val="yellow"/>
        </w:rPr>
        <w:t>.</w:t>
      </w:r>
    </w:p>
    <w:p w14:paraId="49562DD8" w14:textId="0A298A45" w:rsidR="00B242C3" w:rsidRDefault="00B242C3" w:rsidP="00B91E44">
      <w:pPr>
        <w:spacing w:line="480" w:lineRule="auto"/>
        <w:rPr>
          <w:rFonts w:asciiTheme="majorBidi" w:hAnsiTheme="majorBidi" w:cstheme="majorBidi"/>
          <w:b/>
          <w:bCs/>
        </w:rPr>
      </w:pPr>
    </w:p>
    <w:p w14:paraId="76AA2186" w14:textId="77D5152D" w:rsidR="00B242C3" w:rsidRDefault="00B242C3" w:rsidP="00B91E44">
      <w:pPr>
        <w:spacing w:line="480" w:lineRule="auto"/>
        <w:rPr>
          <w:rFonts w:asciiTheme="majorBidi" w:hAnsiTheme="majorBidi" w:cstheme="majorBidi"/>
          <w:b/>
          <w:bCs/>
        </w:rPr>
      </w:pPr>
    </w:p>
    <w:p w14:paraId="449A5728" w14:textId="700E8474" w:rsidR="00B242C3" w:rsidRDefault="00B242C3" w:rsidP="00B91E44">
      <w:pPr>
        <w:spacing w:line="480" w:lineRule="auto"/>
        <w:rPr>
          <w:rFonts w:asciiTheme="majorBidi" w:hAnsiTheme="majorBidi" w:cstheme="majorBidi"/>
          <w:b/>
          <w:bCs/>
        </w:rPr>
      </w:pPr>
    </w:p>
    <w:p w14:paraId="77FC37B2" w14:textId="21F194B0" w:rsidR="00B242C3" w:rsidRDefault="00B242C3" w:rsidP="00B91E44">
      <w:pPr>
        <w:spacing w:line="480" w:lineRule="auto"/>
        <w:rPr>
          <w:rFonts w:asciiTheme="majorBidi" w:hAnsiTheme="majorBidi" w:cstheme="majorBidi"/>
          <w:b/>
          <w:bCs/>
        </w:rPr>
      </w:pPr>
    </w:p>
    <w:p w14:paraId="4BE1E281" w14:textId="33BB3C0A" w:rsidR="00B242C3" w:rsidRDefault="00B242C3" w:rsidP="00B91E44">
      <w:pPr>
        <w:spacing w:line="480" w:lineRule="auto"/>
        <w:rPr>
          <w:rFonts w:asciiTheme="majorBidi" w:hAnsiTheme="majorBidi" w:cstheme="majorBidi"/>
          <w:b/>
          <w:bCs/>
        </w:rPr>
      </w:pPr>
    </w:p>
    <w:p w14:paraId="30FB28EB" w14:textId="2E5D9EAE" w:rsidR="00B242C3" w:rsidRDefault="00B242C3" w:rsidP="00B91E44">
      <w:pPr>
        <w:spacing w:line="480" w:lineRule="auto"/>
        <w:rPr>
          <w:rFonts w:asciiTheme="majorBidi" w:hAnsiTheme="majorBidi" w:cstheme="majorBidi"/>
          <w:b/>
          <w:bCs/>
        </w:rPr>
      </w:pPr>
    </w:p>
    <w:p w14:paraId="09926A65" w14:textId="41BF0052" w:rsidR="00B242C3" w:rsidRDefault="00B242C3" w:rsidP="00106407">
      <w:pPr>
        <w:pStyle w:val="Heading1"/>
        <w:rPr>
          <w:rFonts w:asciiTheme="majorBidi" w:hAnsiTheme="majorBidi"/>
        </w:rPr>
      </w:pPr>
    </w:p>
    <w:p w14:paraId="577C2EDE" w14:textId="521ED5C3" w:rsidR="00F977A9" w:rsidRDefault="00F977A9" w:rsidP="00F977A9"/>
    <w:p w14:paraId="03FB6EE3" w14:textId="77777777" w:rsidR="00F977A9" w:rsidRPr="00F977A9" w:rsidRDefault="00F977A9" w:rsidP="00F977A9"/>
    <w:p w14:paraId="1BD3C06B" w14:textId="09CC6106" w:rsidR="00B91E44" w:rsidRPr="00106407" w:rsidRDefault="00F977A9" w:rsidP="00106407">
      <w:pPr>
        <w:pStyle w:val="Heading1"/>
        <w:rPr>
          <w:rFonts w:asciiTheme="majorBidi" w:hAnsiTheme="majorBidi"/>
        </w:rPr>
      </w:pPr>
      <w:r>
        <w:rPr>
          <w:rFonts w:asciiTheme="majorBidi" w:hAnsiTheme="majorBidi"/>
        </w:rPr>
        <w:t xml:space="preserve">B. </w:t>
      </w:r>
      <w:r w:rsidR="00B91E44" w:rsidRPr="00106407">
        <w:rPr>
          <w:rFonts w:asciiTheme="majorBidi" w:hAnsiTheme="majorBidi"/>
        </w:rPr>
        <w:t xml:space="preserve">Flow cytometry </w:t>
      </w:r>
    </w:p>
    <w:p w14:paraId="25898F9B" w14:textId="77777777" w:rsidR="00106407" w:rsidRDefault="00106407" w:rsidP="00106407">
      <w:pPr>
        <w:pStyle w:val="Heading2"/>
        <w:rPr>
          <w:rFonts w:asciiTheme="majorBidi" w:hAnsiTheme="majorBidi"/>
          <w:lang w:val="en-US"/>
        </w:rPr>
      </w:pPr>
    </w:p>
    <w:p w14:paraId="07AC31A8" w14:textId="5209D3A8" w:rsidR="00106407" w:rsidRPr="00B835F6" w:rsidRDefault="00F977A9" w:rsidP="00B835F6">
      <w:pPr>
        <w:rPr>
          <w:rFonts w:asciiTheme="majorBidi" w:hAnsiTheme="majorBidi" w:cstheme="majorBidi"/>
          <w:b/>
          <w:bCs/>
        </w:rPr>
      </w:pPr>
      <w:r w:rsidRPr="00F977A9">
        <w:rPr>
          <w:rFonts w:asciiTheme="majorBidi" w:hAnsiTheme="majorBidi" w:cstheme="majorBidi"/>
          <w:b/>
          <w:bCs/>
        </w:rPr>
        <w:t xml:space="preserve">B1. </w:t>
      </w:r>
      <w:r w:rsidR="00106407" w:rsidRPr="00F977A9">
        <w:rPr>
          <w:rFonts w:asciiTheme="majorBidi" w:hAnsiTheme="majorBidi" w:cstheme="majorBidi"/>
          <w:b/>
          <w:bCs/>
        </w:rPr>
        <w:t>Flow cytometry gating strategy</w:t>
      </w:r>
    </w:p>
    <w:p w14:paraId="73F9B572" w14:textId="71611D05" w:rsidR="00106407" w:rsidRDefault="00B835F6" w:rsidP="00106407">
      <w:pPr>
        <w:spacing w:line="480" w:lineRule="auto"/>
        <w:jc w:val="center"/>
        <w:rPr>
          <w:rFonts w:asciiTheme="majorBidi" w:hAnsiTheme="majorBidi" w:cstheme="majorBidi"/>
          <w:lang w:val="en-US"/>
        </w:rPr>
      </w:pPr>
      <w:r>
        <w:rPr>
          <w:rFonts w:asciiTheme="majorBidi" w:hAnsiTheme="majorBidi" w:cstheme="majorBidi"/>
          <w:noProof/>
          <w:lang w:val="en-US"/>
        </w:rPr>
        <w:drawing>
          <wp:inline distT="0" distB="0" distL="0" distR="0" wp14:anchorId="35A343A0" wp14:editId="2A427185">
            <wp:extent cx="5943600" cy="3041015"/>
            <wp:effectExtent l="0" t="0" r="0" b="698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041015"/>
                    </a:xfrm>
                    <a:prstGeom prst="rect">
                      <a:avLst/>
                    </a:prstGeom>
                  </pic:spPr>
                </pic:pic>
              </a:graphicData>
            </a:graphic>
          </wp:inline>
        </w:drawing>
      </w:r>
    </w:p>
    <w:p w14:paraId="4DB2D830" w14:textId="6CE76153" w:rsidR="00106407" w:rsidRPr="00106407" w:rsidRDefault="00106407" w:rsidP="00106407">
      <w:pPr>
        <w:spacing w:line="480" w:lineRule="auto"/>
        <w:rPr>
          <w:rFonts w:asciiTheme="majorBidi" w:hAnsiTheme="majorBidi" w:cstheme="majorBidi"/>
          <w:lang w:val="en-US"/>
        </w:rPr>
      </w:pPr>
      <w:r w:rsidRPr="00B835F6">
        <w:rPr>
          <w:rFonts w:asciiTheme="majorBidi" w:hAnsiTheme="majorBidi" w:cstheme="majorBidi"/>
          <w:lang w:val="en-US"/>
        </w:rPr>
        <w:t xml:space="preserve">Figure </w:t>
      </w:r>
      <w:r w:rsidR="00B835F6" w:rsidRPr="00B835F6">
        <w:rPr>
          <w:rFonts w:asciiTheme="majorBidi" w:hAnsiTheme="majorBidi" w:cstheme="majorBidi"/>
          <w:lang w:val="en-US"/>
        </w:rPr>
        <w:t>S2</w:t>
      </w:r>
      <w:r w:rsidRPr="00106407">
        <w:rPr>
          <w:rFonts w:asciiTheme="majorBidi" w:hAnsiTheme="majorBidi" w:cstheme="majorBidi"/>
          <w:lang w:val="en-US"/>
        </w:rPr>
        <w:t>. Flow cytometry gating strategy of monocytes and monocyte subsets.</w:t>
      </w:r>
    </w:p>
    <w:p w14:paraId="611C9A5A" w14:textId="77777777" w:rsidR="00106407" w:rsidRPr="00106407" w:rsidRDefault="00106407" w:rsidP="00106407">
      <w:pPr>
        <w:spacing w:line="480" w:lineRule="auto"/>
        <w:rPr>
          <w:rFonts w:asciiTheme="majorBidi" w:hAnsiTheme="majorBidi" w:cstheme="majorBidi"/>
          <w:lang w:val="en-US"/>
        </w:rPr>
      </w:pPr>
      <w:r w:rsidRPr="00106407">
        <w:rPr>
          <w:rFonts w:asciiTheme="majorBidi" w:hAnsiTheme="majorBidi" w:cstheme="majorBidi"/>
          <w:lang w:val="en-US"/>
        </w:rPr>
        <w:t>Representative gating strategy for CD11b</w:t>
      </w:r>
      <w:r w:rsidRPr="00106407">
        <w:rPr>
          <w:rFonts w:asciiTheme="majorBidi" w:hAnsiTheme="majorBidi" w:cstheme="majorBidi"/>
          <w:vertAlign w:val="superscript"/>
          <w:lang w:val="en-US"/>
        </w:rPr>
        <w:t>+</w:t>
      </w:r>
      <w:r w:rsidRPr="00106407">
        <w:rPr>
          <w:rFonts w:asciiTheme="majorBidi" w:hAnsiTheme="majorBidi" w:cstheme="majorBidi"/>
          <w:lang w:val="en-US"/>
        </w:rPr>
        <w:t xml:space="preserve"> CD115</w:t>
      </w:r>
      <w:r w:rsidRPr="00106407">
        <w:rPr>
          <w:rFonts w:asciiTheme="majorBidi" w:hAnsiTheme="majorBidi" w:cstheme="majorBidi"/>
          <w:vertAlign w:val="superscript"/>
          <w:lang w:val="en-US"/>
        </w:rPr>
        <w:t>+</w:t>
      </w:r>
      <w:r w:rsidRPr="00106407">
        <w:rPr>
          <w:rFonts w:asciiTheme="majorBidi" w:hAnsiTheme="majorBidi" w:cstheme="majorBidi"/>
          <w:lang w:val="en-US"/>
        </w:rPr>
        <w:t xml:space="preserve"> monocyte and Ly6C monocyte subsets for all experiments and mouse models. To identify absolute counting of cell populations, 123count </w:t>
      </w:r>
      <w:proofErr w:type="spellStart"/>
      <w:r w:rsidRPr="00106407">
        <w:rPr>
          <w:rFonts w:asciiTheme="majorBidi" w:hAnsiTheme="majorBidi" w:cstheme="majorBidi"/>
          <w:lang w:val="en-US"/>
        </w:rPr>
        <w:t>eBeads</w:t>
      </w:r>
      <w:proofErr w:type="spellEnd"/>
      <w:r w:rsidRPr="00106407">
        <w:rPr>
          <w:rFonts w:asciiTheme="majorBidi" w:hAnsiTheme="majorBidi" w:cstheme="majorBidi"/>
          <w:lang w:val="en-US"/>
        </w:rPr>
        <w:t>™ are gated. Bead population excluded, and doublet discrimination is performed with a singlet gate (FSC-H/FSC-A dot blot). Dead/live analysis was performed (not shown here). Next, CD45</w:t>
      </w:r>
      <w:r w:rsidRPr="00106407">
        <w:rPr>
          <w:rFonts w:asciiTheme="majorBidi" w:hAnsiTheme="majorBidi" w:cstheme="majorBidi"/>
          <w:vertAlign w:val="superscript"/>
          <w:lang w:val="en-US"/>
        </w:rPr>
        <w:t>+</w:t>
      </w:r>
      <w:r w:rsidRPr="00106407">
        <w:rPr>
          <w:rFonts w:asciiTheme="majorBidi" w:hAnsiTheme="majorBidi" w:cstheme="majorBidi"/>
          <w:lang w:val="en-US"/>
        </w:rPr>
        <w:t>/CD11b</w:t>
      </w:r>
      <w:r w:rsidRPr="00106407">
        <w:rPr>
          <w:rFonts w:asciiTheme="majorBidi" w:hAnsiTheme="majorBidi" w:cstheme="majorBidi"/>
          <w:vertAlign w:val="superscript"/>
          <w:lang w:val="en-US"/>
        </w:rPr>
        <w:t>+</w:t>
      </w:r>
      <w:r w:rsidRPr="00106407">
        <w:rPr>
          <w:rFonts w:asciiTheme="majorBidi" w:hAnsiTheme="majorBidi" w:cstheme="majorBidi"/>
          <w:lang w:val="en-US"/>
        </w:rPr>
        <w:t>/Ly6G</w:t>
      </w:r>
      <w:r w:rsidRPr="00106407">
        <w:rPr>
          <w:rFonts w:asciiTheme="majorBidi" w:hAnsiTheme="majorBidi" w:cstheme="majorBidi"/>
          <w:vertAlign w:val="superscript"/>
          <w:lang w:val="en-US"/>
        </w:rPr>
        <w:t>+</w:t>
      </w:r>
      <w:r w:rsidRPr="00106407">
        <w:rPr>
          <w:rFonts w:asciiTheme="majorBidi" w:hAnsiTheme="majorBidi" w:cstheme="majorBidi"/>
          <w:lang w:val="en-US"/>
        </w:rPr>
        <w:t xml:space="preserve"> cells were considered as neutrophils. Neutrophil cell population gated out. Next, monocytes were identified with CD45, CD11b and CD115 expression. Monocyte subsets were further subdivided into three populations based on the expression of Ly6C: Ly6C</w:t>
      </w:r>
      <w:r w:rsidRPr="00106407">
        <w:rPr>
          <w:rFonts w:asciiTheme="majorBidi" w:hAnsiTheme="majorBidi" w:cstheme="majorBidi"/>
          <w:vertAlign w:val="superscript"/>
          <w:lang w:val="en-US"/>
        </w:rPr>
        <w:t>high</w:t>
      </w:r>
      <w:r w:rsidRPr="00106407">
        <w:rPr>
          <w:rFonts w:asciiTheme="majorBidi" w:hAnsiTheme="majorBidi" w:cstheme="majorBidi"/>
          <w:lang w:val="en-US"/>
        </w:rPr>
        <w:t>, Ly6C</w:t>
      </w:r>
      <w:r w:rsidRPr="00106407">
        <w:rPr>
          <w:rFonts w:asciiTheme="majorBidi" w:hAnsiTheme="majorBidi" w:cstheme="majorBidi"/>
          <w:vertAlign w:val="superscript"/>
          <w:lang w:val="en-US"/>
        </w:rPr>
        <w:t>int</w:t>
      </w:r>
      <w:r w:rsidRPr="00106407">
        <w:rPr>
          <w:rFonts w:asciiTheme="majorBidi" w:hAnsiTheme="majorBidi" w:cstheme="majorBidi"/>
          <w:lang w:val="en-US"/>
        </w:rPr>
        <w:t xml:space="preserve"> and Ly6C</w:t>
      </w:r>
      <w:r w:rsidRPr="00106407">
        <w:rPr>
          <w:rFonts w:asciiTheme="majorBidi" w:hAnsiTheme="majorBidi" w:cstheme="majorBidi"/>
          <w:vertAlign w:val="superscript"/>
          <w:lang w:val="en-US"/>
        </w:rPr>
        <w:t>low</w:t>
      </w:r>
      <w:r w:rsidRPr="00106407">
        <w:rPr>
          <w:rFonts w:asciiTheme="majorBidi" w:hAnsiTheme="majorBidi" w:cstheme="majorBidi"/>
          <w:lang w:val="en-US"/>
        </w:rPr>
        <w:t xml:space="preserve"> correspond respectively to inflammatory, intermediate and patrolling monocytes. Pictures were adopted from (Lessard, </w:t>
      </w:r>
      <w:proofErr w:type="spellStart"/>
      <w:r w:rsidRPr="00106407">
        <w:rPr>
          <w:rFonts w:asciiTheme="majorBidi" w:hAnsiTheme="majorBidi" w:cstheme="majorBidi"/>
          <w:lang w:val="en-US"/>
        </w:rPr>
        <w:t>LeBel</w:t>
      </w:r>
      <w:proofErr w:type="spellEnd"/>
      <w:r w:rsidRPr="00106407">
        <w:rPr>
          <w:rFonts w:asciiTheme="majorBidi" w:hAnsiTheme="majorBidi" w:cstheme="majorBidi"/>
          <w:lang w:val="en-US"/>
        </w:rPr>
        <w:t>, et al. 2017).</w:t>
      </w:r>
    </w:p>
    <w:p w14:paraId="215A64A2" w14:textId="038D98FA" w:rsidR="00106407" w:rsidRDefault="00106407" w:rsidP="00B91E44">
      <w:pPr>
        <w:spacing w:line="480" w:lineRule="auto"/>
        <w:rPr>
          <w:rFonts w:asciiTheme="majorBidi" w:hAnsiTheme="majorBidi" w:cstheme="majorBidi"/>
          <w:b/>
          <w:bCs/>
        </w:rPr>
      </w:pPr>
    </w:p>
    <w:p w14:paraId="6A3270FB" w14:textId="77777777" w:rsidR="00B835F6" w:rsidRPr="00B91E44" w:rsidRDefault="00B835F6" w:rsidP="00B91E44">
      <w:pPr>
        <w:spacing w:line="480" w:lineRule="auto"/>
        <w:rPr>
          <w:rFonts w:asciiTheme="majorBidi" w:hAnsiTheme="majorBidi" w:cstheme="majorBidi"/>
          <w:b/>
          <w:bCs/>
        </w:rPr>
      </w:pPr>
    </w:p>
    <w:p w14:paraId="23D370F2" w14:textId="46BA45BE" w:rsidR="00106407" w:rsidRDefault="00F977A9" w:rsidP="00F977A9">
      <w:pPr>
        <w:rPr>
          <w:rFonts w:asciiTheme="majorBidi" w:hAnsiTheme="majorBidi" w:cstheme="majorBidi"/>
          <w:b/>
          <w:bCs/>
        </w:rPr>
      </w:pPr>
      <w:r w:rsidRPr="00F977A9">
        <w:rPr>
          <w:rFonts w:asciiTheme="majorBidi" w:hAnsiTheme="majorBidi" w:cstheme="majorBidi"/>
          <w:b/>
          <w:bCs/>
        </w:rPr>
        <w:t xml:space="preserve">B.2 </w:t>
      </w:r>
      <w:r w:rsidR="00106407" w:rsidRPr="00F977A9">
        <w:rPr>
          <w:rFonts w:asciiTheme="majorBidi" w:hAnsiTheme="majorBidi" w:cstheme="majorBidi"/>
          <w:b/>
          <w:bCs/>
        </w:rPr>
        <w:t>Flow cytometry protocol</w:t>
      </w:r>
    </w:p>
    <w:p w14:paraId="73126881" w14:textId="77777777" w:rsidR="00F977A9" w:rsidRPr="00F977A9" w:rsidRDefault="00F977A9" w:rsidP="00F977A9">
      <w:pPr>
        <w:rPr>
          <w:rFonts w:asciiTheme="majorBidi" w:hAnsiTheme="majorBidi" w:cstheme="majorBidi"/>
          <w:b/>
          <w:bCs/>
        </w:rPr>
      </w:pPr>
    </w:p>
    <w:p w14:paraId="55F04AAA" w14:textId="1714B9F7" w:rsidR="00C90C5C" w:rsidRPr="00B242C3" w:rsidRDefault="001D4FD6" w:rsidP="00B242C3">
      <w:pPr>
        <w:spacing w:line="480" w:lineRule="auto"/>
        <w:rPr>
          <w:rFonts w:asciiTheme="majorBidi" w:hAnsiTheme="majorBidi" w:cstheme="majorBidi"/>
        </w:rPr>
      </w:pPr>
      <w:r>
        <w:rPr>
          <w:rFonts w:asciiTheme="majorBidi" w:hAnsiTheme="majorBidi" w:cstheme="majorBidi"/>
        </w:rPr>
        <w:t>B</w:t>
      </w:r>
      <w:r w:rsidR="00B91E44" w:rsidRPr="00B91E44">
        <w:rPr>
          <w:rFonts w:asciiTheme="majorBidi" w:hAnsiTheme="majorBidi" w:cstheme="majorBidi"/>
        </w:rPr>
        <w:t>riefly, 50 µl of total blood was diluted with 35 µl of DPBS without Ca</w:t>
      </w:r>
      <w:r w:rsidR="00B91E44" w:rsidRPr="00B91E44">
        <w:rPr>
          <w:rFonts w:asciiTheme="majorBidi" w:hAnsiTheme="majorBidi" w:cstheme="majorBidi"/>
          <w:vertAlign w:val="superscript"/>
        </w:rPr>
        <w:t>2+</w:t>
      </w:r>
      <w:r w:rsidR="00B91E44" w:rsidRPr="00B91E44">
        <w:rPr>
          <w:rFonts w:asciiTheme="majorBidi" w:hAnsiTheme="majorBidi" w:cstheme="majorBidi"/>
        </w:rPr>
        <w:t xml:space="preserve"> or Mg</w:t>
      </w:r>
      <w:r w:rsidR="00B91E44" w:rsidRPr="00B91E44">
        <w:rPr>
          <w:rFonts w:asciiTheme="majorBidi" w:hAnsiTheme="majorBidi" w:cstheme="majorBidi"/>
          <w:vertAlign w:val="superscript"/>
        </w:rPr>
        <w:t>2+</w:t>
      </w:r>
      <w:r w:rsidR="00B91E44" w:rsidRPr="00B91E44">
        <w:rPr>
          <w:rFonts w:asciiTheme="majorBidi" w:hAnsiTheme="majorBidi" w:cstheme="majorBidi"/>
        </w:rPr>
        <w:t xml:space="preserve"> and incubated 15 min on ice with purified rat anti–mouse CD16/CD32 antibody (Mouse BD Fc Block; BD). Cells were then labeled at 4°C during 40 min with the following rat anti–mouse antibodies: V500-conjugated anti-CD45 antibody (1/100, BD </w:t>
      </w:r>
      <w:proofErr w:type="spellStart"/>
      <w:r w:rsidR="00B91E44" w:rsidRPr="00B91E44">
        <w:rPr>
          <w:rFonts w:asciiTheme="majorBidi" w:hAnsiTheme="majorBidi" w:cstheme="majorBidi"/>
        </w:rPr>
        <w:t>BioScience</w:t>
      </w:r>
      <w:proofErr w:type="spellEnd"/>
      <w:r w:rsidR="00B91E44" w:rsidRPr="00B91E44">
        <w:rPr>
          <w:rFonts w:asciiTheme="majorBidi" w:hAnsiTheme="majorBidi" w:cstheme="majorBidi"/>
        </w:rPr>
        <w:t xml:space="preserve">), AF700-conjugated anti-CD11b antibody (1/100, </w:t>
      </w:r>
      <w:proofErr w:type="spellStart"/>
      <w:r w:rsidR="00B91E44" w:rsidRPr="00B91E44">
        <w:rPr>
          <w:rFonts w:asciiTheme="majorBidi" w:hAnsiTheme="majorBidi" w:cstheme="majorBidi"/>
        </w:rPr>
        <w:t>eBioscience</w:t>
      </w:r>
      <w:proofErr w:type="spellEnd"/>
      <w:r w:rsidR="00B91E44" w:rsidRPr="00B91E44">
        <w:rPr>
          <w:rFonts w:asciiTheme="majorBidi" w:hAnsiTheme="majorBidi" w:cstheme="majorBidi"/>
        </w:rPr>
        <w:t xml:space="preserve">), APC (allophycocyanin)-conjugated anti-CD115 antibody (1/100, </w:t>
      </w:r>
      <w:proofErr w:type="spellStart"/>
      <w:r w:rsidR="00B91E44" w:rsidRPr="00B91E44">
        <w:rPr>
          <w:rFonts w:asciiTheme="majorBidi" w:hAnsiTheme="majorBidi" w:cstheme="majorBidi"/>
        </w:rPr>
        <w:t>eBioscience</w:t>
      </w:r>
      <w:proofErr w:type="spellEnd"/>
      <w:r w:rsidR="00B91E44" w:rsidRPr="00B91E44">
        <w:rPr>
          <w:rFonts w:asciiTheme="majorBidi" w:hAnsiTheme="majorBidi" w:cstheme="majorBidi"/>
        </w:rPr>
        <w:t xml:space="preserve">), V450-conjugated anti-Ly6C antibody (1/100, BD </w:t>
      </w:r>
      <w:proofErr w:type="spellStart"/>
      <w:r w:rsidR="00B91E44" w:rsidRPr="00B91E44">
        <w:rPr>
          <w:rFonts w:asciiTheme="majorBidi" w:hAnsiTheme="majorBidi" w:cstheme="majorBidi"/>
        </w:rPr>
        <w:t>BioScience</w:t>
      </w:r>
      <w:proofErr w:type="spellEnd"/>
      <w:r w:rsidR="00B91E44" w:rsidRPr="00B91E44">
        <w:rPr>
          <w:rFonts w:asciiTheme="majorBidi" w:hAnsiTheme="majorBidi" w:cstheme="majorBidi"/>
        </w:rPr>
        <w:t xml:space="preserve">) and PE-conjugated anti-Ly6G antibody (1/100, </w:t>
      </w:r>
      <w:proofErr w:type="spellStart"/>
      <w:r w:rsidR="00B91E44" w:rsidRPr="00B91E44">
        <w:rPr>
          <w:rFonts w:asciiTheme="majorBidi" w:hAnsiTheme="majorBidi" w:cstheme="majorBidi"/>
        </w:rPr>
        <w:t>eBioscience</w:t>
      </w:r>
      <w:proofErr w:type="spellEnd"/>
      <w:r w:rsidR="00B91E44" w:rsidRPr="00B91E44">
        <w:rPr>
          <w:rFonts w:asciiTheme="majorBidi" w:hAnsiTheme="majorBidi" w:cstheme="majorBidi"/>
        </w:rPr>
        <w:t>), FITC-conj</w:t>
      </w:r>
      <w:r>
        <w:rPr>
          <w:rFonts w:asciiTheme="majorBidi" w:hAnsiTheme="majorBidi" w:cstheme="majorBidi"/>
        </w:rPr>
        <w:t>ugated anti-CD19,</w:t>
      </w:r>
      <w:r w:rsidR="00B91E44" w:rsidRPr="00B91E44">
        <w:rPr>
          <w:rFonts w:asciiTheme="majorBidi" w:hAnsiTheme="majorBidi" w:cstheme="majorBidi"/>
        </w:rPr>
        <w:t xml:space="preserve"> and Live/Dead Fixable Blue Dead Cell Stain (Invitrogen, Paisley, UK). Next, red blood cells were lysed with 1.5 ml of 1X Pharm Lyse buffer (BD </w:t>
      </w:r>
      <w:proofErr w:type="spellStart"/>
      <w:r w:rsidR="00B91E44" w:rsidRPr="00B91E44">
        <w:rPr>
          <w:rFonts w:asciiTheme="majorBidi" w:hAnsiTheme="majorBidi" w:cstheme="majorBidi"/>
        </w:rPr>
        <w:t>BioScience</w:t>
      </w:r>
      <w:proofErr w:type="spellEnd"/>
      <w:r w:rsidR="00B91E44" w:rsidRPr="00B91E44">
        <w:rPr>
          <w:rFonts w:asciiTheme="majorBidi" w:hAnsiTheme="majorBidi" w:cstheme="majorBidi"/>
        </w:rPr>
        <w:t>) during 20 min at room temperature, and the remaining leukocytes were washed and resuspended with DPBS without Ca</w:t>
      </w:r>
      <w:r w:rsidR="00B91E44" w:rsidRPr="00B91E44">
        <w:rPr>
          <w:rFonts w:asciiTheme="majorBidi" w:hAnsiTheme="majorBidi" w:cstheme="majorBidi"/>
          <w:vertAlign w:val="superscript"/>
        </w:rPr>
        <w:t>2+</w:t>
      </w:r>
      <w:r w:rsidR="00B91E44" w:rsidRPr="00B91E44">
        <w:rPr>
          <w:rFonts w:asciiTheme="majorBidi" w:hAnsiTheme="majorBidi" w:cstheme="majorBidi"/>
        </w:rPr>
        <w:t xml:space="preserve"> and Mg</w:t>
      </w:r>
      <w:r w:rsidR="00B91E44" w:rsidRPr="00B91E44">
        <w:rPr>
          <w:rFonts w:asciiTheme="majorBidi" w:hAnsiTheme="majorBidi" w:cstheme="majorBidi"/>
          <w:vertAlign w:val="superscript"/>
        </w:rPr>
        <w:t>2+</w:t>
      </w:r>
      <w:r w:rsidR="00B91E44" w:rsidRPr="00B91E44">
        <w:rPr>
          <w:rFonts w:asciiTheme="majorBidi" w:hAnsiTheme="majorBidi" w:cstheme="majorBidi"/>
        </w:rPr>
        <w:t>. More information about the procedure can be found at</w:t>
      </w:r>
      <w:r w:rsidR="00B91E44" w:rsidRPr="00B91E44">
        <w:rPr>
          <w:rFonts w:asciiTheme="majorBidi" w:hAnsiTheme="majorBidi" w:cstheme="majorBidi"/>
        </w:rPr>
        <w:fldChar w:fldCharType="begin"/>
      </w:r>
      <w:r w:rsidR="00B91E44" w:rsidRPr="00B91E44">
        <w:rPr>
          <w:rFonts w:asciiTheme="majorBidi" w:hAnsiTheme="majorBidi" w:cstheme="majorBidi"/>
        </w:rPr>
        <w:instrText xml:space="preserve"> ADDIN EN.CITE &lt;EndNote&gt;&lt;Cite&gt;&lt;Author&gt;Thériault&lt;/Author&gt;&lt;Year&gt;2016&lt;/Year&gt;&lt;RecNum&gt;156&lt;/RecNum&gt;&lt;DisplayText&gt;(Thériault, ElAli et al. 2016)&lt;/DisplayText&gt;&lt;record&gt;&lt;rec-number&gt;156&lt;/rec-number&gt;&lt;foreign-keys&gt;&lt;key app="EN" db-id="0dazvzepo9zzzjedwdsx5z26xezwstv0wepr" timestamp="1552347005"&gt;156&lt;/key&gt;&lt;/foreign-keys&gt;&lt;ref-type name="Journal Article"&gt;17&lt;/ref-type&gt;&lt;contributors&gt;&lt;authors&gt;&lt;author&gt;Thériault, Peter&lt;/author&gt;&lt;author&gt;ElAli, Ayman&lt;/author&gt;&lt;author&gt;Rivest, Serge&lt;/author&gt;&lt;/authors&gt;&lt;/contributors&gt;&lt;titles&gt;&lt;title&gt;High fat diet exacerbates Alzheimer&amp;apos;s disease-related pathology in APPswe/PS1 mice&lt;/title&gt;&lt;secondary-title&gt;Oncotarget&lt;/secondary-title&gt;&lt;/titles&gt;&lt;periodical&gt;&lt;full-title&gt;Oncotarget&lt;/full-title&gt;&lt;/periodical&gt;&lt;pages&gt;67808&lt;/pages&gt;&lt;volume&gt;7&lt;/volume&gt;&lt;number&gt;42&lt;/number&gt;&lt;dates&gt;&lt;year&gt;2016&lt;/year&gt;&lt;/dates&gt;&lt;urls&gt;&lt;/urls&gt;&lt;/record&gt;&lt;/Cite&gt;&lt;/EndNote&gt;</w:instrText>
      </w:r>
      <w:r w:rsidR="00B91E44" w:rsidRPr="00B91E44">
        <w:rPr>
          <w:rFonts w:asciiTheme="majorBidi" w:hAnsiTheme="majorBidi" w:cstheme="majorBidi"/>
        </w:rPr>
        <w:fldChar w:fldCharType="separate"/>
      </w:r>
      <w:r w:rsidR="00B91E44" w:rsidRPr="00B91E44">
        <w:rPr>
          <w:rFonts w:asciiTheme="majorBidi" w:hAnsiTheme="majorBidi" w:cstheme="majorBidi"/>
        </w:rPr>
        <w:t>(</w:t>
      </w:r>
      <w:proofErr w:type="spellStart"/>
      <w:r w:rsidR="00B91E44" w:rsidRPr="00B91E44">
        <w:rPr>
          <w:rFonts w:asciiTheme="majorBidi" w:hAnsiTheme="majorBidi" w:cstheme="majorBidi"/>
        </w:rPr>
        <w:t>Thériault</w:t>
      </w:r>
      <w:proofErr w:type="spellEnd"/>
      <w:r w:rsidR="00B91E44" w:rsidRPr="00B91E44">
        <w:rPr>
          <w:rFonts w:asciiTheme="majorBidi" w:hAnsiTheme="majorBidi" w:cstheme="majorBidi"/>
        </w:rPr>
        <w:t>, ElAli et al. 2016)</w:t>
      </w:r>
      <w:r w:rsidR="00B91E44" w:rsidRPr="00B91E44">
        <w:rPr>
          <w:rFonts w:asciiTheme="majorBidi" w:hAnsiTheme="majorBidi" w:cstheme="majorBidi"/>
        </w:rPr>
        <w:fldChar w:fldCharType="end"/>
      </w:r>
      <w:r w:rsidR="00B91E44" w:rsidRPr="00B91E44">
        <w:rPr>
          <w:rFonts w:asciiTheme="majorBidi" w:hAnsiTheme="majorBidi" w:cstheme="majorBidi"/>
        </w:rPr>
        <w:t xml:space="preserve"> </w:t>
      </w:r>
    </w:p>
    <w:sectPr w:rsidR="00C90C5C" w:rsidRPr="00B242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MytTCxMDM3szA2sTBQ0lEKTi0uzszPAykwqwUAthLAxiwAAAA="/>
  </w:docVars>
  <w:rsids>
    <w:rsidRoot w:val="004766E7"/>
    <w:rsid w:val="00106407"/>
    <w:rsid w:val="001A5390"/>
    <w:rsid w:val="001D4FD6"/>
    <w:rsid w:val="001D51D4"/>
    <w:rsid w:val="002E3A2F"/>
    <w:rsid w:val="002F3599"/>
    <w:rsid w:val="004766E7"/>
    <w:rsid w:val="005F38AB"/>
    <w:rsid w:val="00656A22"/>
    <w:rsid w:val="007A1557"/>
    <w:rsid w:val="007F40C4"/>
    <w:rsid w:val="00A44AB9"/>
    <w:rsid w:val="00AD7213"/>
    <w:rsid w:val="00B242C3"/>
    <w:rsid w:val="00B835F6"/>
    <w:rsid w:val="00B91E44"/>
    <w:rsid w:val="00C43E9B"/>
    <w:rsid w:val="00C90C5C"/>
    <w:rsid w:val="00DC688D"/>
    <w:rsid w:val="00DD4B3D"/>
    <w:rsid w:val="00F977A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AD47E"/>
  <w15:chartTrackingRefBased/>
  <w15:docId w15:val="{D3F4034A-BA9C-4353-8353-383655A4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64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64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E3A2F"/>
    <w:pPr>
      <w:pBdr>
        <w:top w:val="nil"/>
        <w:left w:val="nil"/>
        <w:bottom w:val="nil"/>
        <w:right w:val="nil"/>
        <w:between w:val="nil"/>
      </w:pBdr>
      <w:spacing w:after="0" w:line="276" w:lineRule="auto"/>
    </w:pPr>
    <w:rPr>
      <w:rFonts w:ascii="Arial" w:eastAsia="Arial" w:hAnsi="Arial" w:cs="Arial"/>
      <w:color w:val="000000"/>
      <w:lang w:val="en" w:eastAsia="fr-FR"/>
    </w:rPr>
  </w:style>
  <w:style w:type="character" w:customStyle="1" w:styleId="Heading1Char">
    <w:name w:val="Heading 1 Char"/>
    <w:basedOn w:val="DefaultParagraphFont"/>
    <w:link w:val="Heading1"/>
    <w:uiPriority w:val="9"/>
    <w:rsid w:val="0010640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640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618</Words>
  <Characters>3527</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 Microglial activation and Aβ burden analysis.</vt:lpstr>
      <vt:lpstr/>
      <vt:lpstr>B. Flow cytometry </vt:lpstr>
      <vt:lpstr>    </vt:lpstr>
    </vt:vector>
  </TitlesOfParts>
  <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Adham</dc:creator>
  <cp:keywords/>
  <dc:description/>
  <cp:lastModifiedBy>Adham Fani Maleki</cp:lastModifiedBy>
  <cp:revision>17</cp:revision>
  <dcterms:created xsi:type="dcterms:W3CDTF">2019-09-19T13:23:00Z</dcterms:created>
  <dcterms:modified xsi:type="dcterms:W3CDTF">2020-04-29T23:56:00Z</dcterms:modified>
</cp:coreProperties>
</file>