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5C" w:rsidRDefault="00EA155C" w:rsidP="00EA155C">
      <w:pPr>
        <w:rPr>
          <w:b/>
          <w:bCs/>
        </w:rPr>
      </w:pPr>
      <w:bookmarkStart w:id="0" w:name="Appendixtable2"/>
      <w:r>
        <w:rPr>
          <w:b/>
          <w:bCs/>
        </w:rPr>
        <w:t>Appendix Table 1. Characteristics of Outpatient Mental Health Care Settings by Facility Type in 2014-2017</w:t>
      </w:r>
    </w:p>
    <w:tbl>
      <w:tblPr>
        <w:tblW w:w="5143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3408"/>
        <w:gridCol w:w="81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13"/>
        <w:gridCol w:w="874"/>
      </w:tblGrid>
      <w:tr w:rsidR="00EA155C" w:rsidRPr="0034340E" w:rsidTr="00A17159">
        <w:trPr>
          <w:trHeight w:val="20"/>
        </w:trPr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" w:name="OLE_LINK32"/>
            <w:bookmarkStart w:id="2" w:name="OLE_LINK33"/>
            <w:bookmarkStart w:id="3" w:name="_GoBack"/>
            <w:r w:rsidRPr="003434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Community Mental Health Centers/Partial Hospitalization/Day Treatment Settings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Outpatient Mental Health Centers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Multiple Care Settings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Number of Facilities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3406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OLE_LINK22"/>
            <w:r w:rsidRPr="0034340E">
              <w:rPr>
                <w:color w:val="000000"/>
                <w:sz w:val="20"/>
                <w:szCs w:val="20"/>
              </w:rPr>
              <w:t>3024</w:t>
            </w:r>
            <w:bookmarkEnd w:id="4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4493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5037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OLE_LINK31"/>
            <w:r w:rsidRPr="0034340E">
              <w:rPr>
                <w:color w:val="000000"/>
                <w:sz w:val="20"/>
                <w:szCs w:val="20"/>
              </w:rPr>
              <w:t>4771</w:t>
            </w:r>
            <w:bookmarkEnd w:id="5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4587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Care Settings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24-hour hospital inpatient services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1.1%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6.8%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4.1%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24-hour residential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44.5%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48.6%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Partial hospitalization/day treatment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51.9%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49.9%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53.2%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 xml:space="preserve">Outpatient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91.6%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92.4%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98.0%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99.1%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ind w:left="720" w:hanging="720"/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99.8%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80.8%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92.9%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92.3%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Private for-profit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8.4%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20.9%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Private non-profit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70.5%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71.6%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61.8%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63.1%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64.0%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64.3%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69.7%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68.6%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71.6%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Public agency or department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17.0%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9.5%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7.5%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Accept for Treatment by Age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All Age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60.7%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62.4%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55.9%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54.7%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56.4%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57.2%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47.1%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45.2%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Children (12 or younger)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74.8%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73.5%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73.6%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61.6%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62.2%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66.2%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65.1%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Adolescents (13-17)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77.4%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76.9%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77.7%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77.7%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68.7%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70.6%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74.1%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72.4%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Young adults (18-25)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93.9%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91.8%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91.7%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91.6%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92.4%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93.0%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91.5%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96.0%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94.8%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Adults (26-64)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88.3%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87.6%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87.0%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84.8%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87.6%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73.4%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83.6%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83.2%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Seniors (65 or older)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84.8%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81.4%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80.3%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65.9%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75.3%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76.3%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75.5%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Payment Acceptance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76.6%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79.8%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80.0%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67.8%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67.2%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67.4%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67.7%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62.2%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58.9%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95.2%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96.0%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96.2%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96.6%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89.2%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89.1%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91.4%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87.1%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90.7%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88.6%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Cash or self-payment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86.5%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89.3%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90.4%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90.5%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83.8%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84.2%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81.5%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84.7%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88.4%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90.7%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Private health insurance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81.0%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86.0%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78.8%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79.0%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80.3%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83.4%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81.7%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 xml:space="preserve">Other payments (e.g., no charge, </w:t>
            </w:r>
          </w:p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other public payment)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64.0%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60.7%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63.0%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64.6%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50.3%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50.9%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51.8%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50.0%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50.5%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51.5%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52.9%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sz w:val="20"/>
                <w:szCs w:val="20"/>
              </w:rPr>
              <w:t>47.3%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40E">
              <w:rPr>
                <w:b/>
                <w:bCs/>
                <w:color w:val="000000"/>
                <w:sz w:val="20"/>
                <w:szCs w:val="20"/>
              </w:rPr>
              <w:t>Service Provision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Suicide prevention services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66.5%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61.5%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42.0%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47.8%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50.3%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66.1%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46.3%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48.9%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52.5%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Crisis intervention treatment Team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60.7%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62.7%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64.3%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52.4%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50.5%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50.4%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47.6%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 xml:space="preserve">Case management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79.1%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75.6%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78.9%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84.1%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57.8%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55.2%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57.9%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59.3%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73.7%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68.6%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72.0%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72.9%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 xml:space="preserve">Chronic disease/illness management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18.1%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16.3%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Integrated primary care services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309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24.5%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328" w:type="pct"/>
            <w:tcBorders>
              <w:top w:val="nil"/>
              <w:bottom w:val="nil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25.6%</w:t>
            </w:r>
          </w:p>
        </w:tc>
      </w:tr>
      <w:tr w:rsidR="00EA155C" w:rsidRPr="0034340E" w:rsidTr="00A17159">
        <w:trPr>
          <w:trHeight w:val="2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55C" w:rsidRPr="0034340E" w:rsidRDefault="00EA155C" w:rsidP="00A171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Psychosocial rehab services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44.1%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49.2%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51.3%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36.3%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30.6%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34.4%</w:t>
            </w:r>
          </w:p>
        </w:tc>
        <w:tc>
          <w:tcPr>
            <w:tcW w:w="3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52.2%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41.4%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46.6%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5C" w:rsidRPr="0034340E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34340E">
              <w:rPr>
                <w:color w:val="000000"/>
                <w:sz w:val="20"/>
                <w:szCs w:val="20"/>
              </w:rPr>
              <w:t>50.9%</w:t>
            </w:r>
          </w:p>
        </w:tc>
      </w:tr>
    </w:tbl>
    <w:bookmarkEnd w:id="1"/>
    <w:bookmarkEnd w:id="2"/>
    <w:bookmarkEnd w:id="3"/>
    <w:p w:rsidR="00EA155C" w:rsidRPr="003513C5" w:rsidRDefault="00EA155C" w:rsidP="00EA155C">
      <w:pPr>
        <w:sectPr w:rsidR="00EA155C" w:rsidRPr="003513C5" w:rsidSect="00087814">
          <w:headerReference w:type="default" r:id="rId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222222"/>
          <w:sz w:val="20"/>
          <w:szCs w:val="20"/>
          <w:shd w:val="clear" w:color="auto" w:fill="FFFFFF"/>
        </w:rPr>
        <w:t>NOTE Data on facility characteristics were derived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from 2014-201</w:t>
      </w:r>
      <w:r>
        <w:rPr>
          <w:color w:val="222222"/>
          <w:sz w:val="20"/>
          <w:szCs w:val="20"/>
          <w:shd w:val="clear" w:color="auto" w:fill="FFFFFF"/>
        </w:rPr>
        <w:t>7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National Mental Health Services Survey (N-MHSS)</w:t>
      </w:r>
      <w:r>
        <w:rPr>
          <w:color w:val="222222"/>
          <w:sz w:val="20"/>
          <w:szCs w:val="20"/>
          <w:shd w:val="clear" w:color="auto" w:fill="FFFFFF"/>
        </w:rPr>
        <w:t>.</w:t>
      </w:r>
    </w:p>
    <w:p w:rsidR="00EA155C" w:rsidRPr="00F9768E" w:rsidRDefault="00EA155C" w:rsidP="00EA155C">
      <w:r w:rsidRPr="00F9768E">
        <w:rPr>
          <w:b/>
          <w:bCs/>
        </w:rPr>
        <w:lastRenderedPageBreak/>
        <w:t xml:space="preserve">Appendix Table </w:t>
      </w:r>
      <w:r>
        <w:rPr>
          <w:b/>
          <w:bCs/>
        </w:rPr>
        <w:t>2</w:t>
      </w:r>
      <w:r w:rsidRPr="00F9768E">
        <w:rPr>
          <w:b/>
          <w:bCs/>
        </w:rPr>
        <w:t xml:space="preserve">. </w:t>
      </w:r>
      <w:r w:rsidRPr="00F9768E">
        <w:rPr>
          <w:b/>
          <w:bCs/>
          <w:color w:val="000000" w:themeColor="text1"/>
        </w:rPr>
        <w:t xml:space="preserve">Change in </w:t>
      </w:r>
      <w:r>
        <w:rPr>
          <w:b/>
          <w:bCs/>
          <w:color w:val="000000" w:themeColor="text1"/>
        </w:rPr>
        <w:t>Mental Health Care Settings</w:t>
      </w:r>
      <w:r w:rsidRPr="00F9768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and Mental Health Professionals </w:t>
      </w:r>
      <w:r w:rsidRPr="00F9768E">
        <w:rPr>
          <w:b/>
          <w:bCs/>
          <w:color w:val="000000" w:themeColor="text1"/>
        </w:rPr>
        <w:t>per 100,000 Persons by State, 2014-201</w:t>
      </w:r>
      <w:r>
        <w:rPr>
          <w:b/>
          <w:bCs/>
          <w:color w:val="000000" w:themeColor="text1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1267"/>
        <w:gridCol w:w="1267"/>
        <w:gridCol w:w="1483"/>
        <w:gridCol w:w="1267"/>
        <w:gridCol w:w="1268"/>
        <w:gridCol w:w="1259"/>
      </w:tblGrid>
      <w:tr w:rsidR="00EA155C" w:rsidRPr="00745A7C" w:rsidTr="00A17159">
        <w:trPr>
          <w:trHeight w:val="20"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Number of Community Mental Health Centers/Partial Hospitalization/Day Treatment Settings Per 100,000 Persons</w:t>
            </w:r>
          </w:p>
        </w:tc>
        <w:tc>
          <w:tcPr>
            <w:tcW w:w="20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Number of Mental Health Professionals Per 100,000 Persons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_Hlk732455"/>
            <w:r w:rsidRPr="00745A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% Change 2014-201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55C" w:rsidRPr="00745A7C" w:rsidRDefault="00EA155C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% Change 2014-201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bookmarkStart w:id="7" w:name="_Hlk729269"/>
            <w:r w:rsidRPr="00745A7C">
              <w:rPr>
                <w:color w:val="000000"/>
                <w:sz w:val="20"/>
                <w:szCs w:val="20"/>
              </w:rPr>
              <w:t>Nationwide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-13.17%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173.16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222.29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28.37%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AK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4.89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-19.84%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244.32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297.38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21.72%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-10.81%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136.31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136.42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0.08%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3.07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-13.26%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117.65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161.10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36.93%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AZ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-44.38%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116.17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195.40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68.20%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-34.24%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147.77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194.15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31.39%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3.74%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180.18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263.77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46.39%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CT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10.18%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249.12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324.68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30.33%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DC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-4.84%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437.1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383.30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-12.31%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DE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-15.38%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152.84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178.81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16.99%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-38.29%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116.42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147.35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26.57%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-38.57%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70.61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104.61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48.15%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HI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-47.13%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148.64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166.72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12.16%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IA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-8.74%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140.32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151.64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8.06%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-48.18%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144.39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177.64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23.03%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IL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-30.18%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140.83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186.45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32.40%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IN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-10.52%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136.43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157.65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15.55%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-5.44%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164.6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205.62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24.92%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KY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-9.67%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123.03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181.63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47.63%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-48.35%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121.73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163.52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34.33%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-15.15%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436.45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423.48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-2.97%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-51.86%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193.15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50.90%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-13.26%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254.87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208.85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-18.06%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-5.30%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132.09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165.12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25.01%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-14.61%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161.44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275.97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70.95%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10.75%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169.21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224.42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32.63%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3.64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-18.06%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222.44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238.26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7.11%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MT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5.86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-28.52%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378.09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402.67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6.50%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-23.71%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139.88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164.11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17.32%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71.61%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116.3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153.56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32.04%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90.03%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152.01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179.68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18.20%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NH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13.73%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101.75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232.35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128.35%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NJ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-10.73%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183.82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204.54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11.27%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-24.20%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186.04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240.41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29.23%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NV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-60.29%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78.19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118.08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51.01%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NY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-27.08%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196.59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258.09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31.29%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-20.39%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182.78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33.03%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OK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-9.03%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135.12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214.71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58.90%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-21.77%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209.56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279.76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33.50%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-18.19%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246.34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337.82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37.14%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RI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-26.41%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234.08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284.06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21.35%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14.01%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64.77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116.63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80.07%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-5.75%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94.94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188.58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98.63%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TN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-19.46%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129.94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170.04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30.86%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lastRenderedPageBreak/>
              <w:t>TX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9.52%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116.15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153.76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32.38%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UT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7.46%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159.71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200.20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25.35%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VA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-1.24%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244.41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289.85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18.59%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VT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4.31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-6.99%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288.88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585.26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102.60%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WA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21.10%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116.55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198.09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69.96%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WI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-21.81%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132.7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230.87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73.98%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WV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30.55%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242.66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286.92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18.24%</w:t>
            </w:r>
          </w:p>
        </w:tc>
      </w:tr>
      <w:tr w:rsidR="00EA155C" w:rsidRPr="00745A7C" w:rsidTr="00A17159">
        <w:trPr>
          <w:trHeight w:val="20"/>
        </w:trPr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WY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4.79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3.97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-17.11%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745A7C">
              <w:rPr>
                <w:color w:val="000000"/>
                <w:sz w:val="20"/>
                <w:szCs w:val="20"/>
              </w:rPr>
              <w:t>152.36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157.08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55C" w:rsidRPr="00745A7C" w:rsidRDefault="00EA155C" w:rsidP="00A17159">
            <w:pPr>
              <w:jc w:val="right"/>
              <w:rPr>
                <w:color w:val="000000"/>
                <w:sz w:val="20"/>
                <w:szCs w:val="20"/>
              </w:rPr>
            </w:pPr>
            <w:r w:rsidRPr="00AB6C3F">
              <w:rPr>
                <w:color w:val="000000"/>
                <w:sz w:val="20"/>
                <w:szCs w:val="20"/>
              </w:rPr>
              <w:t>3.10%</w:t>
            </w:r>
          </w:p>
        </w:tc>
      </w:tr>
    </w:tbl>
    <w:bookmarkEnd w:id="6"/>
    <w:bookmarkEnd w:id="7"/>
    <w:p w:rsidR="00EA155C" w:rsidRPr="00572A10" w:rsidRDefault="00EA155C" w:rsidP="00EA155C">
      <w:pPr>
        <w:rPr>
          <w:sz w:val="20"/>
          <w:szCs w:val="20"/>
        </w:rPr>
      </w:pPr>
      <w:r w:rsidRPr="00572A10">
        <w:rPr>
          <w:sz w:val="20"/>
          <w:szCs w:val="20"/>
        </w:rPr>
        <w:t>NOTES Number of community mental health centers per 100,000 in each state</w:t>
      </w:r>
      <w:r>
        <w:rPr>
          <w:sz w:val="20"/>
          <w:szCs w:val="20"/>
        </w:rPr>
        <w:t xml:space="preserve"> year</w:t>
      </w:r>
      <w:r w:rsidRPr="00572A10">
        <w:rPr>
          <w:sz w:val="20"/>
          <w:szCs w:val="20"/>
        </w:rPr>
        <w:t xml:space="preserve"> were calculated using the </w:t>
      </w:r>
      <w:r w:rsidRPr="00572A10">
        <w:rPr>
          <w:color w:val="222222"/>
          <w:sz w:val="20"/>
          <w:szCs w:val="20"/>
          <w:shd w:val="clear" w:color="auto" w:fill="FFFFFF"/>
        </w:rPr>
        <w:t>2014-201</w:t>
      </w:r>
      <w:r>
        <w:rPr>
          <w:color w:val="222222"/>
          <w:sz w:val="20"/>
          <w:szCs w:val="20"/>
          <w:shd w:val="clear" w:color="auto" w:fill="FFFFFF"/>
        </w:rPr>
        <w:t>7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National Mental Health Services Survey (N-MHSS)</w:t>
      </w:r>
      <w:r w:rsidRPr="00572A10">
        <w:rPr>
          <w:sz w:val="20"/>
          <w:szCs w:val="20"/>
        </w:rPr>
        <w:t xml:space="preserve">. </w:t>
      </w:r>
      <w:r w:rsidRPr="0088040A">
        <w:rPr>
          <w:sz w:val="20"/>
          <w:szCs w:val="20"/>
        </w:rPr>
        <w:t>Data on mental</w:t>
      </w:r>
      <w:r>
        <w:rPr>
          <w:color w:val="222222"/>
          <w:sz w:val="20"/>
          <w:szCs w:val="20"/>
          <w:shd w:val="clear" w:color="auto" w:fill="FFFFFF"/>
        </w:rPr>
        <w:t xml:space="preserve"> health professionals, including psychiatrists, psychiatric technicians, psychiatric aides, clinical, counseling, and school psychologists, all other psychologists, mental health counselors, mental health and substance abuse social workers, were derived from </w:t>
      </w:r>
      <w:r w:rsidRPr="00BF545F">
        <w:rPr>
          <w:color w:val="222222"/>
          <w:sz w:val="20"/>
          <w:szCs w:val="20"/>
          <w:shd w:val="clear" w:color="auto" w:fill="FFFFFF"/>
        </w:rPr>
        <w:t>U.S. Bureau of Labor S</w:t>
      </w:r>
      <w:r w:rsidRPr="00EA155C">
        <w:rPr>
          <w:color w:val="222222"/>
          <w:sz w:val="20"/>
          <w:szCs w:val="20"/>
          <w:shd w:val="clear" w:color="auto" w:fill="FFFFFF"/>
        </w:rPr>
        <w:t xml:space="preserve">tatistics </w:t>
      </w:r>
      <w:r w:rsidRPr="00EA155C">
        <w:rPr>
          <w:color w:val="222222"/>
          <w:sz w:val="20"/>
          <w:szCs w:val="20"/>
          <w:shd w:val="clear" w:color="auto" w:fill="FFFFFF"/>
        </w:rPr>
        <w:fldChar w:fldCharType="begin"/>
      </w:r>
      <w:r w:rsidRPr="00EA155C">
        <w:rPr>
          <w:color w:val="222222"/>
          <w:sz w:val="20"/>
          <w:szCs w:val="20"/>
          <w:shd w:val="clear" w:color="auto" w:fill="FFFFFF"/>
        </w:rPr>
        <w:instrText xml:space="preserve"> ADDIN EN.CITE &lt;EndNote&gt;&lt;Cite&gt;&lt;Author&gt;United States Bureau of Labor Statistics&lt;/Author&gt;&lt;Year&gt;2019&lt;/Year&gt;&lt;RecNum&gt;41&lt;/RecNum&gt;&lt;DisplayText&gt;[42]&lt;/DisplayText&gt;&lt;record&gt;&lt;rec-number&gt;41&lt;/rec-number&gt;&lt;foreign-keys&gt;&lt;key app="EN" db-id="wspt0az5wxvatietpavv5rt42deexf2srrf9" timestamp="1575396030"&gt;41&lt;/key&gt;&lt;/foreign-keys&gt;&lt;ref-type name="Web Page"&gt;12&lt;/ref-type&gt;&lt;contributors&gt;&lt;authors&gt;&lt;author&gt;United States Bureau of Labor Statistics,&lt;/author&gt;&lt;/authors&gt;&lt;/contributors&gt;&lt;titles&gt;&lt;title&gt;Occupational Employment Statistics Data-State. &lt;/title&gt;&lt;/titles&gt;&lt;volume&gt;2019&lt;/volume&gt;&lt;number&gt;2 Sept&lt;/number&gt;&lt;dates&gt;&lt;year&gt;2019&lt;/year&gt;&lt;/dates&gt;&lt;pub-location&gt;United States&lt;/pub-location&gt;&lt;publisher&gt;Occupational Employment Statistics&lt;/publisher&gt;&lt;urls&gt;&lt;related-urls&gt;&lt;url&gt;https://www.bls.gov/oes/tables.htm&lt;/url&gt;&lt;/related-urls&gt;&lt;/urls&gt;&lt;/record&gt;&lt;/Cite&gt;&lt;/EndNote&gt;</w:instrText>
      </w:r>
      <w:r w:rsidRPr="00EA155C">
        <w:rPr>
          <w:color w:val="222222"/>
          <w:sz w:val="20"/>
          <w:szCs w:val="20"/>
          <w:shd w:val="clear" w:color="auto" w:fill="FFFFFF"/>
        </w:rPr>
        <w:fldChar w:fldCharType="separate"/>
      </w:r>
      <w:r w:rsidRPr="00EA155C">
        <w:rPr>
          <w:noProof/>
          <w:color w:val="222222"/>
          <w:sz w:val="20"/>
          <w:szCs w:val="20"/>
          <w:shd w:val="clear" w:color="auto" w:fill="FFFFFF"/>
        </w:rPr>
        <w:t>[</w:t>
      </w:r>
      <w:hyperlink w:anchor="_ENREF_42" w:tooltip="United States Bureau of Labor Statistics, 2019 #41" w:history="1">
        <w:r w:rsidRPr="00EA155C">
          <w:rPr>
            <w:noProof/>
            <w:color w:val="222222"/>
            <w:sz w:val="20"/>
            <w:szCs w:val="20"/>
            <w:shd w:val="clear" w:color="auto" w:fill="FFFFFF"/>
          </w:rPr>
          <w:t>42</w:t>
        </w:r>
      </w:hyperlink>
      <w:r w:rsidRPr="00EA155C">
        <w:rPr>
          <w:noProof/>
          <w:color w:val="222222"/>
          <w:sz w:val="20"/>
          <w:szCs w:val="20"/>
          <w:shd w:val="clear" w:color="auto" w:fill="FFFFFF"/>
        </w:rPr>
        <w:t>]</w:t>
      </w:r>
      <w:r w:rsidRPr="00EA155C">
        <w:rPr>
          <w:color w:val="222222"/>
          <w:sz w:val="20"/>
          <w:szCs w:val="20"/>
          <w:shd w:val="clear" w:color="auto" w:fill="FFFFFF"/>
        </w:rPr>
        <w:fldChar w:fldCharType="end"/>
      </w:r>
      <w:r w:rsidRPr="00EA155C">
        <w:rPr>
          <w:color w:val="222222"/>
          <w:sz w:val="20"/>
          <w:szCs w:val="20"/>
          <w:shd w:val="clear" w:color="auto" w:fill="FFFFFF"/>
        </w:rPr>
        <w:t>.</w:t>
      </w:r>
      <w:r>
        <w:rPr>
          <w:color w:val="222222"/>
          <w:sz w:val="20"/>
          <w:szCs w:val="20"/>
          <w:shd w:val="clear" w:color="auto" w:fill="FFFFFF"/>
        </w:rPr>
        <w:fldChar w:fldCharType="begin" w:fldLock="1"/>
      </w:r>
      <w:r>
        <w:rPr>
          <w:color w:val="222222"/>
          <w:sz w:val="20"/>
          <w:szCs w:val="20"/>
          <w:shd w:val="clear" w:color="auto" w:fill="FFFFFF"/>
        </w:rPr>
        <w:instrText>ADDIN CSL_CITATION {"citationItems":[{"id":"ITEM-1","itemData":{"URL":"https://www.bls.gov/oes/tables.htm","accessed":{"date-parts":[["2018","9","2"]]},"author":[{"dropping-particle":"","family":"U.S. Bureau of Labor Statistics","given":"","non-dropping-particle":"","parse-names":false,"suffix":""}],"container-title":"Occupational Employment Statistics","id":"ITEM-1","issued":{"date-parts":[["0"]]},"title":"Occupational Employment Statistics Data-State","type":"webpage"},"uris":["http://www.mendeley.com/documents/?uuid=272c770e-961e-4c18-99c2-8492adf978bf"]}],"mendeley":{"formattedCitation":"&lt;sup&gt;42&lt;/sup&gt;","plainTextFormattedCitation":"42","previouslyFormattedCitation":"&lt;sup&gt;43&lt;/sup&gt;"},"properties":{"noteIndex":0},"schema":"https://github.com/citation-style-language/schema/raw/master/csl-citation.json"}</w:instrText>
      </w:r>
      <w:r>
        <w:rPr>
          <w:color w:val="222222"/>
          <w:sz w:val="20"/>
          <w:szCs w:val="20"/>
          <w:shd w:val="clear" w:color="auto" w:fill="FFFFFF"/>
        </w:rPr>
        <w:fldChar w:fldCharType="end"/>
      </w:r>
    </w:p>
    <w:p w:rsidR="00EA155C" w:rsidRPr="00572A10" w:rsidRDefault="00EA155C" w:rsidP="00EA155C">
      <w:pPr>
        <w:rPr>
          <w:sz w:val="20"/>
          <w:szCs w:val="20"/>
        </w:rPr>
      </w:pPr>
    </w:p>
    <w:p w:rsidR="00EA155C" w:rsidRPr="00572A10" w:rsidRDefault="00EA155C" w:rsidP="00EA155C">
      <w:pPr>
        <w:rPr>
          <w:sz w:val="20"/>
          <w:szCs w:val="20"/>
        </w:rPr>
        <w:sectPr w:rsidR="00EA155C" w:rsidRPr="00572A10" w:rsidSect="00EB2B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55C" w:rsidRPr="00572A10" w:rsidRDefault="00EA155C" w:rsidP="00EA155C">
      <w:pPr>
        <w:rPr>
          <w:b/>
          <w:bCs/>
        </w:rPr>
      </w:pPr>
      <w:bookmarkStart w:id="8" w:name="OLE_LINK3"/>
      <w:bookmarkStart w:id="9" w:name="OLE_LINK4"/>
      <w:bookmarkStart w:id="10" w:name="OLE_LINK5"/>
      <w:r>
        <w:rPr>
          <w:b/>
          <w:bCs/>
        </w:rPr>
        <w:lastRenderedPageBreak/>
        <w:t>Appendix Table 3</w:t>
      </w:r>
      <w:r w:rsidRPr="07CD9126">
        <w:rPr>
          <w:b/>
          <w:bCs/>
        </w:rPr>
        <w:t>. State Characteristics by Data Year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70"/>
        <w:gridCol w:w="1390"/>
        <w:gridCol w:w="1390"/>
        <w:gridCol w:w="1390"/>
        <w:gridCol w:w="1390"/>
      </w:tblGrid>
      <w:tr w:rsidR="006F76A4" w:rsidRPr="006F76A4" w:rsidTr="006F76A4">
        <w:trPr>
          <w:trHeight w:val="20"/>
        </w:trPr>
        <w:tc>
          <w:tcPr>
            <w:tcW w:w="3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8"/>
          <w:bookmarkEnd w:id="9"/>
          <w:bookmarkEnd w:id="10"/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6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6A4" w:rsidRPr="006F76A4" w:rsidRDefault="006F76A4" w:rsidP="00A1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6A4">
              <w:rPr>
                <w:b/>
                <w:bCs/>
                <w:color w:val="000000"/>
                <w:sz w:val="20"/>
                <w:szCs w:val="20"/>
              </w:rPr>
              <w:t>Population-Weighted Mean (Standard Deviation)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76A4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1" w:name="_Hlk735776"/>
            <w:bookmarkStart w:id="12" w:name="_Hlk825744"/>
            <w:r w:rsidRPr="006F76A4">
              <w:rPr>
                <w:b/>
                <w:bCs/>
                <w:color w:val="000000"/>
                <w:sz w:val="20"/>
                <w:szCs w:val="20"/>
              </w:rPr>
              <w:t>Number of Community Mental Health Centers/Partial Hospitalization/Day Treatment Settings Per 100,000 Persons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1.07 (0.77)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1.00 (0.73)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0.94 (0.68)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0.90 (0.70)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sz w:val="20"/>
                <w:szCs w:val="20"/>
              </w:rPr>
            </w:pPr>
            <w:r w:rsidRPr="006F76A4">
              <w:rPr>
                <w:b/>
                <w:bCs/>
                <w:sz w:val="20"/>
                <w:szCs w:val="20"/>
              </w:rPr>
              <w:t>Number of Hospital Psychiatric Care Settings per 100,000 Persons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0.56 (0.23)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0.57 (0.23)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0.57 (0.23)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0.53 (0.22)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sz w:val="20"/>
                <w:szCs w:val="20"/>
              </w:rPr>
            </w:pPr>
            <w:bookmarkStart w:id="13" w:name="_Hlk524608225"/>
            <w:r w:rsidRPr="006F76A4">
              <w:rPr>
                <w:b/>
                <w:bCs/>
                <w:sz w:val="20"/>
                <w:szCs w:val="20"/>
              </w:rPr>
              <w:t>Number of Mental Health Professionals per 100,000 Persons</w:t>
            </w:r>
            <w:bookmarkStart w:id="14" w:name="OLE_LINK25"/>
            <w:bookmarkStart w:id="15" w:name="OLE_LINK26"/>
            <w:r w:rsidRPr="006F76A4">
              <w:rPr>
                <w:sz w:val="20"/>
                <w:szCs w:val="20"/>
                <w:shd w:val="clear" w:color="auto" w:fill="FFFFFF"/>
              </w:rPr>
              <w:t>§</w:t>
            </w:r>
            <w:bookmarkEnd w:id="14"/>
            <w:bookmarkEnd w:id="15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1.57 (0.63)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1.57 (0.53)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1.62 (0.55)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2.04 (0.67)</w:t>
            </w:r>
          </w:p>
        </w:tc>
      </w:tr>
      <w:bookmarkEnd w:id="11"/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rPr>
                <w:b/>
                <w:bCs/>
                <w:sz w:val="20"/>
                <w:szCs w:val="20"/>
              </w:rPr>
            </w:pPr>
            <w:r w:rsidRPr="006F76A4">
              <w:rPr>
                <w:b/>
                <w:bCs/>
                <w:sz w:val="20"/>
                <w:szCs w:val="20"/>
              </w:rPr>
              <w:t>Number of Outpatient Settings Providing Suicide Prevention Services per 100,000 Persons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3.19 (1.71)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3.16 (1.65)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2.99 (1.55)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2.86 (1.44)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rPr>
                <w:b/>
                <w:bCs/>
                <w:sz w:val="20"/>
                <w:szCs w:val="20"/>
              </w:rPr>
            </w:pPr>
            <w:r w:rsidRPr="006F76A4">
              <w:rPr>
                <w:b/>
                <w:bCs/>
                <w:sz w:val="20"/>
                <w:szCs w:val="20"/>
              </w:rPr>
              <w:t>Number of Inpatient Settings Providing Suicide Prevention Services per 100,000 Persons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1.42 (0.70)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1.37 (0.64)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1.26 (0.60)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1.19 (0.54)</w:t>
            </w:r>
          </w:p>
        </w:tc>
      </w:tr>
      <w:bookmarkEnd w:id="13"/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6A4">
              <w:rPr>
                <w:b/>
                <w:bCs/>
                <w:color w:val="000000"/>
                <w:sz w:val="20"/>
                <w:szCs w:val="20"/>
              </w:rPr>
              <w:t>% Population Below 200% Federal Poverty Level</w:t>
            </w:r>
            <w:r w:rsidRPr="006F76A4">
              <w:rPr>
                <w:color w:val="222222"/>
                <w:sz w:val="20"/>
                <w:szCs w:val="20"/>
              </w:rPr>
              <w:t xml:space="preserve"> 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34.96 (5.22)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33.73 (5.10)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29.86 (4.33)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28.06 (4.67)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6A4">
              <w:rPr>
                <w:b/>
                <w:bCs/>
                <w:color w:val="000000"/>
                <w:sz w:val="20"/>
                <w:szCs w:val="20"/>
              </w:rPr>
              <w:t>% Population by Age Group</w:t>
            </w:r>
            <w:r w:rsidRPr="006F76A4">
              <w:rPr>
                <w:color w:val="222222"/>
                <w:sz w:val="20"/>
                <w:szCs w:val="20"/>
              </w:rPr>
              <w:t xml:space="preserve"> 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Less than 15 Years Old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19.17 (1.59)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19.01 (1.58)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18.87 (1.56)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18.73 (1.54)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15-24 Years Old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13.80 (0.63)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13.64 (0.65)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13.47 (0.67)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13.28 (0.68)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25-44 Years Old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26.34 (1.43)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26.33 (1.44)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26.35 (1.47)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26.47 (1.54)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45-64 Years Old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26.18 (1.44)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26.14 (1.42)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26.08 (1.39)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25.91 (1.35)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65-74 Years Old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8.28 (0.98)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8.58 (1.00)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8.86 (1.03)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9.11 (1.03)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75 Years Old or More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6.22 (1.01)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6.30 (1.00)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6.38 (1.00)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6.50 (1.01)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6A4">
              <w:rPr>
                <w:b/>
                <w:bCs/>
                <w:color w:val="000000"/>
                <w:sz w:val="20"/>
                <w:szCs w:val="20"/>
              </w:rPr>
              <w:t xml:space="preserve">Population Distribution by Race and Ethnicity </w:t>
            </w:r>
            <w:r w:rsidRPr="006F76A4">
              <w:rPr>
                <w:color w:val="222222"/>
                <w:sz w:val="20"/>
                <w:szCs w:val="20"/>
              </w:rPr>
              <w:t>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bookmarkStart w:id="16" w:name="_Hlk741300"/>
            <w:r w:rsidRPr="006F76A4">
              <w:rPr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62.06 (15.35)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61.69 (15.39)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61.28 (15.44)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60.77 (15.51)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12.40 (8.11)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12.42 (8.11)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12.45 (8.11)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12.48 (8.11)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American Indian and Alaska Native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0.74 (1.51)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0.74 (1.51)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0.74 (1.51)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0.74 (1.52)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5.24 (4.43)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5.37 (4.47)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5.49 (4.52)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5.65 (4.59)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Native Hawaiian and Pacific Islander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0.17 (0.65)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0.17 (0.65)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0.18 (0.65)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0.18 (0.65)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16.88 (12.91)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17.04 (12.94)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17.24 (12.98)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18.05 (13.26)</w:t>
            </w:r>
          </w:p>
        </w:tc>
      </w:tr>
      <w:tr w:rsidR="006F76A4" w:rsidRPr="006F76A4" w:rsidTr="006F76A4">
        <w:trPr>
          <w:trHeight w:val="2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6A4" w:rsidRPr="006F76A4" w:rsidRDefault="006F76A4" w:rsidP="00A17159">
            <w:pPr>
              <w:rPr>
                <w:color w:val="000000"/>
                <w:sz w:val="20"/>
                <w:szCs w:val="20"/>
              </w:rPr>
            </w:pPr>
            <w:r w:rsidRPr="006F76A4">
              <w:rPr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2.51 (1.65)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2.57 (1.65)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76A4" w:rsidRPr="006F76A4" w:rsidRDefault="006F76A4" w:rsidP="00A17159">
            <w:pPr>
              <w:jc w:val="center"/>
              <w:rPr>
                <w:color w:val="000000"/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2.62 (1.67)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6A4" w:rsidRPr="006F76A4" w:rsidRDefault="006F76A4" w:rsidP="00A17159">
            <w:pPr>
              <w:jc w:val="center"/>
              <w:rPr>
                <w:sz w:val="20"/>
                <w:szCs w:val="20"/>
              </w:rPr>
            </w:pPr>
            <w:r w:rsidRPr="006F76A4">
              <w:rPr>
                <w:sz w:val="20"/>
                <w:szCs w:val="20"/>
              </w:rPr>
              <w:t>2.13 (1.36)</w:t>
            </w:r>
          </w:p>
        </w:tc>
      </w:tr>
    </w:tbl>
    <w:bookmarkEnd w:id="12"/>
    <w:bookmarkEnd w:id="16"/>
    <w:p w:rsidR="00EA155C" w:rsidRPr="00572A10" w:rsidRDefault="00EA155C" w:rsidP="00EA155C">
      <w:r w:rsidRPr="00572A10">
        <w:rPr>
          <w:sz w:val="20"/>
          <w:szCs w:val="20"/>
        </w:rPr>
        <w:t xml:space="preserve">NOTES </w:t>
      </w:r>
      <w:r>
        <w:rPr>
          <w:sz w:val="20"/>
          <w:szCs w:val="20"/>
        </w:rPr>
        <w:t>D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ata </w:t>
      </w:r>
      <w:r>
        <w:rPr>
          <w:color w:val="222222"/>
          <w:sz w:val="20"/>
          <w:szCs w:val="20"/>
          <w:shd w:val="clear" w:color="auto" w:fill="FFFFFF"/>
        </w:rPr>
        <w:t>on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state-level hospital-based psychiatric services</w:t>
      </w:r>
      <w:r>
        <w:rPr>
          <w:color w:val="222222"/>
          <w:sz w:val="20"/>
          <w:szCs w:val="20"/>
          <w:shd w:val="clear" w:color="auto" w:fill="FFFFFF"/>
        </w:rPr>
        <w:t>,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community mental health center status</w:t>
      </w:r>
      <w:r>
        <w:rPr>
          <w:color w:val="222222"/>
          <w:sz w:val="20"/>
          <w:szCs w:val="20"/>
          <w:shd w:val="clear" w:color="auto" w:fill="FFFFFF"/>
        </w:rPr>
        <w:t>, and facility suicide prevention services status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during 2014-201</w:t>
      </w:r>
      <w:r>
        <w:rPr>
          <w:color w:val="222222"/>
          <w:sz w:val="20"/>
          <w:szCs w:val="20"/>
          <w:shd w:val="clear" w:color="auto" w:fill="FFFFFF"/>
        </w:rPr>
        <w:t>7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 xml:space="preserve">were </w:t>
      </w:r>
      <w:r w:rsidRPr="00572A10">
        <w:rPr>
          <w:color w:val="222222"/>
          <w:sz w:val="20"/>
          <w:szCs w:val="20"/>
          <w:shd w:val="clear" w:color="auto" w:fill="FFFFFF"/>
        </w:rPr>
        <w:t>from 2014-201</w:t>
      </w:r>
      <w:r>
        <w:rPr>
          <w:color w:val="222222"/>
          <w:sz w:val="20"/>
          <w:szCs w:val="20"/>
          <w:shd w:val="clear" w:color="auto" w:fill="FFFFFF"/>
        </w:rPr>
        <w:t>7</w:t>
      </w:r>
      <w:r w:rsidRPr="00572A10">
        <w:rPr>
          <w:color w:val="222222"/>
          <w:sz w:val="20"/>
          <w:szCs w:val="20"/>
          <w:shd w:val="clear" w:color="auto" w:fill="FFFFFF"/>
        </w:rPr>
        <w:t xml:space="preserve"> National Mental Health Services Survey (N-MHSS) and from Centers for Disease Control and Prevention (CDC) Wide-Ranging Online Data for Epidemiologic Research (WONDER) data for suicide rates, identified as intentional self-harm by ICD-10-CM diagnosis codes U03, X6</w:t>
      </w:r>
      <w:r>
        <w:rPr>
          <w:color w:val="222222"/>
          <w:sz w:val="20"/>
          <w:szCs w:val="20"/>
          <w:shd w:val="clear" w:color="auto" w:fill="FFFFFF"/>
        </w:rPr>
        <w:t xml:space="preserve">0-X71, X72-X74, X75-X84, Y87.0. </w:t>
      </w:r>
      <w:r w:rsidRPr="00572A10">
        <w:rPr>
          <w:color w:val="222222"/>
          <w:sz w:val="20"/>
          <w:szCs w:val="20"/>
          <w:shd w:val="clear" w:color="auto" w:fill="FFFFFF"/>
        </w:rPr>
        <w:t>†</w:t>
      </w:r>
      <w:r w:rsidRPr="00572A10">
        <w:rPr>
          <w:sz w:val="20"/>
          <w:szCs w:val="20"/>
        </w:rPr>
        <w:t xml:space="preserve"> Data on population below 200% federal poverty level were from American Community Su</w:t>
      </w:r>
      <w:r>
        <w:rPr>
          <w:sz w:val="20"/>
          <w:szCs w:val="20"/>
        </w:rPr>
        <w:t>rvey Poverty Levels, 2014-2017.</w:t>
      </w:r>
      <w:r w:rsidRPr="00572A10">
        <w:rPr>
          <w:sz w:val="20"/>
          <w:szCs w:val="20"/>
        </w:rPr>
        <w:t xml:space="preserve"> </w:t>
      </w:r>
      <w:r w:rsidRPr="00572A10">
        <w:rPr>
          <w:color w:val="222222"/>
          <w:sz w:val="20"/>
          <w:szCs w:val="20"/>
          <w:shd w:val="clear" w:color="auto" w:fill="FFFFFF"/>
        </w:rPr>
        <w:t>‡</w:t>
      </w:r>
      <w:r w:rsidRPr="00572A10">
        <w:rPr>
          <w:sz w:val="20"/>
          <w:szCs w:val="20"/>
        </w:rPr>
        <w:t>Data on population distribution of age and race/ethnicity are from U.S. Census Projected Population by Age, Sex, Race, and Hispanic Origin, 2014-201</w:t>
      </w:r>
      <w:r>
        <w:rPr>
          <w:sz w:val="20"/>
          <w:szCs w:val="20"/>
        </w:rPr>
        <w:t>7</w:t>
      </w:r>
      <w:r w:rsidRPr="00572A10">
        <w:rPr>
          <w:sz w:val="20"/>
          <w:szCs w:val="20"/>
        </w:rPr>
        <w:t xml:space="preserve">. </w:t>
      </w:r>
      <w:bookmarkStart w:id="17" w:name="OLE_LINK27"/>
      <w:bookmarkStart w:id="18" w:name="OLE_LINK28"/>
      <w:r w:rsidRPr="0088040A">
        <w:rPr>
          <w:sz w:val="20"/>
          <w:szCs w:val="20"/>
        </w:rPr>
        <w:t>§ Data on mental</w:t>
      </w:r>
      <w:r>
        <w:rPr>
          <w:color w:val="222222"/>
          <w:sz w:val="20"/>
          <w:szCs w:val="20"/>
          <w:shd w:val="clear" w:color="auto" w:fill="FFFFFF"/>
        </w:rPr>
        <w:t xml:space="preserve"> health professionals, including psychiatrists, psychiatric technicians, psychiatric aides, clinical, counseling, and school psychologists, all other psychologists, mental health counselors, mental health and substance abuse social workers, were derived from </w:t>
      </w:r>
      <w:r w:rsidRPr="00BF545F">
        <w:rPr>
          <w:color w:val="222222"/>
          <w:sz w:val="20"/>
          <w:szCs w:val="20"/>
          <w:shd w:val="clear" w:color="auto" w:fill="FFFFFF"/>
        </w:rPr>
        <w:t xml:space="preserve">U.S. Bureau of </w:t>
      </w:r>
      <w:r w:rsidRPr="00EA155C">
        <w:rPr>
          <w:color w:val="222222"/>
          <w:sz w:val="20"/>
          <w:szCs w:val="20"/>
          <w:shd w:val="clear" w:color="auto" w:fill="FFFFFF"/>
        </w:rPr>
        <w:t xml:space="preserve">Labor Statistics </w:t>
      </w:r>
      <w:r w:rsidRPr="00EA155C">
        <w:rPr>
          <w:color w:val="222222"/>
          <w:sz w:val="20"/>
          <w:szCs w:val="20"/>
          <w:shd w:val="clear" w:color="auto" w:fill="FFFFFF"/>
        </w:rPr>
        <w:fldChar w:fldCharType="begin"/>
      </w:r>
      <w:r w:rsidRPr="00EA155C">
        <w:rPr>
          <w:color w:val="222222"/>
          <w:sz w:val="20"/>
          <w:szCs w:val="20"/>
          <w:shd w:val="clear" w:color="auto" w:fill="FFFFFF"/>
        </w:rPr>
        <w:instrText xml:space="preserve"> ADDIN EN.CITE &lt;EndNote&gt;&lt;Cite&gt;&lt;Author&gt;United States Bureau of Labor Statistics&lt;/Author&gt;&lt;Year&gt;2019&lt;/Year&gt;&lt;RecNum&gt;41&lt;/RecNum&gt;&lt;DisplayText&gt;[42]&lt;/DisplayText&gt;&lt;record&gt;&lt;rec-number&gt;41&lt;/rec-number&gt;&lt;foreign-keys&gt;&lt;key app="EN" db-id="wspt0az5wxvatietpavv5rt42deexf2srrf9" timestamp="1575396030"&gt;41&lt;/key&gt;&lt;/foreign-keys&gt;&lt;ref-type name="Web Page"&gt;12&lt;/ref-type&gt;&lt;contributors&gt;&lt;authors&gt;&lt;author&gt;United States Bureau of Labor Statistics,&lt;/author&gt;&lt;/authors&gt;&lt;/contributors&gt;&lt;titles&gt;&lt;title&gt;Occupational Employment Statistics Data-State. &lt;/title&gt;&lt;/titles&gt;&lt;volume&gt;2019&lt;/volume&gt;&lt;number&gt;2 Sept&lt;/number&gt;&lt;dates&gt;&lt;year&gt;2019&lt;/year&gt;&lt;/dates&gt;&lt;pub-location&gt;United States&lt;/pub-location&gt;&lt;publisher&gt;Occupational Employment Statistics&lt;/publisher&gt;&lt;urls&gt;&lt;related-urls&gt;&lt;url&gt;https://www.bls.gov/oes/tables.htm&lt;/url&gt;&lt;/related-urls&gt;&lt;/urls&gt;&lt;/record&gt;&lt;/Cite&gt;&lt;/EndNote&gt;</w:instrText>
      </w:r>
      <w:r w:rsidRPr="00EA155C">
        <w:rPr>
          <w:color w:val="222222"/>
          <w:sz w:val="20"/>
          <w:szCs w:val="20"/>
          <w:shd w:val="clear" w:color="auto" w:fill="FFFFFF"/>
        </w:rPr>
        <w:fldChar w:fldCharType="separate"/>
      </w:r>
      <w:r w:rsidRPr="00EA155C">
        <w:rPr>
          <w:noProof/>
          <w:color w:val="222222"/>
          <w:sz w:val="20"/>
          <w:szCs w:val="20"/>
          <w:shd w:val="clear" w:color="auto" w:fill="FFFFFF"/>
        </w:rPr>
        <w:t>[</w:t>
      </w:r>
      <w:hyperlink w:anchor="_ENREF_42" w:tooltip="United States Bureau of Labor Statistics, 2019 #41" w:history="1">
        <w:r w:rsidRPr="00EA155C">
          <w:rPr>
            <w:noProof/>
            <w:color w:val="222222"/>
            <w:sz w:val="20"/>
            <w:szCs w:val="20"/>
            <w:shd w:val="clear" w:color="auto" w:fill="FFFFFF"/>
          </w:rPr>
          <w:t>42</w:t>
        </w:r>
      </w:hyperlink>
      <w:r w:rsidRPr="00EA155C">
        <w:rPr>
          <w:noProof/>
          <w:color w:val="222222"/>
          <w:sz w:val="20"/>
          <w:szCs w:val="20"/>
          <w:shd w:val="clear" w:color="auto" w:fill="FFFFFF"/>
        </w:rPr>
        <w:t>]</w:t>
      </w:r>
      <w:r w:rsidRPr="00EA155C">
        <w:rPr>
          <w:color w:val="222222"/>
          <w:sz w:val="20"/>
          <w:szCs w:val="20"/>
          <w:shd w:val="clear" w:color="auto" w:fill="FFFFFF"/>
        </w:rPr>
        <w:fldChar w:fldCharType="end"/>
      </w:r>
      <w:r w:rsidRPr="00EA155C">
        <w:rPr>
          <w:color w:val="222222"/>
          <w:sz w:val="20"/>
          <w:szCs w:val="20"/>
          <w:shd w:val="clear" w:color="auto" w:fill="FFFFFF"/>
        </w:rPr>
        <w:t>.</w:t>
      </w:r>
      <w:bookmarkEnd w:id="17"/>
      <w:bookmarkEnd w:id="18"/>
      <w:r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D76A98" w:rsidRDefault="00D76A98"/>
    <w:sectPr w:rsidR="00D76A98" w:rsidSect="006F76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VUELU+Constant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140D7" w:rsidTr="07CD9126">
      <w:tc>
        <w:tcPr>
          <w:tcW w:w="3120" w:type="dxa"/>
        </w:tcPr>
        <w:p w:rsidR="00E140D7" w:rsidRDefault="0034340E" w:rsidP="07CD9126">
          <w:pPr>
            <w:pStyle w:val="Header"/>
            <w:ind w:left="-115"/>
          </w:pPr>
        </w:p>
      </w:tc>
      <w:tc>
        <w:tcPr>
          <w:tcW w:w="3120" w:type="dxa"/>
        </w:tcPr>
        <w:p w:rsidR="00E140D7" w:rsidRDefault="0034340E" w:rsidP="07CD9126">
          <w:pPr>
            <w:pStyle w:val="Header"/>
            <w:jc w:val="center"/>
          </w:pPr>
        </w:p>
      </w:tc>
      <w:tc>
        <w:tcPr>
          <w:tcW w:w="3120" w:type="dxa"/>
        </w:tcPr>
        <w:p w:rsidR="00E140D7" w:rsidRDefault="0034340E" w:rsidP="07CD9126">
          <w:pPr>
            <w:pStyle w:val="Header"/>
            <w:ind w:right="-115"/>
            <w:jc w:val="right"/>
          </w:pPr>
        </w:p>
      </w:tc>
    </w:tr>
  </w:tbl>
  <w:p w:rsidR="00E140D7" w:rsidRDefault="0034340E" w:rsidP="07CD9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0E140D7" w:rsidTr="07CD9126">
      <w:tc>
        <w:tcPr>
          <w:tcW w:w="4320" w:type="dxa"/>
        </w:tcPr>
        <w:p w:rsidR="00E140D7" w:rsidRDefault="0034340E" w:rsidP="07CD9126">
          <w:pPr>
            <w:pStyle w:val="Header"/>
            <w:ind w:left="-115"/>
          </w:pPr>
        </w:p>
      </w:tc>
      <w:tc>
        <w:tcPr>
          <w:tcW w:w="4320" w:type="dxa"/>
        </w:tcPr>
        <w:p w:rsidR="00E140D7" w:rsidRDefault="0034340E" w:rsidP="07CD9126">
          <w:pPr>
            <w:pStyle w:val="Header"/>
            <w:jc w:val="center"/>
          </w:pPr>
        </w:p>
      </w:tc>
      <w:tc>
        <w:tcPr>
          <w:tcW w:w="4320" w:type="dxa"/>
        </w:tcPr>
        <w:p w:rsidR="00E140D7" w:rsidRDefault="0034340E" w:rsidP="07CD9126">
          <w:pPr>
            <w:pStyle w:val="Header"/>
            <w:ind w:right="-115"/>
            <w:jc w:val="right"/>
          </w:pPr>
        </w:p>
      </w:tc>
    </w:tr>
  </w:tbl>
  <w:p w:rsidR="00E140D7" w:rsidRDefault="0034340E" w:rsidP="07CD9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D9A"/>
    <w:multiLevelType w:val="hybridMultilevel"/>
    <w:tmpl w:val="AF6AE2AA"/>
    <w:lvl w:ilvl="0" w:tplc="3A3C667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91D7B"/>
    <w:multiLevelType w:val="hybridMultilevel"/>
    <w:tmpl w:val="6DEA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5562"/>
    <w:multiLevelType w:val="multilevel"/>
    <w:tmpl w:val="B4D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A63A4"/>
    <w:multiLevelType w:val="multilevel"/>
    <w:tmpl w:val="87C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615A8"/>
    <w:multiLevelType w:val="hybridMultilevel"/>
    <w:tmpl w:val="EEEA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85F"/>
    <w:multiLevelType w:val="multilevel"/>
    <w:tmpl w:val="547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B137B"/>
    <w:multiLevelType w:val="hybridMultilevel"/>
    <w:tmpl w:val="2166C7CC"/>
    <w:lvl w:ilvl="0" w:tplc="3A3C66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5A9"/>
    <w:multiLevelType w:val="hybridMultilevel"/>
    <w:tmpl w:val="B5C4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143C"/>
    <w:multiLevelType w:val="hybridMultilevel"/>
    <w:tmpl w:val="6D12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5C"/>
    <w:rsid w:val="000F2287"/>
    <w:rsid w:val="002878BE"/>
    <w:rsid w:val="00294D96"/>
    <w:rsid w:val="002B70D9"/>
    <w:rsid w:val="0034340E"/>
    <w:rsid w:val="004C0C75"/>
    <w:rsid w:val="005576DE"/>
    <w:rsid w:val="006230CA"/>
    <w:rsid w:val="006F7250"/>
    <w:rsid w:val="006F76A4"/>
    <w:rsid w:val="007663EC"/>
    <w:rsid w:val="007D5268"/>
    <w:rsid w:val="009129A7"/>
    <w:rsid w:val="0093321D"/>
    <w:rsid w:val="00B14171"/>
    <w:rsid w:val="00CC274B"/>
    <w:rsid w:val="00D512E4"/>
    <w:rsid w:val="00D76A98"/>
    <w:rsid w:val="00DD6216"/>
    <w:rsid w:val="00E2125C"/>
    <w:rsid w:val="00E37CBF"/>
    <w:rsid w:val="00EA155C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5B33"/>
  <w15:chartTrackingRefBased/>
  <w15:docId w15:val="{7A97993D-407D-C847-8EEA-B166CCC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rants"/>
    <w:qFormat/>
    <w:rsid w:val="00EA15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250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A155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250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5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A155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A155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EA15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55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1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5C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55C"/>
    <w:rPr>
      <w:color w:val="808080"/>
      <w:shd w:val="clear" w:color="auto" w:fill="E6E6E6"/>
    </w:rPr>
  </w:style>
  <w:style w:type="character" w:customStyle="1" w:styleId="hlfld-title">
    <w:name w:val="hlfld-title"/>
    <w:basedOn w:val="DefaultParagraphFont"/>
    <w:rsid w:val="00EA155C"/>
  </w:style>
  <w:style w:type="character" w:styleId="FollowedHyperlink">
    <w:name w:val="FollowedHyperlink"/>
    <w:basedOn w:val="DefaultParagraphFont"/>
    <w:uiPriority w:val="99"/>
    <w:semiHidden/>
    <w:unhideWhenUsed/>
    <w:rsid w:val="00EA155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5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55C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A155C"/>
    <w:rPr>
      <w:vertAlign w:val="superscript"/>
    </w:rPr>
  </w:style>
  <w:style w:type="table" w:styleId="TableGrid">
    <w:name w:val="Table Grid"/>
    <w:basedOn w:val="TableNormal"/>
    <w:uiPriority w:val="39"/>
    <w:rsid w:val="00EA155C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55C"/>
    <w:pPr>
      <w:autoSpaceDE w:val="0"/>
      <w:autoSpaceDN w:val="0"/>
      <w:adjustRightInd w:val="0"/>
    </w:pPr>
    <w:rPr>
      <w:rFonts w:ascii="GVUELU+Constantia" w:hAnsi="GVUELU+Constantia" w:cs="GVUELU+Constantia"/>
      <w:color w:val="000000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155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15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A155C"/>
  </w:style>
  <w:style w:type="character" w:customStyle="1" w:styleId="eop">
    <w:name w:val="eop"/>
    <w:basedOn w:val="DefaultParagraphFont"/>
    <w:rsid w:val="00EA155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55C"/>
  </w:style>
  <w:style w:type="character" w:customStyle="1" w:styleId="DateChar">
    <w:name w:val="Date Char"/>
    <w:basedOn w:val="DefaultParagraphFont"/>
    <w:link w:val="Date"/>
    <w:uiPriority w:val="99"/>
    <w:semiHidden/>
    <w:rsid w:val="00EA155C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EA155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155C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A155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155C"/>
    <w:rPr>
      <w:rFonts w:ascii="Times New Roman" w:eastAsia="Times New Roman" w:hAnsi="Times New Roman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EA155C"/>
  </w:style>
  <w:style w:type="character" w:styleId="UnresolvedMention">
    <w:name w:val="Unresolved Mention"/>
    <w:basedOn w:val="DefaultParagraphFont"/>
    <w:uiPriority w:val="99"/>
    <w:semiHidden/>
    <w:unhideWhenUsed/>
    <w:rsid w:val="00EA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1728</Words>
  <Characters>9854</Characters>
  <Application>Microsoft Office Word</Application>
  <DocSecurity>0</DocSecurity>
  <Lines>82</Lines>
  <Paragraphs>23</Paragraphs>
  <ScaleCrop>false</ScaleCrop>
  <Company>Yale School of Public Health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PEIYIN HUNG</dc:creator>
  <cp:keywords/>
  <dc:description/>
  <cp:lastModifiedBy>PEIYIN HUNG</cp:lastModifiedBy>
  <cp:revision>3</cp:revision>
  <dcterms:created xsi:type="dcterms:W3CDTF">2019-12-06T02:39:00Z</dcterms:created>
  <dcterms:modified xsi:type="dcterms:W3CDTF">2019-12-06T02:41:00Z</dcterms:modified>
</cp:coreProperties>
</file>