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C35E" w14:textId="77777777" w:rsidR="001620CC" w:rsidRPr="007C1620" w:rsidRDefault="001620CC" w:rsidP="001620CC">
      <w:pPr>
        <w:rPr>
          <w:b/>
          <w:sz w:val="32"/>
          <w:szCs w:val="32"/>
        </w:rPr>
      </w:pPr>
      <w:r w:rsidRPr="007C1620">
        <w:rPr>
          <w:b/>
          <w:sz w:val="32"/>
          <w:szCs w:val="32"/>
        </w:rPr>
        <w:t>Supplemental data</w:t>
      </w:r>
    </w:p>
    <w:p w14:paraId="7CCDE2DB" w14:textId="77777777" w:rsidR="001620CC" w:rsidRDefault="001620CC" w:rsidP="001620CC">
      <w:pPr>
        <w:rPr>
          <w:b/>
        </w:rPr>
      </w:pPr>
    </w:p>
    <w:p w14:paraId="0184F97A" w14:textId="77777777" w:rsidR="001620CC" w:rsidRPr="001C357D" w:rsidRDefault="001620CC" w:rsidP="001620CC">
      <w:pPr>
        <w:rPr>
          <w:b/>
        </w:rPr>
      </w:pPr>
      <w:r>
        <w:rPr>
          <w:b/>
        </w:rPr>
        <w:t xml:space="preserve">Supplemental </w:t>
      </w:r>
      <w:r w:rsidRPr="001C357D">
        <w:rPr>
          <w:b/>
        </w:rPr>
        <w:t>Materials and Methods</w:t>
      </w:r>
    </w:p>
    <w:p w14:paraId="656371FE" w14:textId="77777777" w:rsidR="001620CC" w:rsidRPr="001C357D" w:rsidRDefault="001620CC" w:rsidP="001620CC"/>
    <w:p w14:paraId="74A8B17C" w14:textId="77777777" w:rsidR="00C77782" w:rsidRPr="00C77782" w:rsidRDefault="00C77782" w:rsidP="00C77782">
      <w:pPr>
        <w:spacing w:after="160" w:line="259" w:lineRule="auto"/>
      </w:pPr>
      <w:bookmarkStart w:id="0" w:name="_Hlk95901297"/>
      <w:r w:rsidRPr="00C77782">
        <w:rPr>
          <w:b/>
          <w:bCs/>
          <w:sz w:val="28"/>
          <w:szCs w:val="28"/>
        </w:rPr>
        <w:t xml:space="preserve">SOX2 expression in the pathogenesis of premalignant lesions of the uterine cervix: its </w:t>
      </w:r>
      <w:proofErr w:type="spellStart"/>
      <w:r w:rsidRPr="00C77782">
        <w:rPr>
          <w:b/>
          <w:bCs/>
          <w:sz w:val="28"/>
          <w:szCs w:val="28"/>
        </w:rPr>
        <w:t>histo</w:t>
      </w:r>
      <w:proofErr w:type="spellEnd"/>
      <w:r w:rsidRPr="00C77782">
        <w:rPr>
          <w:b/>
          <w:bCs/>
          <w:sz w:val="28"/>
          <w:szCs w:val="28"/>
        </w:rPr>
        <w:t xml:space="preserve">-topographical distribution </w:t>
      </w:r>
      <w:r w:rsidRPr="00C77782">
        <w:rPr>
          <w:b/>
          <w:bCs/>
          <w:sz w:val="28"/>
          <w:szCs w:val="28"/>
          <w:lang w:eastAsia="nl-NL"/>
        </w:rPr>
        <w:t>distinguishes between low and high grade CIN</w:t>
      </w:r>
      <w:r w:rsidRPr="00C77782">
        <w:rPr>
          <w:b/>
          <w:bCs/>
          <w:sz w:val="28"/>
          <w:szCs w:val="28"/>
        </w:rPr>
        <w:t>.</w:t>
      </w:r>
      <w:r w:rsidRPr="00C77782" w:rsidDel="00DF467C">
        <w:rPr>
          <w:b/>
          <w:bCs/>
          <w:sz w:val="28"/>
          <w:szCs w:val="28"/>
        </w:rPr>
        <w:t xml:space="preserve"> </w:t>
      </w:r>
      <w:bookmarkEnd w:id="0"/>
      <w:r w:rsidRPr="00C77782">
        <w:tab/>
      </w:r>
    </w:p>
    <w:p w14:paraId="06ADCC4D" w14:textId="77777777" w:rsidR="00C77782" w:rsidRPr="00C77782" w:rsidRDefault="00C77782" w:rsidP="00C77782">
      <w:pPr>
        <w:spacing w:line="480" w:lineRule="auto"/>
      </w:pPr>
    </w:p>
    <w:p w14:paraId="548348F7" w14:textId="77777777" w:rsidR="00C77782" w:rsidRPr="00C77782" w:rsidRDefault="00C77782" w:rsidP="00C77782">
      <w:pPr>
        <w:spacing w:line="480" w:lineRule="auto"/>
        <w:rPr>
          <w:vertAlign w:val="superscript"/>
        </w:rPr>
      </w:pPr>
      <w:r w:rsidRPr="00C77782">
        <w:t>Jobran M. Moshi</w:t>
      </w:r>
      <w:r w:rsidRPr="00C77782">
        <w:rPr>
          <w:vertAlign w:val="superscript"/>
        </w:rPr>
        <w:t>1, 2</w:t>
      </w:r>
      <w:r w:rsidRPr="00C77782">
        <w:t>, Monique Ummelen</w:t>
      </w:r>
      <w:r w:rsidRPr="00C77782">
        <w:rPr>
          <w:vertAlign w:val="superscript"/>
        </w:rPr>
        <w:t>1</w:t>
      </w:r>
      <w:r w:rsidRPr="00C77782">
        <w:t>,</w:t>
      </w:r>
      <w:r w:rsidRPr="00C77782">
        <w:rPr>
          <w:vertAlign w:val="superscript"/>
        </w:rPr>
        <w:t xml:space="preserve"> </w:t>
      </w:r>
      <w:r w:rsidRPr="00C77782">
        <w:t>Jos L.V. Broers</w:t>
      </w:r>
      <w:r w:rsidRPr="00C77782">
        <w:rPr>
          <w:vertAlign w:val="superscript"/>
        </w:rPr>
        <w:t>1</w:t>
      </w:r>
      <w:r w:rsidRPr="00C77782">
        <w:t>, Frank Smedts</w:t>
      </w:r>
      <w:r w:rsidRPr="00C77782">
        <w:rPr>
          <w:vertAlign w:val="superscript"/>
        </w:rPr>
        <w:t>3</w:t>
      </w:r>
      <w:r w:rsidRPr="00C77782">
        <w:t>, Koen K. Van de Vijver</w:t>
      </w:r>
      <w:r w:rsidRPr="00C77782">
        <w:rPr>
          <w:vertAlign w:val="superscript"/>
        </w:rPr>
        <w:t>4,5</w:t>
      </w:r>
      <w:r w:rsidRPr="00C77782">
        <w:t>, Jack P.M. Cleutjens</w:t>
      </w:r>
      <w:r w:rsidRPr="00C77782">
        <w:rPr>
          <w:vertAlign w:val="superscript"/>
        </w:rPr>
        <w:t>4</w:t>
      </w:r>
      <w:r w:rsidRPr="00C77782">
        <w:t>, Rogier J.N.T.M. Litjens</w:t>
      </w:r>
      <w:r w:rsidRPr="00C77782">
        <w:rPr>
          <w:vertAlign w:val="superscript"/>
        </w:rPr>
        <w:t>6</w:t>
      </w:r>
      <w:r w:rsidRPr="00C77782">
        <w:t>, Frans C.S. Ramaekers</w:t>
      </w:r>
      <w:r w:rsidRPr="00C77782">
        <w:rPr>
          <w:vertAlign w:val="superscript"/>
        </w:rPr>
        <w:t>1</w:t>
      </w:r>
      <w:r w:rsidRPr="00C77782">
        <w:t>, Anton H. N. Hopman</w:t>
      </w:r>
      <w:r w:rsidRPr="00C77782">
        <w:rPr>
          <w:vertAlign w:val="superscript"/>
        </w:rPr>
        <w:t>1, *</w:t>
      </w:r>
    </w:p>
    <w:p w14:paraId="4B92FEE7" w14:textId="77777777" w:rsidR="00C77782" w:rsidRPr="00C77782" w:rsidRDefault="00C77782" w:rsidP="00C77782">
      <w:pPr>
        <w:tabs>
          <w:tab w:val="left" w:pos="1620"/>
        </w:tabs>
      </w:pPr>
      <w:r w:rsidRPr="00C77782">
        <w:rPr>
          <w:vertAlign w:val="superscript"/>
        </w:rPr>
        <w:t>1</w:t>
      </w:r>
      <w:r w:rsidRPr="00C77782">
        <w:t xml:space="preserve">Department of Molecular Cell Biology, GROW-School for </w:t>
      </w:r>
      <w:r w:rsidRPr="00C77782">
        <w:rPr>
          <w:lang w:val="en-GB"/>
        </w:rPr>
        <w:t>Oncology and Reproduction</w:t>
      </w:r>
      <w:r w:rsidRPr="00C77782">
        <w:t>, Maastricht University Medical Center, Maastricht, the Netherlands.</w:t>
      </w:r>
    </w:p>
    <w:p w14:paraId="6149AF38" w14:textId="77777777" w:rsidR="00C77782" w:rsidRPr="00C77782" w:rsidRDefault="00C77782" w:rsidP="00C77782">
      <w:pPr>
        <w:autoSpaceDE w:val="0"/>
        <w:autoSpaceDN w:val="0"/>
        <w:adjustRightInd w:val="0"/>
      </w:pPr>
      <w:r w:rsidRPr="00C77782">
        <w:rPr>
          <w:vertAlign w:val="superscript"/>
        </w:rPr>
        <w:t>2</w:t>
      </w:r>
      <w:r w:rsidRPr="00C77782">
        <w:t>Department of Medical Laboratory Technology, Faculty of Applied Medical Sciences, Jazan University, Jazan, Kingdom of Saudi Arabia.</w:t>
      </w:r>
    </w:p>
    <w:p w14:paraId="62D3E63C" w14:textId="77777777" w:rsidR="00C77782" w:rsidRPr="00C77782" w:rsidRDefault="00C77782" w:rsidP="00C77782">
      <w:pPr>
        <w:autoSpaceDE w:val="0"/>
        <w:autoSpaceDN w:val="0"/>
        <w:adjustRightInd w:val="0"/>
      </w:pPr>
      <w:r w:rsidRPr="00C77782">
        <w:rPr>
          <w:vertAlign w:val="superscript"/>
        </w:rPr>
        <w:t>3</w:t>
      </w:r>
      <w:r w:rsidRPr="00C77782">
        <w:rPr>
          <w:color w:val="000000"/>
        </w:rPr>
        <w:t>Department of Pathology, Cork University Hospital, Cork, Ireland.</w:t>
      </w:r>
    </w:p>
    <w:p w14:paraId="76348567" w14:textId="77777777" w:rsidR="00C77782" w:rsidRPr="00C77782" w:rsidRDefault="00C77782" w:rsidP="00C77782">
      <w:pPr>
        <w:rPr>
          <w:color w:val="000000" w:themeColor="text1"/>
        </w:rPr>
      </w:pPr>
      <w:r w:rsidRPr="00C77782">
        <w:rPr>
          <w:vertAlign w:val="superscript"/>
        </w:rPr>
        <w:t>4</w:t>
      </w:r>
      <w:r w:rsidRPr="00C77782">
        <w:rPr>
          <w:color w:val="000000"/>
        </w:rPr>
        <w:t>Department of Pathology, CARIM-Cardiovascular Research Institute Maastricht, Maastricht University Medical Center, Maastricht, the Netherlands</w:t>
      </w:r>
      <w:r w:rsidRPr="00C77782">
        <w:rPr>
          <w:color w:val="000000" w:themeColor="text1"/>
        </w:rPr>
        <w:t>.</w:t>
      </w:r>
    </w:p>
    <w:p w14:paraId="57EEB90D" w14:textId="77777777" w:rsidR="00C77782" w:rsidRPr="00C77782" w:rsidRDefault="00C77782" w:rsidP="00C77782">
      <w:pPr>
        <w:rPr>
          <w:color w:val="000000"/>
        </w:rPr>
      </w:pPr>
      <w:r w:rsidRPr="00C77782">
        <w:rPr>
          <w:vertAlign w:val="superscript"/>
        </w:rPr>
        <w:t>5</w:t>
      </w:r>
      <w:r w:rsidRPr="00C77782">
        <w:t xml:space="preserve"> </w:t>
      </w:r>
      <w:r w:rsidRPr="00C77782">
        <w:rPr>
          <w:color w:val="000000"/>
        </w:rPr>
        <w:t>Department of Pathology, Ghent University Hospital, Cancer Research Institute Ghent (CRIG), Ghent, Belgium.</w:t>
      </w:r>
    </w:p>
    <w:p w14:paraId="7C3E12A4" w14:textId="77777777" w:rsidR="00C77782" w:rsidRPr="00C77782" w:rsidRDefault="00C77782" w:rsidP="00C77782">
      <w:pPr>
        <w:rPr>
          <w:rFonts w:eastAsiaTheme="minorHAnsi" w:cstheme="minorBidi"/>
          <w:color w:val="454545"/>
          <w:szCs w:val="20"/>
          <w:shd w:val="clear" w:color="auto" w:fill="F2F3F3"/>
        </w:rPr>
      </w:pPr>
      <w:r w:rsidRPr="00C77782">
        <w:rPr>
          <w:vertAlign w:val="superscript"/>
        </w:rPr>
        <w:t>6</w:t>
      </w:r>
      <w:r w:rsidRPr="00C77782">
        <w:rPr>
          <w:color w:val="000000"/>
          <w:shd w:val="clear" w:color="auto" w:fill="FFFFFF"/>
        </w:rPr>
        <w:t xml:space="preserve">Department of Gynecology, </w:t>
      </w:r>
      <w:r w:rsidRPr="00C77782">
        <w:rPr>
          <w:rFonts w:eastAsiaTheme="minorHAnsi" w:cstheme="minorBidi"/>
          <w:color w:val="454545"/>
          <w:szCs w:val="20"/>
          <w:shd w:val="clear" w:color="auto" w:fill="FFFFFF"/>
        </w:rPr>
        <w:t xml:space="preserve">Laurentius Hospital </w:t>
      </w:r>
      <w:proofErr w:type="spellStart"/>
      <w:r w:rsidRPr="00C77782">
        <w:rPr>
          <w:rFonts w:eastAsiaTheme="minorHAnsi" w:cstheme="minorBidi"/>
          <w:color w:val="454545"/>
          <w:szCs w:val="20"/>
          <w:shd w:val="clear" w:color="auto" w:fill="FFFFFF"/>
        </w:rPr>
        <w:t>Roermond</w:t>
      </w:r>
      <w:proofErr w:type="spellEnd"/>
      <w:r w:rsidRPr="00C77782">
        <w:rPr>
          <w:rFonts w:eastAsiaTheme="minorHAnsi" w:cstheme="minorBidi"/>
          <w:color w:val="454545"/>
          <w:szCs w:val="20"/>
          <w:shd w:val="clear" w:color="auto" w:fill="FFFFFF"/>
        </w:rPr>
        <w:t>, The Netherlands.</w:t>
      </w:r>
      <w:r w:rsidRPr="00C77782">
        <w:rPr>
          <w:rFonts w:eastAsiaTheme="minorHAnsi" w:cstheme="minorBidi"/>
          <w:color w:val="454545"/>
          <w:szCs w:val="20"/>
        </w:rPr>
        <w:br/>
      </w:r>
    </w:p>
    <w:p w14:paraId="745E257F" w14:textId="77777777" w:rsidR="00C77782" w:rsidRPr="00C77782" w:rsidRDefault="00C77782" w:rsidP="00C77782">
      <w:pPr>
        <w:spacing w:after="160" w:line="259" w:lineRule="auto"/>
        <w:rPr>
          <w:rFonts w:asciiTheme="minorHAnsi" w:eastAsiaTheme="minorHAnsi" w:hAnsiTheme="minorHAnsi" w:cstheme="minorBidi"/>
          <w:sz w:val="22"/>
          <w:szCs w:val="22"/>
        </w:rPr>
      </w:pPr>
    </w:p>
    <w:p w14:paraId="5AD16628" w14:textId="77777777" w:rsidR="00C77782" w:rsidRPr="00C77782" w:rsidRDefault="00C77782" w:rsidP="00C77782">
      <w:pPr>
        <w:rPr>
          <w:color w:val="000000"/>
          <w:shd w:val="clear" w:color="auto" w:fill="FFFFFF"/>
        </w:rPr>
      </w:pPr>
    </w:p>
    <w:p w14:paraId="2E48F176" w14:textId="77777777" w:rsidR="00C77782" w:rsidRPr="00C77782" w:rsidRDefault="00C77782" w:rsidP="00C77782">
      <w:pPr>
        <w:rPr>
          <w:color w:val="000000"/>
          <w:shd w:val="clear" w:color="auto" w:fill="FFFFFF"/>
        </w:rPr>
      </w:pPr>
    </w:p>
    <w:p w14:paraId="3F64090B" w14:textId="77777777" w:rsidR="00C77782" w:rsidRPr="00C77782" w:rsidRDefault="00C77782" w:rsidP="00C77782"/>
    <w:p w14:paraId="7BBBC847" w14:textId="77777777" w:rsidR="00C77782" w:rsidRPr="00C77782" w:rsidRDefault="00C77782" w:rsidP="00C77782"/>
    <w:p w14:paraId="6DFF5176" w14:textId="77777777" w:rsidR="00C77782" w:rsidRPr="00C77782" w:rsidRDefault="00C77782" w:rsidP="00C77782">
      <w:r w:rsidRPr="00C77782">
        <w:t>*Corresponding author:</w:t>
      </w:r>
    </w:p>
    <w:p w14:paraId="76E51DDD" w14:textId="77777777" w:rsidR="00C77782" w:rsidRPr="00C77782" w:rsidRDefault="00C77782" w:rsidP="00C77782">
      <w:pPr>
        <w:tabs>
          <w:tab w:val="center" w:pos="4320"/>
          <w:tab w:val="right" w:pos="8640"/>
        </w:tabs>
        <w:rPr>
          <w:lang w:eastAsia="nl-NL"/>
        </w:rPr>
      </w:pPr>
      <w:r w:rsidRPr="00C77782">
        <w:rPr>
          <w:lang w:eastAsia="nl-NL"/>
        </w:rPr>
        <w:t>Anton Hopman, Ph.D.</w:t>
      </w:r>
    </w:p>
    <w:p w14:paraId="4EB7AD2E" w14:textId="77777777" w:rsidR="00C77782" w:rsidRPr="00C77782" w:rsidRDefault="00C77782" w:rsidP="00C77782">
      <w:pPr>
        <w:tabs>
          <w:tab w:val="center" w:pos="4320"/>
          <w:tab w:val="right" w:pos="8640"/>
        </w:tabs>
        <w:rPr>
          <w:lang w:eastAsia="nl-NL"/>
        </w:rPr>
      </w:pPr>
      <w:r w:rsidRPr="00C77782">
        <w:rPr>
          <w:lang w:eastAsia="nl-NL"/>
        </w:rPr>
        <w:t>Department of Molecular Cell Biology,</w:t>
      </w:r>
    </w:p>
    <w:p w14:paraId="777BAE53" w14:textId="77777777" w:rsidR="00C77782" w:rsidRPr="00C77782" w:rsidRDefault="00C77782" w:rsidP="00C77782">
      <w:pPr>
        <w:tabs>
          <w:tab w:val="center" w:pos="4320"/>
          <w:tab w:val="right" w:pos="8640"/>
        </w:tabs>
        <w:rPr>
          <w:lang w:eastAsia="nl-NL"/>
        </w:rPr>
      </w:pPr>
      <w:r w:rsidRPr="00C77782">
        <w:rPr>
          <w:lang w:eastAsia="nl-NL"/>
        </w:rPr>
        <w:t>Maastricht University Medical Center,</w:t>
      </w:r>
    </w:p>
    <w:p w14:paraId="5EDBA694" w14:textId="77777777" w:rsidR="00C77782" w:rsidRPr="00C77782" w:rsidRDefault="00C77782" w:rsidP="00C77782">
      <w:pPr>
        <w:tabs>
          <w:tab w:val="center" w:pos="4320"/>
          <w:tab w:val="right" w:pos="8640"/>
        </w:tabs>
        <w:rPr>
          <w:lang w:eastAsia="nl-NL"/>
        </w:rPr>
      </w:pPr>
      <w:r w:rsidRPr="00C77782">
        <w:rPr>
          <w:lang w:val="en-GB" w:eastAsia="nl-NL"/>
        </w:rPr>
        <w:t>P.O. Box 616, 6200 MD</w:t>
      </w:r>
      <w:r w:rsidRPr="00C77782">
        <w:rPr>
          <w:lang w:eastAsia="nl-NL"/>
        </w:rPr>
        <w:t xml:space="preserve"> Maastricht, the Netherlands.</w:t>
      </w:r>
    </w:p>
    <w:p w14:paraId="2B92627E" w14:textId="77777777" w:rsidR="00C77782" w:rsidRPr="00C77782" w:rsidRDefault="00C77782" w:rsidP="00C77782">
      <w:pPr>
        <w:rPr>
          <w:lang w:val="en-GB"/>
        </w:rPr>
      </w:pPr>
      <w:r w:rsidRPr="00C77782">
        <w:rPr>
          <w:lang w:val="en-GB"/>
        </w:rPr>
        <w:t>Mobile: +31 646139090.</w:t>
      </w:r>
    </w:p>
    <w:p w14:paraId="29D956BD" w14:textId="77777777" w:rsidR="00C77782" w:rsidRPr="00C77782" w:rsidRDefault="00C77782" w:rsidP="00C77782">
      <w:r w:rsidRPr="00C77782">
        <w:t xml:space="preserve">E-mail: </w:t>
      </w:r>
      <w:hyperlink r:id="rId4" w:history="1">
        <w:r w:rsidRPr="00C77782">
          <w:rPr>
            <w:color w:val="0000FF"/>
            <w:u w:val="single"/>
          </w:rPr>
          <w:t>hopman@maastrichtuniversity.nl</w:t>
        </w:r>
      </w:hyperlink>
    </w:p>
    <w:p w14:paraId="0CF0E282" w14:textId="77777777" w:rsidR="00C77782" w:rsidRDefault="00C77782" w:rsidP="001620CC">
      <w:pPr>
        <w:spacing w:line="360" w:lineRule="auto"/>
        <w:rPr>
          <w:u w:val="single"/>
        </w:rPr>
      </w:pPr>
    </w:p>
    <w:p w14:paraId="59C1FD68" w14:textId="77777777" w:rsidR="00C77782" w:rsidRDefault="00C77782" w:rsidP="001620CC">
      <w:pPr>
        <w:spacing w:line="360" w:lineRule="auto"/>
        <w:rPr>
          <w:u w:val="single"/>
        </w:rPr>
      </w:pPr>
    </w:p>
    <w:p w14:paraId="246436E5" w14:textId="77777777" w:rsidR="00C77782" w:rsidRDefault="00C77782" w:rsidP="001620CC">
      <w:pPr>
        <w:spacing w:line="360" w:lineRule="auto"/>
        <w:rPr>
          <w:u w:val="single"/>
        </w:rPr>
      </w:pPr>
    </w:p>
    <w:p w14:paraId="53FCA222" w14:textId="77777777" w:rsidR="00C77782" w:rsidRDefault="00C77782" w:rsidP="001620CC">
      <w:pPr>
        <w:spacing w:line="360" w:lineRule="auto"/>
        <w:rPr>
          <w:u w:val="single"/>
        </w:rPr>
      </w:pPr>
    </w:p>
    <w:p w14:paraId="6DB6A2C1" w14:textId="77777777" w:rsidR="00C77782" w:rsidRDefault="00C77782" w:rsidP="001620CC">
      <w:pPr>
        <w:spacing w:line="360" w:lineRule="auto"/>
        <w:rPr>
          <w:u w:val="single"/>
        </w:rPr>
      </w:pPr>
    </w:p>
    <w:p w14:paraId="08D114F8" w14:textId="77777777" w:rsidR="00C77782" w:rsidRDefault="00C77782" w:rsidP="001620CC">
      <w:pPr>
        <w:spacing w:line="360" w:lineRule="auto"/>
        <w:rPr>
          <w:u w:val="single"/>
        </w:rPr>
      </w:pPr>
    </w:p>
    <w:p w14:paraId="175F4B30" w14:textId="77777777" w:rsidR="00C77782" w:rsidRDefault="00C77782" w:rsidP="001620CC">
      <w:pPr>
        <w:spacing w:line="360" w:lineRule="auto"/>
        <w:rPr>
          <w:u w:val="single"/>
        </w:rPr>
      </w:pPr>
    </w:p>
    <w:p w14:paraId="331911B7" w14:textId="581E2431" w:rsidR="001620CC" w:rsidRPr="001C357D" w:rsidRDefault="001620CC" w:rsidP="001620CC">
      <w:pPr>
        <w:spacing w:line="360" w:lineRule="auto"/>
        <w:rPr>
          <w:u w:val="single"/>
        </w:rPr>
      </w:pPr>
      <w:r w:rsidRPr="001C357D">
        <w:rPr>
          <w:u w:val="single"/>
        </w:rPr>
        <w:lastRenderedPageBreak/>
        <w:t>Immunohistochemistry</w:t>
      </w:r>
    </w:p>
    <w:p w14:paraId="63C962C2" w14:textId="77777777" w:rsidR="001620CC" w:rsidRDefault="001620CC" w:rsidP="001620CC">
      <w:pPr>
        <w:spacing w:line="360" w:lineRule="auto"/>
      </w:pPr>
      <w:r w:rsidRPr="001C357D">
        <w:t>After standard deparaffinization in xylene and blocking of endogenous peroxidase activity by 0.3% H</w:t>
      </w:r>
      <w:r w:rsidRPr="007D09FA">
        <w:rPr>
          <w:vertAlign w:val="subscript"/>
        </w:rPr>
        <w:t>2</w:t>
      </w:r>
      <w:r w:rsidRPr="001C357D">
        <w:t>O</w:t>
      </w:r>
      <w:r w:rsidRPr="007D09FA">
        <w:rPr>
          <w:vertAlign w:val="subscript"/>
        </w:rPr>
        <w:t>2</w:t>
      </w:r>
      <w:r>
        <w:rPr>
          <w:vertAlign w:val="subscript"/>
        </w:rPr>
        <w:t xml:space="preserve"> </w:t>
      </w:r>
      <w:r w:rsidRPr="001C357D">
        <w:t xml:space="preserve">in methanol, the 4 µm thick </w:t>
      </w:r>
      <w:r>
        <w:t xml:space="preserve">FFPE </w:t>
      </w:r>
      <w:r w:rsidRPr="001C357D">
        <w:t>tissue sections were boiled in 10 mM Tris-EDTA buffer pH 9.0 for 20 min in a microwave oven for antigen retrieval and incubated at room temperature to cool down. For bright field detection as well as fluorescent detection the same primary and secondary antibodies and enhancement kit</w:t>
      </w:r>
      <w:r>
        <w:t>s</w:t>
      </w:r>
      <w:r w:rsidRPr="001C357D">
        <w:t xml:space="preserve"> were used</w:t>
      </w:r>
      <w:r w:rsidRPr="00573E9B">
        <w:t xml:space="preserve"> </w:t>
      </w:r>
      <w:r w:rsidRPr="001C357D">
        <w:t>as listed in Supplemental Table</w:t>
      </w:r>
      <w:r>
        <w:t xml:space="preserve"> S</w:t>
      </w:r>
      <w:r w:rsidRPr="001C357D">
        <w:t>1</w:t>
      </w:r>
      <w:r>
        <w:t xml:space="preserve">. </w:t>
      </w:r>
    </w:p>
    <w:p w14:paraId="3FDE9F0B" w14:textId="77777777" w:rsidR="001620CC" w:rsidRPr="001C357D" w:rsidRDefault="001620CC" w:rsidP="001620CC">
      <w:pPr>
        <w:spacing w:line="360" w:lineRule="auto"/>
        <w:rPr>
          <w:iCs/>
        </w:rPr>
      </w:pPr>
      <w:r>
        <w:t>For bright field microscopy t</w:t>
      </w:r>
      <w:r w:rsidRPr="001C357D">
        <w:t xml:space="preserve">he antigens were detected with the primary antibodies, </w:t>
      </w:r>
      <w:r>
        <w:t xml:space="preserve">followed by </w:t>
      </w:r>
      <w:r w:rsidRPr="001C357D">
        <w:t xml:space="preserve">secondary antibodies and enhancement procedures, stained with </w:t>
      </w:r>
      <w:proofErr w:type="spellStart"/>
      <w:r w:rsidRPr="001C357D">
        <w:t>diaminobenzidine.HCl</w:t>
      </w:r>
      <w:proofErr w:type="spellEnd"/>
      <w:r w:rsidRPr="001C357D">
        <w:t xml:space="preserve"> (DAB) and finally counterstained with hematoxylin for bright field microscopical examination.</w:t>
      </w:r>
      <w:r>
        <w:t xml:space="preserve"> </w:t>
      </w:r>
      <w:r w:rsidRPr="001C357D">
        <w:t>It is important to note th</w:t>
      </w:r>
      <w:r>
        <w:t>at</w:t>
      </w:r>
      <w:r w:rsidRPr="001C357D">
        <w:t xml:space="preserve"> dilution of the primary SOX2</w:t>
      </w:r>
      <w:r>
        <w:t xml:space="preserve"> </w:t>
      </w:r>
      <w:r w:rsidRPr="001C357D">
        <w:t>antibody</w:t>
      </w:r>
      <w:r>
        <w:t>,</w:t>
      </w:r>
      <w:r w:rsidRPr="001C357D">
        <w:t xml:space="preserve"> in combination with a sensitive secondary antibody</w:t>
      </w:r>
      <w:r>
        <w:t>,</w:t>
      </w:r>
      <w:r w:rsidRPr="001C357D">
        <w:t xml:space="preserve"> </w:t>
      </w:r>
      <w:r>
        <w:t xml:space="preserve">was optimized </w:t>
      </w:r>
      <w:r w:rsidRPr="001C357D">
        <w:t>to obtain a positive nuclear staining throughout the epithelium. This could result in some cytoplasmic background staining in the endocervi</w:t>
      </w:r>
      <w:r>
        <w:t>cal epithelium</w:t>
      </w:r>
      <w:r w:rsidRPr="001C357D">
        <w:rPr>
          <w:iCs/>
        </w:rPr>
        <w:t>.</w:t>
      </w:r>
    </w:p>
    <w:p w14:paraId="5A88386B" w14:textId="5FE0712E" w:rsidR="001620CC" w:rsidRDefault="001620CC" w:rsidP="001620CC">
      <w:pPr>
        <w:pStyle w:val="authors"/>
        <w:spacing w:before="0" w:beforeAutospacing="0" w:after="0" w:afterAutospacing="0" w:line="360" w:lineRule="auto"/>
        <w:rPr>
          <w:rFonts w:ascii="Times New Roman"/>
        </w:rPr>
      </w:pPr>
      <w:r w:rsidRPr="001C357D">
        <w:rPr>
          <w:rFonts w:asciiTheme="majorBidi" w:hAnsiTheme="majorBidi" w:cstheme="majorBidi"/>
          <w:lang w:val="en-GB"/>
        </w:rPr>
        <w:t xml:space="preserve">For </w:t>
      </w:r>
      <w:r>
        <w:rPr>
          <w:rFonts w:asciiTheme="majorBidi" w:hAnsiTheme="majorBidi" w:cstheme="majorBidi"/>
          <w:lang w:val="en-GB"/>
        </w:rPr>
        <w:t xml:space="preserve">the </w:t>
      </w:r>
      <w:r w:rsidRPr="001C357D">
        <w:rPr>
          <w:rFonts w:asciiTheme="majorBidi" w:hAnsiTheme="majorBidi" w:cstheme="majorBidi"/>
          <w:lang w:val="en-GB"/>
        </w:rPr>
        <w:t xml:space="preserve">fluorescent detection of SOX2 the </w:t>
      </w:r>
      <w:proofErr w:type="spellStart"/>
      <w:r w:rsidRPr="001C357D">
        <w:rPr>
          <w:rFonts w:asciiTheme="majorBidi" w:hAnsiTheme="majorBidi" w:cstheme="majorBidi"/>
          <w:lang w:val="en-GB"/>
        </w:rPr>
        <w:t>catalyzed</w:t>
      </w:r>
      <w:proofErr w:type="spellEnd"/>
      <w:r w:rsidRPr="001C357D">
        <w:rPr>
          <w:rFonts w:asciiTheme="majorBidi" w:hAnsiTheme="majorBidi" w:cstheme="majorBidi"/>
          <w:lang w:val="en-GB"/>
        </w:rPr>
        <w:t xml:space="preserve"> reporter deposition </w:t>
      </w:r>
      <w:r w:rsidRPr="001C357D">
        <w:rPr>
          <w:rFonts w:ascii="Times New Roman"/>
          <w:lang w:val="en-GB"/>
        </w:rPr>
        <w:t>(</w:t>
      </w:r>
      <w:r w:rsidRPr="001C357D">
        <w:rPr>
          <w:rFonts w:ascii="Times New Roman"/>
        </w:rPr>
        <w:t xml:space="preserve">CARD) reaction was </w:t>
      </w:r>
      <w:r w:rsidRPr="0084430A">
        <w:rPr>
          <w:rFonts w:ascii="Times New Roman"/>
        </w:rPr>
        <w:t>performed</w:t>
      </w:r>
      <w:r w:rsidRPr="00DB0389">
        <w:rPr>
          <w:rFonts w:ascii="Times New Roman"/>
        </w:rPr>
        <w:t xml:space="preserve"> </w:t>
      </w:r>
      <w:r w:rsidRPr="00AF1957">
        <w:rPr>
          <w:rFonts w:ascii="Times New Roman"/>
        </w:rPr>
        <w:t xml:space="preserve">as described earlier </w:t>
      </w:r>
      <w:r w:rsidRPr="00DB0389">
        <w:rPr>
          <w:rFonts w:ascii="Times New Roman"/>
        </w:rPr>
        <w:t>using</w:t>
      </w:r>
      <w:r w:rsidRPr="001C357D">
        <w:rPr>
          <w:rFonts w:ascii="Times New Roman"/>
        </w:rPr>
        <w:t xml:space="preserve"> FITC-</w:t>
      </w:r>
      <w:proofErr w:type="spellStart"/>
      <w:r w:rsidRPr="001C357D">
        <w:rPr>
          <w:rFonts w:ascii="Times New Roman"/>
        </w:rPr>
        <w:t>tyramide</w:t>
      </w:r>
      <w:proofErr w:type="spellEnd"/>
      <w:r w:rsidRPr="001C357D">
        <w:rPr>
          <w:rFonts w:ascii="Times New Roman"/>
        </w:rPr>
        <w:t xml:space="preserve"> as a substrate</w:t>
      </w:r>
      <w:r w:rsidR="00BD1847">
        <w:rPr>
          <w:rFonts w:ascii="Times New Roman"/>
        </w:rPr>
        <w:t>.</w:t>
      </w:r>
      <w:r w:rsidR="00F92DFC">
        <w:rPr>
          <w:rFonts w:ascii="Times New Roman"/>
        </w:rPr>
        <w:t xml:space="preserve"> </w:t>
      </w:r>
      <w:r w:rsidRPr="001C357D">
        <w:rPr>
          <w:rFonts w:ascii="Times New Roman"/>
        </w:rPr>
        <w:t xml:space="preserve">The </w:t>
      </w:r>
      <w:proofErr w:type="spellStart"/>
      <w:r w:rsidRPr="001C357D">
        <w:rPr>
          <w:rFonts w:ascii="Times New Roman"/>
        </w:rPr>
        <w:t>tyramide</w:t>
      </w:r>
      <w:proofErr w:type="spellEnd"/>
      <w:r w:rsidRPr="001C357D">
        <w:rPr>
          <w:rFonts w:ascii="Times New Roman"/>
        </w:rPr>
        <w:t xml:space="preserve"> reaction at a concentration of 10 ug/ml was performed in PBS containing 0.1 M imidazole, pH 7.6, and 0.001% H</w:t>
      </w:r>
      <w:r w:rsidRPr="007D09FA">
        <w:rPr>
          <w:rFonts w:ascii="Times New Roman"/>
          <w:vertAlign w:val="subscript"/>
        </w:rPr>
        <w:t>2</w:t>
      </w:r>
      <w:r w:rsidRPr="001C357D">
        <w:rPr>
          <w:rFonts w:ascii="Times New Roman"/>
        </w:rPr>
        <w:t>O</w:t>
      </w:r>
      <w:r w:rsidRPr="007D09FA">
        <w:rPr>
          <w:rFonts w:ascii="Times New Roman"/>
          <w:vertAlign w:val="subscript"/>
        </w:rPr>
        <w:t>2</w:t>
      </w:r>
      <w:r w:rsidRPr="001C357D">
        <w:rPr>
          <w:rFonts w:ascii="Times New Roman"/>
        </w:rPr>
        <w:t>,</w:t>
      </w:r>
      <w:r>
        <w:rPr>
          <w:rFonts w:ascii="Times New Roman"/>
        </w:rPr>
        <w:t xml:space="preserve"> for</w:t>
      </w:r>
      <w:r w:rsidRPr="001C357D">
        <w:rPr>
          <w:rFonts w:ascii="Times New Roman"/>
        </w:rPr>
        <w:t xml:space="preserve"> 15 minutes at room temperature. The slides were </w:t>
      </w:r>
      <w:r w:rsidRPr="00D46471">
        <w:rPr>
          <w:rFonts w:ascii="Times New Roman"/>
        </w:rPr>
        <w:t xml:space="preserve">washed with </w:t>
      </w:r>
      <w:proofErr w:type="spellStart"/>
      <w:r w:rsidRPr="00D46471">
        <w:rPr>
          <w:rFonts w:ascii="Times New Roman"/>
        </w:rPr>
        <w:t>MilliQ</w:t>
      </w:r>
      <w:proofErr w:type="spellEnd"/>
      <w:r w:rsidRPr="00D46471">
        <w:rPr>
          <w:rFonts w:ascii="Times New Roman"/>
        </w:rPr>
        <w:t xml:space="preserve"> water, dehydrated in</w:t>
      </w:r>
      <w:r w:rsidRPr="001C357D">
        <w:rPr>
          <w:rFonts w:ascii="Times New Roman"/>
        </w:rPr>
        <w:t xml:space="preserve"> an</w:t>
      </w:r>
      <w:r>
        <w:rPr>
          <w:rFonts w:ascii="Times New Roman"/>
        </w:rPr>
        <w:t xml:space="preserve"> ascending</w:t>
      </w:r>
      <w:r w:rsidRPr="001C357D">
        <w:rPr>
          <w:rFonts w:ascii="Times New Roman"/>
        </w:rPr>
        <w:t xml:space="preserve"> ethanol series and mounted in </w:t>
      </w:r>
      <w:proofErr w:type="spellStart"/>
      <w:r w:rsidRPr="001C357D">
        <w:rPr>
          <w:rFonts w:ascii="Times New Roman"/>
        </w:rPr>
        <w:t>Vectashield</w:t>
      </w:r>
      <w:proofErr w:type="spellEnd"/>
      <w:r w:rsidRPr="001C357D">
        <w:rPr>
          <w:rFonts w:ascii="Times New Roman"/>
        </w:rPr>
        <w:t xml:space="preserve"> (Vector Laboratories), containing 4',6-diamidino-2-phenylindole (DAPI; Sigma</w:t>
      </w:r>
      <w:r>
        <w:rPr>
          <w:rFonts w:ascii="Times New Roman"/>
        </w:rPr>
        <w:t>;</w:t>
      </w:r>
      <w:r w:rsidRPr="001C357D">
        <w:rPr>
          <w:rFonts w:ascii="Times New Roman"/>
        </w:rPr>
        <w:t xml:space="preserve"> 0.5 µg/ml)</w:t>
      </w:r>
      <w:r>
        <w:rPr>
          <w:rFonts w:ascii="Times New Roman"/>
        </w:rPr>
        <w:t xml:space="preserve"> for nuclear DNA staining</w:t>
      </w:r>
      <w:r w:rsidRPr="001C357D">
        <w:rPr>
          <w:rFonts w:ascii="Times New Roman"/>
        </w:rPr>
        <w:t xml:space="preserve">. </w:t>
      </w:r>
    </w:p>
    <w:p w14:paraId="36E94F64" w14:textId="77777777" w:rsidR="001620CC" w:rsidRDefault="001620CC" w:rsidP="001620CC">
      <w:pPr>
        <w:pStyle w:val="authors"/>
        <w:spacing w:before="0" w:beforeAutospacing="0" w:after="0" w:afterAutospacing="0" w:line="360" w:lineRule="auto"/>
        <w:rPr>
          <w:rFonts w:ascii="Times New Roman"/>
          <w:u w:val="single"/>
          <w:lang w:val="en-GB"/>
        </w:rPr>
      </w:pPr>
    </w:p>
    <w:p w14:paraId="2F978619" w14:textId="77777777" w:rsidR="001620CC" w:rsidRPr="001C357D" w:rsidRDefault="001620CC" w:rsidP="001620CC">
      <w:pPr>
        <w:pStyle w:val="authors"/>
        <w:spacing w:before="0" w:beforeAutospacing="0" w:after="0" w:afterAutospacing="0" w:line="360" w:lineRule="auto"/>
        <w:rPr>
          <w:rFonts w:ascii="Times New Roman"/>
          <w:u w:val="single"/>
          <w:lang w:val="en-GB"/>
        </w:rPr>
      </w:pPr>
      <w:r w:rsidRPr="001C357D">
        <w:rPr>
          <w:rFonts w:ascii="Times New Roman"/>
          <w:u w:val="single"/>
          <w:lang w:val="en-GB"/>
        </w:rPr>
        <w:t xml:space="preserve">Imaging </w:t>
      </w:r>
      <w:r>
        <w:rPr>
          <w:rFonts w:ascii="Times New Roman"/>
          <w:u w:val="single"/>
          <w:lang w:val="en-GB"/>
        </w:rPr>
        <w:t>of bright field and fluorescent immunostaining</w:t>
      </w:r>
    </w:p>
    <w:p w14:paraId="63002D98" w14:textId="77777777" w:rsidR="001620CC" w:rsidRPr="001C357D" w:rsidRDefault="001620CC" w:rsidP="001620CC">
      <w:pPr>
        <w:pStyle w:val="authors"/>
        <w:spacing w:before="0" w:beforeAutospacing="0" w:after="0" w:afterAutospacing="0" w:line="360" w:lineRule="auto"/>
        <w:rPr>
          <w:rFonts w:ascii="Times New Roman"/>
          <w:iCs/>
        </w:rPr>
      </w:pPr>
      <w:r w:rsidRPr="00D46471">
        <w:rPr>
          <w:rFonts w:ascii="Times New Roman"/>
          <w:lang w:val="en-GB"/>
        </w:rPr>
        <w:t>The bright field sections</w:t>
      </w:r>
      <w:r w:rsidRPr="001C357D">
        <w:rPr>
          <w:rFonts w:ascii="Times New Roman"/>
          <w:lang w:val="en-GB"/>
        </w:rPr>
        <w:t xml:space="preserve"> were scanned with a </w:t>
      </w:r>
      <w:r>
        <w:rPr>
          <w:rFonts w:ascii="Times New Roman"/>
          <w:lang w:val="en-GB"/>
        </w:rPr>
        <w:t xml:space="preserve">Roche </w:t>
      </w:r>
      <w:r w:rsidRPr="001C357D">
        <w:rPr>
          <w:rFonts w:ascii="Times New Roman"/>
          <w:lang w:val="en-GB"/>
        </w:rPr>
        <w:t xml:space="preserve">Ventana </w:t>
      </w:r>
      <w:proofErr w:type="spellStart"/>
      <w:r w:rsidRPr="001C357D">
        <w:rPr>
          <w:rFonts w:ascii="Times New Roman"/>
          <w:lang w:val="en-GB"/>
        </w:rPr>
        <w:t>iScan</w:t>
      </w:r>
      <w:proofErr w:type="spellEnd"/>
      <w:r w:rsidRPr="001C357D">
        <w:rPr>
          <w:rFonts w:ascii="Times New Roman"/>
          <w:lang w:val="en-GB"/>
        </w:rPr>
        <w:t xml:space="preserve"> HT slide scanner (</w:t>
      </w:r>
      <w:r>
        <w:rPr>
          <w:rFonts w:ascii="Times New Roman"/>
          <w:lang w:val="en-GB"/>
        </w:rPr>
        <w:t xml:space="preserve">Roche, </w:t>
      </w:r>
      <w:r w:rsidRPr="001C357D">
        <w:rPr>
          <w:rFonts w:ascii="Times New Roman"/>
          <w:lang w:val="en-GB"/>
        </w:rPr>
        <w:t>Ventana Medical Systems, Inc. Tucson, Arizona, USA) and semi-quantitatively scored for expression of</w:t>
      </w:r>
      <w:r w:rsidRPr="001C357D">
        <w:rPr>
          <w:rFonts w:ascii="Times New Roman"/>
        </w:rPr>
        <w:t xml:space="preserve"> SOX2 and p16.</w:t>
      </w:r>
      <w:r w:rsidRPr="001C357D">
        <w:rPr>
          <w:rFonts w:ascii="Times New Roman"/>
          <w:lang w:val="en-GB"/>
        </w:rPr>
        <w:t xml:space="preserve"> Images were viewed and selected using Image Viewer Software (</w:t>
      </w:r>
      <w:r>
        <w:rPr>
          <w:rFonts w:ascii="Times New Roman"/>
          <w:lang w:val="en-GB"/>
        </w:rPr>
        <w:t xml:space="preserve">Roche, </w:t>
      </w:r>
      <w:r w:rsidRPr="001C357D">
        <w:rPr>
          <w:rFonts w:ascii="Times New Roman"/>
          <w:lang w:val="en-GB"/>
        </w:rPr>
        <w:t>Ventana MS).</w:t>
      </w:r>
    </w:p>
    <w:p w14:paraId="18E2091F" w14:textId="77777777" w:rsidR="001620CC" w:rsidRDefault="001620CC" w:rsidP="001620CC">
      <w:pPr>
        <w:spacing w:line="360" w:lineRule="auto"/>
        <w:outlineLvl w:val="0"/>
      </w:pPr>
      <w:r w:rsidRPr="00D46471">
        <w:rPr>
          <w:lang w:val="en-GB"/>
        </w:rPr>
        <w:t>The fluorescently labelled sections</w:t>
      </w:r>
      <w:r w:rsidRPr="001C357D">
        <w:rPr>
          <w:lang w:val="en-GB"/>
        </w:rPr>
        <w:t xml:space="preserve"> were </w:t>
      </w:r>
      <w:r w:rsidRPr="001C357D">
        <w:rPr>
          <w:color w:val="000000"/>
          <w:shd w:val="clear" w:color="auto" w:fill="FFFFFF"/>
        </w:rPr>
        <w:t xml:space="preserve">imaged with a laser scanning confocal microscope (Leica SPE confocal) using LAS AF software (Leica Application Suite Advanced Fluorescence, version 2.7.3.9723). Imaging was done in acquisition mode </w:t>
      </w:r>
      <w:proofErr w:type="spellStart"/>
      <w:r w:rsidRPr="001C357D">
        <w:rPr>
          <w:color w:val="000000"/>
          <w:shd w:val="clear" w:color="auto" w:fill="FFFFFF"/>
        </w:rPr>
        <w:t>xyz</w:t>
      </w:r>
      <w:proofErr w:type="spellEnd"/>
      <w:r w:rsidRPr="001C357D">
        <w:rPr>
          <w:color w:val="000000"/>
          <w:shd w:val="clear" w:color="auto" w:fill="FFFFFF"/>
        </w:rPr>
        <w:t>, with an ACS APO 63.0x1.30 oil immersion lens, a gain of 800-1000V, offset between -0.5 and 0%, format of 1024x1024 pixels, speed of 400 Hz and frame average of 3. For excitation, a laser wavelength of 405 nm (approx. 10% power) was used</w:t>
      </w:r>
      <w:r w:rsidRPr="001C357D">
        <w:rPr>
          <w:rFonts w:asciiTheme="majorBidi" w:hAnsiTheme="majorBidi" w:cstheme="majorBidi"/>
          <w:color w:val="000000"/>
          <w:shd w:val="clear" w:color="auto" w:fill="FFFFFF"/>
        </w:rPr>
        <w:t xml:space="preserve"> (pre-defined LUTs, GLOW O&amp;U)</w:t>
      </w:r>
      <w:r w:rsidRPr="001C357D">
        <w:rPr>
          <w:color w:val="000000"/>
          <w:shd w:val="clear" w:color="auto" w:fill="FFFFFF"/>
        </w:rPr>
        <w:t>. FITC emission was recorded at 488nm (detection bandwidth 5nm)</w:t>
      </w:r>
      <w:r w:rsidRPr="001C357D">
        <w:rPr>
          <w:rStyle w:val="Emphasis"/>
          <w:color w:val="000000"/>
          <w:shd w:val="clear" w:color="auto" w:fill="FFFFFF"/>
        </w:rPr>
        <w:t> </w:t>
      </w:r>
      <w:r w:rsidRPr="001C357D">
        <w:rPr>
          <w:color w:val="000000"/>
          <w:shd w:val="clear" w:color="auto" w:fill="FFFFFF"/>
        </w:rPr>
        <w:t xml:space="preserve">in acquisition mode </w:t>
      </w:r>
      <w:proofErr w:type="spellStart"/>
      <w:r w:rsidRPr="00F60B04">
        <w:rPr>
          <w:color w:val="000000"/>
          <w:shd w:val="clear" w:color="auto" w:fill="FFFFFF"/>
        </w:rPr>
        <w:t>xyz</w:t>
      </w:r>
      <w:proofErr w:type="spellEnd"/>
      <w:r w:rsidRPr="00D6771A">
        <w:rPr>
          <w:color w:val="000000"/>
          <w:shd w:val="clear" w:color="auto" w:fill="FFFFFF"/>
        </w:rPr>
        <w:t>.</w:t>
      </w:r>
      <w:r w:rsidRPr="001C357D">
        <w:rPr>
          <w:color w:val="000000"/>
          <w:shd w:val="clear" w:color="auto" w:fill="FFFFFF"/>
        </w:rPr>
        <w:t xml:space="preserve"> </w:t>
      </w:r>
      <w:r w:rsidRPr="001C357D">
        <w:lastRenderedPageBreak/>
        <w:t>Images were imported in Image J</w:t>
      </w:r>
      <w:r>
        <w:t xml:space="preserve">, </w:t>
      </w:r>
      <w:r w:rsidRPr="000C6562">
        <w:rPr>
          <w:rFonts w:asciiTheme="majorBidi" w:hAnsiTheme="majorBidi" w:cstheme="majorBidi"/>
          <w:color w:val="000000" w:themeColor="text1"/>
          <w:shd w:val="clear" w:color="auto" w:fill="FFFFFF"/>
        </w:rPr>
        <w:t>NIH, Bethesda</w:t>
      </w:r>
      <w:r w:rsidRPr="000C6562">
        <w:rPr>
          <w:rFonts w:asciiTheme="majorBidi" w:hAnsiTheme="majorBidi" w:cstheme="majorBidi"/>
          <w:color w:val="000000" w:themeColor="text1"/>
          <w:shd w:val="clear" w:color="auto" w:fill="F8F9FA"/>
        </w:rPr>
        <w:t>,</w:t>
      </w:r>
      <w:r w:rsidRPr="000C6562">
        <w:rPr>
          <w:rStyle w:val="apple-converted-space"/>
          <w:rFonts w:asciiTheme="majorBidi" w:hAnsiTheme="majorBidi" w:cstheme="majorBidi"/>
          <w:color w:val="000000" w:themeColor="text1"/>
          <w:shd w:val="clear" w:color="auto" w:fill="F8F9FA"/>
        </w:rPr>
        <w:t> </w:t>
      </w:r>
      <w:hyperlink r:id="rId5" w:tooltip="Maryland" w:history="1">
        <w:r w:rsidRPr="007C1620">
          <w:rPr>
            <w:rStyle w:val="Hyperlink"/>
            <w:rFonts w:asciiTheme="majorBidi" w:hAnsiTheme="majorBidi" w:cstheme="majorBidi"/>
            <w:color w:val="000000" w:themeColor="text1"/>
            <w:u w:val="none"/>
          </w:rPr>
          <w:t>Maryland</w:t>
        </w:r>
      </w:hyperlink>
      <w:r w:rsidRPr="007C1620">
        <w:rPr>
          <w:rFonts w:asciiTheme="majorBidi" w:hAnsiTheme="majorBidi" w:cstheme="majorBidi"/>
          <w:color w:val="000000" w:themeColor="text1"/>
          <w:shd w:val="clear" w:color="auto" w:fill="F8F9FA"/>
        </w:rPr>
        <w:t>,</w:t>
      </w:r>
      <w:r w:rsidRPr="000C6562">
        <w:rPr>
          <w:rFonts w:asciiTheme="majorBidi" w:hAnsiTheme="majorBidi" w:cstheme="majorBidi"/>
          <w:color w:val="000000" w:themeColor="text1"/>
          <w:shd w:val="clear" w:color="auto" w:fill="F8F9FA"/>
        </w:rPr>
        <w:t xml:space="preserve"> USA</w:t>
      </w:r>
      <w:r w:rsidRPr="001C357D">
        <w:t xml:space="preserve">) and areas of interest were selected. The scans from the confocal microscope were </w:t>
      </w:r>
      <w:r>
        <w:t xml:space="preserve">combined (summed) </w:t>
      </w:r>
      <w:r w:rsidRPr="001C357D">
        <w:t xml:space="preserve">and the channels were split in </w:t>
      </w:r>
      <w:r>
        <w:t>red</w:t>
      </w:r>
      <w:r w:rsidRPr="001C357D">
        <w:t xml:space="preserve">, </w:t>
      </w:r>
      <w:r>
        <w:t>green</w:t>
      </w:r>
      <w:r w:rsidRPr="001C357D">
        <w:t xml:space="preserve">, and </w:t>
      </w:r>
      <w:r>
        <w:t>blue</w:t>
      </w:r>
      <w:r w:rsidRPr="001C357D">
        <w:t>. A fluorescent line scan measurement was performed to obtain a profile plot across the epitheli</w:t>
      </w:r>
      <w:r>
        <w:t>al layers</w:t>
      </w:r>
      <w:r w:rsidRPr="001C357D">
        <w:t xml:space="preserve"> of interest (basal to superficial layer</w:t>
      </w:r>
      <w:r>
        <w:t>s</w:t>
      </w:r>
      <w:r w:rsidRPr="001C357D">
        <w:t>).  The intensity curve was used to set the background correction. The background was subtracted from the total fluorescen</w:t>
      </w:r>
      <w:r>
        <w:t>ce</w:t>
      </w:r>
      <w:r w:rsidRPr="001C357D">
        <w:t xml:space="preserve"> intensity measured. For the total fluorescen</w:t>
      </w:r>
      <w:r>
        <w:t>ce</w:t>
      </w:r>
      <w:r w:rsidRPr="001C357D">
        <w:t xml:space="preserve"> intensity per nucleus, the blue </w:t>
      </w:r>
      <w:r>
        <w:t xml:space="preserve">DNA staining </w:t>
      </w:r>
      <w:r w:rsidRPr="001C357D">
        <w:t xml:space="preserve">(DAPI image) was used to set the contour of the measurement. </w:t>
      </w:r>
      <w:r w:rsidRPr="00A009BB">
        <w:t>For each SOX2 pattern 5 different patients were analyzed, and per area 30 nuclei (10 in the basal/parabasal layers, 10 in the intermediate layers and 10 in the superficial layers) were measured.</w:t>
      </w:r>
      <w:r w:rsidRPr="001C357D">
        <w:t xml:space="preserve"> </w:t>
      </w:r>
    </w:p>
    <w:p w14:paraId="3284A921" w14:textId="77777777" w:rsidR="001620CC" w:rsidRPr="001C357D" w:rsidRDefault="001620CC" w:rsidP="001620CC">
      <w:pPr>
        <w:spacing w:line="360" w:lineRule="auto"/>
        <w:outlineLvl w:val="0"/>
        <w:rPr>
          <w:color w:val="000000"/>
          <w:shd w:val="clear" w:color="auto" w:fill="FFFFFF"/>
        </w:rPr>
      </w:pPr>
    </w:p>
    <w:p w14:paraId="265919AD" w14:textId="77777777" w:rsidR="001620CC" w:rsidRPr="00F60B04" w:rsidRDefault="001620CC" w:rsidP="001620CC">
      <w:pPr>
        <w:spacing w:line="360" w:lineRule="auto"/>
        <w:rPr>
          <w:b/>
          <w:bCs/>
        </w:rPr>
      </w:pPr>
      <w:r w:rsidRPr="00F60B04">
        <w:rPr>
          <w:u w:val="single"/>
        </w:rPr>
        <w:t>In Situ Hybridization</w:t>
      </w:r>
    </w:p>
    <w:p w14:paraId="433ACEA6" w14:textId="77777777" w:rsidR="001620CC" w:rsidRPr="00F60B04" w:rsidRDefault="001620CC" w:rsidP="001620CC">
      <w:pPr>
        <w:spacing w:line="360" w:lineRule="auto"/>
      </w:pPr>
      <w:r w:rsidRPr="00F60B04">
        <w:rPr>
          <w:u w:val="single"/>
        </w:rPr>
        <w:t>Fluorescence (FISH) or chromogenic in situ hybridization (CISH) for HPV detection</w:t>
      </w:r>
      <w:r w:rsidRPr="00F60B04">
        <w:t xml:space="preserve">: </w:t>
      </w:r>
    </w:p>
    <w:p w14:paraId="4216971D" w14:textId="666AA447" w:rsidR="001620CC" w:rsidRPr="00F60B04" w:rsidRDefault="001620CC" w:rsidP="001620CC">
      <w:pPr>
        <w:spacing w:line="360" w:lineRule="auto"/>
      </w:pPr>
      <w:r w:rsidRPr="00F60B04">
        <w:t xml:space="preserve">The probes for HPV16, HPV18, </w:t>
      </w:r>
      <w:r>
        <w:t xml:space="preserve">HPV31 and </w:t>
      </w:r>
      <w:r w:rsidRPr="00F60B04">
        <w:t>HPV33 (</w:t>
      </w:r>
      <w:proofErr w:type="spellStart"/>
      <w:r w:rsidRPr="00F60B04">
        <w:t>PanPath</w:t>
      </w:r>
      <w:proofErr w:type="spellEnd"/>
      <w:r w:rsidRPr="00F60B04">
        <w:t>, Uden, The Netherlands) were label</w:t>
      </w:r>
      <w:r w:rsidR="00B02A09">
        <w:t>l</w:t>
      </w:r>
      <w:r w:rsidRPr="00F60B04">
        <w:t>ed with biotin by standard nick translation and used at a concentration of 1 ng/µl in a solution containing 50% formamide, 2×SSC (saline-sodium citrate buffer;</w:t>
      </w:r>
      <w:r w:rsidRPr="00F60B04">
        <w:rPr>
          <w:rStyle w:val="apple-converted-space"/>
        </w:rPr>
        <w:t> </w:t>
      </w:r>
      <w:r w:rsidRPr="00F60B04">
        <w:t>0.15</w:t>
      </w:r>
      <w:r w:rsidRPr="00F60B04">
        <w:rPr>
          <w:rStyle w:val="apple-converted-space"/>
        </w:rPr>
        <w:t> </w:t>
      </w:r>
      <w:hyperlink r:id="rId6" w:tooltip="Molar (concentration)" w:history="1">
        <w:r w:rsidRPr="00C83919">
          <w:rPr>
            <w:rStyle w:val="Hyperlink"/>
            <w:color w:val="000000" w:themeColor="text1"/>
            <w:u w:val="none"/>
          </w:rPr>
          <w:t>M</w:t>
        </w:r>
      </w:hyperlink>
      <w:r w:rsidRPr="00C83919">
        <w:rPr>
          <w:rStyle w:val="apple-converted-space"/>
          <w:color w:val="000000" w:themeColor="text1"/>
        </w:rPr>
        <w:t> </w:t>
      </w:r>
      <w:hyperlink r:id="rId7" w:tooltip="Sodium chloride" w:history="1">
        <w:r w:rsidRPr="00C83919">
          <w:rPr>
            <w:rStyle w:val="Hyperlink"/>
            <w:color w:val="000000" w:themeColor="text1"/>
            <w:u w:val="none"/>
          </w:rPr>
          <w:t>sodium chloride</w:t>
        </w:r>
      </w:hyperlink>
      <w:r w:rsidRPr="00C83919">
        <w:rPr>
          <w:rStyle w:val="apple-converted-space"/>
          <w:color w:val="000000" w:themeColor="text1"/>
        </w:rPr>
        <w:t> </w:t>
      </w:r>
      <w:r w:rsidRPr="00C83919">
        <w:rPr>
          <w:color w:val="000000" w:themeColor="text1"/>
        </w:rPr>
        <w:t>a</w:t>
      </w:r>
      <w:r w:rsidRPr="00F60B04">
        <w:t>nd 1</w:t>
      </w:r>
      <w:r w:rsidRPr="00A009BB">
        <w:rPr>
          <w:color w:val="000000" w:themeColor="text1"/>
        </w:rPr>
        <w:t>5</w:t>
      </w:r>
      <w:r w:rsidRPr="00A009BB">
        <w:rPr>
          <w:rStyle w:val="apple-converted-space"/>
          <w:color w:val="000000" w:themeColor="text1"/>
        </w:rPr>
        <w:t> </w:t>
      </w:r>
      <w:hyperlink r:id="rId8" w:tooltip="Milli-" w:history="1">
        <w:r w:rsidRPr="00C83919">
          <w:rPr>
            <w:rStyle w:val="Hyperlink"/>
            <w:color w:val="000000" w:themeColor="text1"/>
            <w:u w:val="none"/>
          </w:rPr>
          <w:t>m</w:t>
        </w:r>
      </w:hyperlink>
      <w:r w:rsidRPr="00C83919">
        <w:rPr>
          <w:color w:val="000000" w:themeColor="text1"/>
        </w:rPr>
        <w:t>M</w:t>
      </w:r>
      <w:r w:rsidRPr="00C83919">
        <w:rPr>
          <w:rStyle w:val="apple-converted-space"/>
          <w:color w:val="000000" w:themeColor="text1"/>
        </w:rPr>
        <w:t> </w:t>
      </w:r>
      <w:hyperlink r:id="rId9" w:tooltip="Trisodium citrate" w:history="1">
        <w:r w:rsidRPr="00C83919">
          <w:rPr>
            <w:rStyle w:val="Hyperlink"/>
            <w:color w:val="000000" w:themeColor="text1"/>
            <w:u w:val="none"/>
          </w:rPr>
          <w:t>trisodium citrate</w:t>
        </w:r>
      </w:hyperlink>
      <w:r w:rsidRPr="00C83919">
        <w:rPr>
          <w:rStyle w:val="apple-converted-space"/>
          <w:color w:val="000000" w:themeColor="text1"/>
        </w:rPr>
        <w:t> </w:t>
      </w:r>
      <w:hyperlink r:id="rId10" w:tooltip="PH" w:history="1">
        <w:r w:rsidRPr="00C83919">
          <w:rPr>
            <w:rStyle w:val="Hyperlink"/>
            <w:color w:val="000000" w:themeColor="text1"/>
            <w:u w:val="none"/>
          </w:rPr>
          <w:t>pH</w:t>
        </w:r>
      </w:hyperlink>
      <w:r w:rsidRPr="00F60B04">
        <w:rPr>
          <w:rStyle w:val="apple-converted-space"/>
        </w:rPr>
        <w:t> </w:t>
      </w:r>
      <w:r w:rsidRPr="00F60B04">
        <w:t>7.0), 10% dextran sulphate (Sigma, Steinheim, Germany; MW</w:t>
      </w:r>
      <w:r w:rsidRPr="006E500D">
        <w:t>&gt;</w:t>
      </w:r>
      <w:r w:rsidRPr="00A009BB">
        <w:t>100,000</w:t>
      </w:r>
      <w:r w:rsidRPr="006E500D">
        <w:t>)</w:t>
      </w:r>
      <w:r w:rsidRPr="00F60B04">
        <w:t xml:space="preserve"> and 50 times excess of carrier DNA (salmon sperm DNA; Sigma, Steinheim, Germany). The HPV probes were applied under a coverslip, denatured for 10 min at 80°C and hybridized overnight at 37°C. After the post-hybridization washings for FISH the hybridized HPV-biotin probes were detected with a triple layer detection method, consisting of subsequently FITC or TRITC-conjugated avidin (1:500 dilution; Vector Laboratories, CA, USA), biotinylated goat anti-avidin (1:100 dilution; Vector Laboratories) and finally FITC or TRITC-conjugated avidin, each for 15 min at RT. All incubations were performed in 4x SSC containing 5% non-fat dry milk.  The slides were washed in 4x SSC containing 0.05% Tween-20, dehydrated in an ascending ethanol series and mounted in </w:t>
      </w:r>
      <w:proofErr w:type="spellStart"/>
      <w:r w:rsidRPr="00F60B04">
        <w:t>Vectashield</w:t>
      </w:r>
      <w:proofErr w:type="spellEnd"/>
      <w:r w:rsidRPr="00F60B04">
        <w:t xml:space="preserve"> (Vector Laboratories), containing </w:t>
      </w:r>
      <w:r w:rsidRPr="00F60B04">
        <w:rPr>
          <w:shd w:val="clear" w:color="auto" w:fill="FFFFFF"/>
        </w:rPr>
        <w:t>4',6-diamidino-2-phenylindole (</w:t>
      </w:r>
      <w:r w:rsidRPr="00F60B04">
        <w:t xml:space="preserve">DAPI; Sigma; 0.5 µg/ml). </w:t>
      </w:r>
    </w:p>
    <w:p w14:paraId="77B00115" w14:textId="77777777" w:rsidR="001620CC" w:rsidRDefault="001620CC" w:rsidP="001620CC">
      <w:pPr>
        <w:spacing w:line="360" w:lineRule="auto"/>
      </w:pPr>
      <w:r w:rsidRPr="000C6562">
        <w:t xml:space="preserve">For CISH, the hybridized HPV probe was detected in a triple layer detection method with </w:t>
      </w:r>
      <w:r>
        <w:t xml:space="preserve">subsequently </w:t>
      </w:r>
      <w:r w:rsidRPr="000C6562">
        <w:t xml:space="preserve">peroxidase-conjugated avidin (1:100 dilution; Vector Laboratories, CA, USA), biotinylated goat anti-avidin (1:100 dilution: Vector Laboratories) and finally peroxidase-conjugated avidin. The enzymatic reaction was performed using Vina Green according to the instructions of the supplier (Vina Green Chromogen Kit, BIOCARE Medical, CA, USA). Finally, the slides were washed in </w:t>
      </w:r>
      <w:proofErr w:type="spellStart"/>
      <w:r w:rsidRPr="000C6562">
        <w:t>milliQ</w:t>
      </w:r>
      <w:proofErr w:type="spellEnd"/>
      <w:r w:rsidRPr="000C6562">
        <w:t xml:space="preserve">, counterstained with hematoxylin, immediately dehydrated and </w:t>
      </w:r>
      <w:proofErr w:type="spellStart"/>
      <w:r>
        <w:t>coverslipped</w:t>
      </w:r>
      <w:proofErr w:type="spellEnd"/>
      <w:r>
        <w:t xml:space="preserve"> using</w:t>
      </w:r>
      <w:r w:rsidRPr="000C6562">
        <w:t xml:space="preserve"> </w:t>
      </w:r>
      <w:proofErr w:type="spellStart"/>
      <w:r w:rsidRPr="000C6562">
        <w:t>Entellan</w:t>
      </w:r>
      <w:proofErr w:type="spellEnd"/>
      <w:r w:rsidRPr="000C6562">
        <w:t xml:space="preserve"> new (Merck, Darmstadt,</w:t>
      </w:r>
      <w:r>
        <w:t xml:space="preserve"> </w:t>
      </w:r>
      <w:r w:rsidRPr="000C6562">
        <w:t xml:space="preserve">Germany). </w:t>
      </w:r>
    </w:p>
    <w:p w14:paraId="362682C2" w14:textId="77777777" w:rsidR="001620CC" w:rsidRPr="000C6562" w:rsidRDefault="001620CC" w:rsidP="001620CC">
      <w:pPr>
        <w:spacing w:line="360" w:lineRule="auto"/>
      </w:pPr>
    </w:p>
    <w:p w14:paraId="7E731754" w14:textId="77777777" w:rsidR="001620CC" w:rsidRPr="00F60B04" w:rsidRDefault="001620CC" w:rsidP="001620CC">
      <w:pPr>
        <w:spacing w:line="360" w:lineRule="auto"/>
        <w:rPr>
          <w:color w:val="000000" w:themeColor="text1"/>
          <w:u w:val="single"/>
        </w:rPr>
      </w:pPr>
      <w:r w:rsidRPr="00F60B04">
        <w:rPr>
          <w:u w:val="single"/>
        </w:rPr>
        <w:t>Fluorescence in situ hybridization (FISH) t</w:t>
      </w:r>
      <w:r w:rsidRPr="00F60B04">
        <w:rPr>
          <w:color w:val="000000" w:themeColor="text1"/>
          <w:u w:val="single"/>
        </w:rPr>
        <w:t xml:space="preserve">o detect chromosomal DNA targets: </w:t>
      </w:r>
    </w:p>
    <w:p w14:paraId="2052DCF7" w14:textId="242D1C33" w:rsidR="001620CC" w:rsidRPr="000C6562" w:rsidRDefault="001620CC" w:rsidP="001620CC">
      <w:pPr>
        <w:spacing w:after="160" w:line="360" w:lineRule="auto"/>
        <w:rPr>
          <w:color w:val="000000" w:themeColor="text1"/>
        </w:rPr>
      </w:pPr>
      <w:r>
        <w:rPr>
          <w:color w:val="000000" w:themeColor="text1"/>
        </w:rPr>
        <w:t>T</w:t>
      </w:r>
      <w:r w:rsidRPr="000C6562">
        <w:rPr>
          <w:color w:val="000000" w:themeColor="text1"/>
        </w:rPr>
        <w:t xml:space="preserve">he following </w:t>
      </w:r>
      <w:r>
        <w:rPr>
          <w:color w:val="000000" w:themeColor="text1"/>
        </w:rPr>
        <w:t xml:space="preserve">chromosomal </w:t>
      </w:r>
      <w:r w:rsidRPr="000C6562">
        <w:rPr>
          <w:color w:val="000000" w:themeColor="text1"/>
        </w:rPr>
        <w:t>probes were used: the chromosome 1 centromere (</w:t>
      </w:r>
      <w:r>
        <w:rPr>
          <w:color w:val="000000" w:themeColor="text1"/>
        </w:rPr>
        <w:t>1C</w:t>
      </w:r>
      <w:r w:rsidRPr="000C6562">
        <w:rPr>
          <w:color w:val="000000" w:themeColor="text1"/>
        </w:rPr>
        <w:t>) probe 1q12, the chromosome 3 centromere (</w:t>
      </w:r>
      <w:r>
        <w:rPr>
          <w:color w:val="000000" w:themeColor="text1"/>
        </w:rPr>
        <w:t>3C</w:t>
      </w:r>
      <w:r w:rsidRPr="000C6562">
        <w:rPr>
          <w:color w:val="000000" w:themeColor="text1"/>
        </w:rPr>
        <w:t>) probe pα3.5, the chromosome 7 centromere (</w:t>
      </w:r>
      <w:r>
        <w:rPr>
          <w:color w:val="000000" w:themeColor="text1"/>
        </w:rPr>
        <w:t>7C</w:t>
      </w:r>
      <w:r w:rsidRPr="000C6562">
        <w:rPr>
          <w:color w:val="000000" w:themeColor="text1"/>
        </w:rPr>
        <w:t xml:space="preserve">) probe p7t1, the </w:t>
      </w:r>
      <w:r w:rsidRPr="000C6562">
        <w:rPr>
          <w:i/>
          <w:iCs/>
          <w:color w:val="000000" w:themeColor="text1"/>
        </w:rPr>
        <w:t>SOX2</w:t>
      </w:r>
      <w:r w:rsidRPr="000C6562">
        <w:rPr>
          <w:color w:val="000000" w:themeColor="text1"/>
        </w:rPr>
        <w:t xml:space="preserve"> probes </w:t>
      </w:r>
      <w:r w:rsidRPr="000C6562">
        <w:rPr>
          <w:rStyle w:val="Emphasis"/>
          <w:color w:val="000000" w:themeColor="text1"/>
        </w:rPr>
        <w:t>3q26</w:t>
      </w:r>
      <w:r w:rsidRPr="000C6562">
        <w:rPr>
          <w:color w:val="000000" w:themeColor="text1"/>
        </w:rPr>
        <w:t xml:space="preserve">.3 (RP11-252018 and RP11-9205), the </w:t>
      </w:r>
      <w:r w:rsidRPr="000C6562">
        <w:rPr>
          <w:i/>
          <w:iCs/>
          <w:color w:val="000000" w:themeColor="text1"/>
        </w:rPr>
        <w:t>TERC</w:t>
      </w:r>
      <w:r w:rsidRPr="000C6562">
        <w:rPr>
          <w:color w:val="000000" w:themeColor="text1"/>
        </w:rPr>
        <w:t xml:space="preserve"> probes </w:t>
      </w:r>
      <w:r w:rsidRPr="000C6562">
        <w:rPr>
          <w:rStyle w:val="Emphasis"/>
          <w:color w:val="000000" w:themeColor="text1"/>
        </w:rPr>
        <w:t>3q26</w:t>
      </w:r>
      <w:r w:rsidRPr="000C6562">
        <w:rPr>
          <w:color w:val="000000" w:themeColor="text1"/>
        </w:rPr>
        <w:t xml:space="preserve">.1–2 (RP11-1141L22 and RP11-990E14) and the </w:t>
      </w:r>
      <w:r w:rsidRPr="000C6562">
        <w:rPr>
          <w:i/>
          <w:iCs/>
          <w:color w:val="000000" w:themeColor="text1"/>
        </w:rPr>
        <w:t xml:space="preserve">SOX17 </w:t>
      </w:r>
      <w:r w:rsidRPr="000C6562">
        <w:rPr>
          <w:color w:val="000000" w:themeColor="text1"/>
        </w:rPr>
        <w:t xml:space="preserve">probes </w:t>
      </w:r>
      <w:r w:rsidRPr="000C6562">
        <w:rPr>
          <w:rStyle w:val="Emphasis"/>
          <w:color w:val="000000" w:themeColor="text1"/>
        </w:rPr>
        <w:t>8q12</w:t>
      </w:r>
      <w:r w:rsidRPr="000C6562">
        <w:rPr>
          <w:color w:val="000000" w:themeColor="text1"/>
        </w:rPr>
        <w:t xml:space="preserve"> (RP11-30G11 and RP11-235L19). As indicated in Supplemental Table S</w:t>
      </w:r>
      <w:r>
        <w:rPr>
          <w:color w:val="000000" w:themeColor="text1"/>
        </w:rPr>
        <w:t>2,</w:t>
      </w:r>
      <w:r w:rsidRPr="000C6562">
        <w:rPr>
          <w:color w:val="000000" w:themeColor="text1"/>
        </w:rPr>
        <w:t xml:space="preserve"> these probes were label</w:t>
      </w:r>
      <w:r w:rsidR="00B02A09">
        <w:rPr>
          <w:color w:val="000000" w:themeColor="text1"/>
        </w:rPr>
        <w:t>l</w:t>
      </w:r>
      <w:r w:rsidRPr="000C6562">
        <w:rPr>
          <w:color w:val="000000" w:themeColor="text1"/>
        </w:rPr>
        <w:t xml:space="preserve">ed with either biotin, digoxigenin or Atto425 in a nick translation labelling procedure (Jena Bioscience GmbH, Jena, Germany). </w:t>
      </w:r>
    </w:p>
    <w:p w14:paraId="25F3B57E" w14:textId="77777777" w:rsidR="001620CC" w:rsidRPr="001C357D" w:rsidRDefault="001620CC" w:rsidP="001620CC">
      <w:pPr>
        <w:spacing w:after="160" w:line="360" w:lineRule="auto"/>
        <w:rPr>
          <w:color w:val="000000" w:themeColor="text1"/>
        </w:rPr>
      </w:pPr>
      <w:r w:rsidRPr="000C6562">
        <w:rPr>
          <w:color w:val="000000" w:themeColor="text1"/>
        </w:rPr>
        <w:t>The probes were hybridized at a concentration of 2 ng/</w:t>
      </w:r>
      <w:proofErr w:type="spellStart"/>
      <w:r w:rsidRPr="000C6562">
        <w:rPr>
          <w:color w:val="000000" w:themeColor="text1"/>
        </w:rPr>
        <w:t>μl</w:t>
      </w:r>
      <w:proofErr w:type="spellEnd"/>
      <w:r w:rsidRPr="000C6562">
        <w:rPr>
          <w:color w:val="000000" w:themeColor="text1"/>
        </w:rPr>
        <w:t xml:space="preserve"> (</w:t>
      </w:r>
      <w:r>
        <w:rPr>
          <w:color w:val="000000" w:themeColor="text1"/>
        </w:rPr>
        <w:t>1C</w:t>
      </w:r>
      <w:r w:rsidRPr="000C6562">
        <w:rPr>
          <w:color w:val="000000" w:themeColor="text1"/>
        </w:rPr>
        <w:t>), 3 ng/</w:t>
      </w:r>
      <w:proofErr w:type="spellStart"/>
      <w:r w:rsidRPr="000C6562">
        <w:rPr>
          <w:color w:val="000000" w:themeColor="text1"/>
        </w:rPr>
        <w:t>μl</w:t>
      </w:r>
      <w:proofErr w:type="spellEnd"/>
      <w:r w:rsidRPr="000C6562">
        <w:rPr>
          <w:color w:val="000000" w:themeColor="text1"/>
        </w:rPr>
        <w:t xml:space="preserve"> (</w:t>
      </w:r>
      <w:r>
        <w:rPr>
          <w:color w:val="000000" w:themeColor="text1"/>
        </w:rPr>
        <w:t>3C</w:t>
      </w:r>
      <w:r w:rsidRPr="000C6562">
        <w:rPr>
          <w:color w:val="000000" w:themeColor="text1"/>
        </w:rPr>
        <w:t>), 2 ng/</w:t>
      </w:r>
      <w:proofErr w:type="spellStart"/>
      <w:r w:rsidRPr="000C6562">
        <w:rPr>
          <w:color w:val="000000" w:themeColor="text1"/>
        </w:rPr>
        <w:t>μl</w:t>
      </w:r>
      <w:proofErr w:type="spellEnd"/>
      <w:r w:rsidRPr="000C6562">
        <w:rPr>
          <w:color w:val="000000" w:themeColor="text1"/>
        </w:rPr>
        <w:t xml:space="preserve"> (</w:t>
      </w:r>
      <w:r>
        <w:rPr>
          <w:color w:val="000000" w:themeColor="text1"/>
        </w:rPr>
        <w:t>7C</w:t>
      </w:r>
      <w:r w:rsidRPr="000C6562">
        <w:rPr>
          <w:color w:val="000000" w:themeColor="text1"/>
        </w:rPr>
        <w:t>), 5 ng/</w:t>
      </w:r>
      <w:proofErr w:type="spellStart"/>
      <w:r w:rsidRPr="000C6562">
        <w:rPr>
          <w:color w:val="000000" w:themeColor="text1"/>
        </w:rPr>
        <w:t>μl</w:t>
      </w:r>
      <w:proofErr w:type="spellEnd"/>
      <w:r w:rsidRPr="000C6562">
        <w:rPr>
          <w:color w:val="000000" w:themeColor="text1"/>
        </w:rPr>
        <w:t xml:space="preserve"> (</w:t>
      </w:r>
      <w:r w:rsidRPr="0048540A">
        <w:rPr>
          <w:i/>
          <w:iCs/>
          <w:color w:val="000000" w:themeColor="text1"/>
        </w:rPr>
        <w:t>TERC</w:t>
      </w:r>
      <w:r w:rsidRPr="000C6562">
        <w:rPr>
          <w:color w:val="000000" w:themeColor="text1"/>
        </w:rPr>
        <w:t>), 5 ng/</w:t>
      </w:r>
      <w:proofErr w:type="spellStart"/>
      <w:r w:rsidRPr="000C6562">
        <w:rPr>
          <w:color w:val="000000" w:themeColor="text1"/>
        </w:rPr>
        <w:t>μl</w:t>
      </w:r>
      <w:proofErr w:type="spellEnd"/>
      <w:r w:rsidRPr="000C6562">
        <w:rPr>
          <w:color w:val="000000" w:themeColor="text1"/>
        </w:rPr>
        <w:t xml:space="preserve"> (</w:t>
      </w:r>
      <w:r w:rsidRPr="0048540A">
        <w:rPr>
          <w:i/>
          <w:iCs/>
          <w:color w:val="000000" w:themeColor="text1"/>
        </w:rPr>
        <w:t>SOX2</w:t>
      </w:r>
      <w:r w:rsidRPr="000C6562">
        <w:rPr>
          <w:color w:val="000000" w:themeColor="text1"/>
        </w:rPr>
        <w:t>) and 5 ng/</w:t>
      </w:r>
      <w:proofErr w:type="spellStart"/>
      <w:r w:rsidRPr="000C6562">
        <w:rPr>
          <w:color w:val="000000" w:themeColor="text1"/>
        </w:rPr>
        <w:t>μl</w:t>
      </w:r>
      <w:proofErr w:type="spellEnd"/>
      <w:r w:rsidRPr="000C6562">
        <w:rPr>
          <w:color w:val="000000" w:themeColor="text1"/>
        </w:rPr>
        <w:t xml:space="preserve"> (</w:t>
      </w:r>
      <w:r w:rsidRPr="0048540A">
        <w:rPr>
          <w:i/>
          <w:iCs/>
          <w:color w:val="000000" w:themeColor="text1"/>
        </w:rPr>
        <w:t>SOX17</w:t>
      </w:r>
      <w:r w:rsidRPr="000C6562">
        <w:rPr>
          <w:color w:val="000000" w:themeColor="text1"/>
        </w:rPr>
        <w:t xml:space="preserve">). </w:t>
      </w:r>
      <w:r w:rsidRPr="000C6562">
        <w:rPr>
          <w:rFonts w:asciiTheme="majorBidi" w:hAnsiTheme="majorBidi" w:cstheme="majorBidi"/>
          <w:color w:val="000000"/>
          <w:shd w:val="clear" w:color="auto" w:fill="FFFFFF"/>
        </w:rPr>
        <w:t xml:space="preserve">The probes were incubated </w:t>
      </w:r>
      <w:r w:rsidRPr="000C6562">
        <w:rPr>
          <w:color w:val="000000" w:themeColor="text1"/>
        </w:rPr>
        <w:t xml:space="preserve">together with 10 times excess COT1 DNA </w:t>
      </w:r>
      <w:r w:rsidRPr="000C6562">
        <w:rPr>
          <w:rFonts w:asciiTheme="majorBidi" w:hAnsiTheme="majorBidi" w:cstheme="majorBidi"/>
          <w:color w:val="000000" w:themeColor="text1"/>
        </w:rPr>
        <w:t>(Thermo Fisher Scientific, Waltham, Massachusetts, United States)</w:t>
      </w:r>
      <w:r w:rsidRPr="000C6562">
        <w:rPr>
          <w:color w:val="000000" w:themeColor="text1"/>
        </w:rPr>
        <w:t xml:space="preserve">, and 75 times excess of carrier DNA (salmon sperm DNA; </w:t>
      </w:r>
      <w:r w:rsidRPr="000C6562">
        <w:rPr>
          <w:rFonts w:asciiTheme="majorBidi" w:hAnsiTheme="majorBidi" w:cstheme="majorBidi"/>
          <w:color w:val="000000" w:themeColor="text1"/>
        </w:rPr>
        <w:t>Thermo</w:t>
      </w:r>
      <w:r>
        <w:rPr>
          <w:rFonts w:asciiTheme="majorBidi" w:hAnsiTheme="majorBidi" w:cstheme="majorBidi"/>
          <w:color w:val="000000" w:themeColor="text1"/>
        </w:rPr>
        <w:t xml:space="preserve"> </w:t>
      </w:r>
      <w:r w:rsidRPr="000C6562">
        <w:rPr>
          <w:rFonts w:asciiTheme="majorBidi" w:hAnsiTheme="majorBidi" w:cstheme="majorBidi"/>
          <w:color w:val="000000" w:themeColor="text1"/>
        </w:rPr>
        <w:t xml:space="preserve">Fisher Scientific) </w:t>
      </w:r>
      <w:r w:rsidRPr="000C6562">
        <w:rPr>
          <w:color w:val="000000" w:themeColor="text1"/>
        </w:rPr>
        <w:t>in a mixture of 50% formamide (</w:t>
      </w:r>
      <w:r w:rsidRPr="000C6562">
        <w:t xml:space="preserve">Sigma, Steinheim, Germany), </w:t>
      </w:r>
      <w:r w:rsidRPr="000C6562">
        <w:rPr>
          <w:color w:val="000000" w:themeColor="text1"/>
        </w:rPr>
        <w:t>2x SSC (</w:t>
      </w:r>
      <w:r w:rsidRPr="000C6562">
        <w:t>Sigma</w:t>
      </w:r>
      <w:r w:rsidRPr="000C6562">
        <w:rPr>
          <w:color w:val="000000" w:themeColor="text1"/>
        </w:rPr>
        <w:t>)</w:t>
      </w:r>
      <w:r>
        <w:rPr>
          <w:color w:val="000000" w:themeColor="text1"/>
        </w:rPr>
        <w:t xml:space="preserve"> </w:t>
      </w:r>
      <w:r w:rsidRPr="000C6562">
        <w:rPr>
          <w:color w:val="000000" w:themeColor="text1"/>
        </w:rPr>
        <w:t>and 10% dextran sulphate Mw&gt;100.000 (</w:t>
      </w:r>
      <w:r w:rsidRPr="000C6562">
        <w:t>Sigma</w:t>
      </w:r>
      <w:r w:rsidRPr="000C6562">
        <w:rPr>
          <w:color w:val="000000" w:themeColor="text1"/>
        </w:rPr>
        <w:t>)</w:t>
      </w:r>
    </w:p>
    <w:p w14:paraId="11865A60" w14:textId="77777777" w:rsidR="001620CC" w:rsidRPr="001C357D" w:rsidRDefault="001620CC" w:rsidP="001620CC">
      <w:pPr>
        <w:pStyle w:val="p"/>
        <w:shd w:val="clear" w:color="auto" w:fill="FFFFFF"/>
        <w:spacing w:before="166" w:beforeAutospacing="0" w:after="166" w:afterAutospacing="0" w:line="360" w:lineRule="auto"/>
        <w:rPr>
          <w:color w:val="000000" w:themeColor="text1"/>
          <w:lang w:val="en-US"/>
        </w:rPr>
      </w:pPr>
      <w:r w:rsidRPr="000C6562">
        <w:rPr>
          <w:color w:val="000000" w:themeColor="text1"/>
          <w:lang w:val="en-GB"/>
        </w:rPr>
        <w:t>T</w:t>
      </w:r>
      <w:r w:rsidRPr="000C6562">
        <w:rPr>
          <w:lang w:val="en-GB"/>
        </w:rPr>
        <w:t xml:space="preserve">he biotin labelled probes were detected in green with a triple layer detection method using FITC conjugated avidin as described above for the HPV probes. The digoxigenin labelled probes were detected in red with a </w:t>
      </w:r>
      <w:r>
        <w:rPr>
          <w:lang w:val="en-GB"/>
        </w:rPr>
        <w:t>m</w:t>
      </w:r>
      <w:r w:rsidRPr="000C6562">
        <w:rPr>
          <w:lang w:val="en-GB"/>
        </w:rPr>
        <w:t>ouse m</w:t>
      </w:r>
      <w:r w:rsidRPr="000C6562">
        <w:rPr>
          <w:color w:val="000000" w:themeColor="text1"/>
          <w:lang w:val="en-GB"/>
        </w:rPr>
        <w:t>onoclonal anti-</w:t>
      </w:r>
      <w:r>
        <w:rPr>
          <w:color w:val="000000" w:themeColor="text1"/>
          <w:lang w:val="en-GB"/>
        </w:rPr>
        <w:t>d</w:t>
      </w:r>
      <w:r w:rsidRPr="000C6562">
        <w:rPr>
          <w:color w:val="000000" w:themeColor="text1"/>
          <w:lang w:val="en-GB"/>
        </w:rPr>
        <w:t xml:space="preserve">igoxigenin antibody (MaDig, 1:100 dilution, Sigma, St Louis MO, USA), followed by </w:t>
      </w:r>
      <w:r>
        <w:rPr>
          <w:color w:val="000000" w:themeColor="text1"/>
          <w:lang w:val="en-GB"/>
        </w:rPr>
        <w:t>r</w:t>
      </w:r>
      <w:r w:rsidRPr="000C6562">
        <w:rPr>
          <w:color w:val="000000" w:themeColor="text1"/>
          <w:lang w:val="en-GB"/>
        </w:rPr>
        <w:t>abbit anti</w:t>
      </w:r>
      <w:r>
        <w:rPr>
          <w:color w:val="000000" w:themeColor="text1"/>
          <w:lang w:val="en-GB"/>
        </w:rPr>
        <w:t>-m</w:t>
      </w:r>
      <w:r w:rsidRPr="000C6562">
        <w:rPr>
          <w:color w:val="000000" w:themeColor="text1"/>
          <w:lang w:val="en-GB"/>
        </w:rPr>
        <w:t>ouse-TRITC (</w:t>
      </w:r>
      <w:proofErr w:type="spellStart"/>
      <w:r w:rsidRPr="000C6562">
        <w:rPr>
          <w:color w:val="000000" w:themeColor="text1"/>
          <w:lang w:val="en-GB"/>
        </w:rPr>
        <w:t>RaM</w:t>
      </w:r>
      <w:proofErr w:type="spellEnd"/>
      <w:r w:rsidRPr="000C6562">
        <w:rPr>
          <w:color w:val="000000" w:themeColor="text1"/>
          <w:lang w:val="en-GB"/>
        </w:rPr>
        <w:t>-TRITC, 1:100 dilution, Dako</w:t>
      </w:r>
      <w:r>
        <w:rPr>
          <w:color w:val="000000" w:themeColor="text1"/>
          <w:lang w:val="en-GB"/>
        </w:rPr>
        <w:t>/Agilent</w:t>
      </w:r>
      <w:r w:rsidRPr="000C6562">
        <w:rPr>
          <w:color w:val="000000" w:themeColor="text1"/>
          <w:lang w:val="en-GB"/>
        </w:rPr>
        <w:t xml:space="preserve">, </w:t>
      </w:r>
      <w:proofErr w:type="spellStart"/>
      <w:r w:rsidRPr="000C6562">
        <w:rPr>
          <w:color w:val="000000" w:themeColor="text1"/>
          <w:lang w:val="en-GB"/>
        </w:rPr>
        <w:t>Glostrup</w:t>
      </w:r>
      <w:proofErr w:type="spellEnd"/>
      <w:r w:rsidRPr="000C6562">
        <w:rPr>
          <w:color w:val="000000" w:themeColor="text1"/>
          <w:lang w:val="en-GB"/>
        </w:rPr>
        <w:t xml:space="preserve">, Denmark) and </w:t>
      </w:r>
      <w:r>
        <w:rPr>
          <w:color w:val="000000" w:themeColor="text1"/>
          <w:lang w:val="en-GB"/>
        </w:rPr>
        <w:t>s</w:t>
      </w:r>
      <w:r w:rsidRPr="000C6562">
        <w:rPr>
          <w:color w:val="000000" w:themeColor="text1"/>
          <w:lang w:val="en-GB"/>
        </w:rPr>
        <w:t>wine anti</w:t>
      </w:r>
      <w:r>
        <w:rPr>
          <w:color w:val="000000" w:themeColor="text1"/>
          <w:lang w:val="en-GB"/>
        </w:rPr>
        <w:t>-r</w:t>
      </w:r>
      <w:r w:rsidRPr="000C6562">
        <w:rPr>
          <w:color w:val="000000" w:themeColor="text1"/>
          <w:lang w:val="en-GB"/>
        </w:rPr>
        <w:t xml:space="preserve">abbit-TRITC (SwaR-TRITC. 1:100 dilution, Dako). </w:t>
      </w:r>
      <w:r w:rsidRPr="000C6562">
        <w:rPr>
          <w:lang w:val="en-GB"/>
        </w:rPr>
        <w:t xml:space="preserve"> For Atto425 labelled probes (blue detection) no further immunologic detection is needed and the probe could be co-hybridized with biotin and digoxigenin labelled probes. For the bi-</w:t>
      </w:r>
      <w:proofErr w:type="spellStart"/>
      <w:r w:rsidRPr="000C6562">
        <w:rPr>
          <w:lang w:val="en-GB"/>
        </w:rPr>
        <w:t>color</w:t>
      </w:r>
      <w:proofErr w:type="spellEnd"/>
      <w:r w:rsidRPr="000C6562">
        <w:rPr>
          <w:lang w:val="en-GB"/>
        </w:rPr>
        <w:t xml:space="preserve"> detection with biotin and digoxigenin labelled probes the triple layer detection methods were combined. For the triple-</w:t>
      </w:r>
      <w:proofErr w:type="spellStart"/>
      <w:r w:rsidRPr="000C6562">
        <w:rPr>
          <w:lang w:val="en-GB"/>
        </w:rPr>
        <w:t>color</w:t>
      </w:r>
      <w:proofErr w:type="spellEnd"/>
      <w:r w:rsidRPr="000C6562">
        <w:rPr>
          <w:lang w:val="en-GB"/>
        </w:rPr>
        <w:t xml:space="preserve"> detection method the Atto425 probe is added to the hybridization mix. </w:t>
      </w:r>
      <w:r w:rsidRPr="000C6562">
        <w:rPr>
          <w:lang w:val="en-US"/>
        </w:rPr>
        <w:t xml:space="preserve">For an overview of the </w:t>
      </w:r>
      <w:r>
        <w:rPr>
          <w:lang w:val="en-US"/>
        </w:rPr>
        <w:t xml:space="preserve">combinations of </w:t>
      </w:r>
      <w:r w:rsidRPr="001C357D">
        <w:rPr>
          <w:color w:val="000000" w:themeColor="text1"/>
          <w:lang w:val="en-US"/>
        </w:rPr>
        <w:t>DNA probe</w:t>
      </w:r>
      <w:r>
        <w:rPr>
          <w:color w:val="000000" w:themeColor="text1"/>
          <w:lang w:val="en-US"/>
        </w:rPr>
        <w:t>s</w:t>
      </w:r>
      <w:r w:rsidRPr="001C357D">
        <w:rPr>
          <w:color w:val="000000" w:themeColor="text1"/>
          <w:lang w:val="en-US"/>
        </w:rPr>
        <w:t xml:space="preserve"> used for FISH detection of copy number variations</w:t>
      </w:r>
      <w:r>
        <w:rPr>
          <w:color w:val="000000" w:themeColor="text1"/>
          <w:lang w:val="en-US"/>
        </w:rPr>
        <w:t xml:space="preserve"> see Supplemental Table S3.</w:t>
      </w:r>
    </w:p>
    <w:p w14:paraId="6A45BFCF" w14:textId="77777777" w:rsidR="001620CC" w:rsidRDefault="001620CC" w:rsidP="001620CC">
      <w:pPr>
        <w:spacing w:after="160" w:line="360" w:lineRule="auto"/>
      </w:pPr>
    </w:p>
    <w:p w14:paraId="10DC451D" w14:textId="77777777" w:rsidR="001620CC" w:rsidRDefault="001620CC" w:rsidP="001620CC">
      <w:pPr>
        <w:spacing w:after="160" w:line="360" w:lineRule="auto"/>
      </w:pPr>
    </w:p>
    <w:p w14:paraId="6D542600" w14:textId="77777777" w:rsidR="001620CC" w:rsidRPr="000C6562" w:rsidRDefault="001620CC" w:rsidP="001620CC">
      <w:pPr>
        <w:spacing w:line="360" w:lineRule="auto"/>
        <w:rPr>
          <w:u w:val="single"/>
        </w:rPr>
      </w:pPr>
      <w:r w:rsidRPr="000C6562">
        <w:rPr>
          <w:u w:val="single"/>
        </w:rPr>
        <w:t>Imaging of FISH and CISH signals</w:t>
      </w:r>
    </w:p>
    <w:p w14:paraId="5042BE3E" w14:textId="77777777" w:rsidR="001620CC" w:rsidRDefault="001620CC" w:rsidP="001620CC">
      <w:pPr>
        <w:spacing w:line="360" w:lineRule="auto"/>
      </w:pPr>
      <w:r w:rsidRPr="001C357D">
        <w:t xml:space="preserve">CISH images were recorded with the Nikon Eclipse E800 (mounted with a color camera) and Nikon ACT-1 software. </w:t>
      </w:r>
      <w:r>
        <w:t xml:space="preserve">FISH </w:t>
      </w:r>
      <w:r w:rsidRPr="001C357D">
        <w:t xml:space="preserve">images were recorded with the Metasystems Image Pro System </w:t>
      </w:r>
      <w:r w:rsidRPr="001C357D">
        <w:lastRenderedPageBreak/>
        <w:t xml:space="preserve">(black and white CCD camera; </w:t>
      </w:r>
      <w:proofErr w:type="spellStart"/>
      <w:r w:rsidRPr="001C357D">
        <w:t>Sandhausen</w:t>
      </w:r>
      <w:proofErr w:type="spellEnd"/>
      <w:r w:rsidRPr="001C357D">
        <w:t xml:space="preserve">, Germany) mounted on top of a Leica DM-RE fluorescence microscope, equipped with TRITC, FITC and DAPI single band pass filters for single color analysis. Images were obtained using an automatic integration time, allowing semiquantitative evaluation, and using the full dynamic range of the camera without signal intensity saturation. </w:t>
      </w:r>
      <w:r w:rsidRPr="00901680">
        <w:t>To visualize the low copy numbers</w:t>
      </w:r>
      <w:r>
        <w:t xml:space="preserve"> of</w:t>
      </w:r>
      <w:r w:rsidRPr="00901680">
        <w:t xml:space="preserve"> HPV signals a long integration time for fluorescence in situ capturing was needed. Frequently imaging was complicated by the autofluorescence of FFPE tissue sectio</w:t>
      </w:r>
      <w:r>
        <w:t>n.</w:t>
      </w:r>
    </w:p>
    <w:p w14:paraId="2B892E43" w14:textId="77777777" w:rsidR="001620CC" w:rsidRDefault="001620CC" w:rsidP="001620CC">
      <w:pPr>
        <w:spacing w:line="360" w:lineRule="auto"/>
      </w:pPr>
    </w:p>
    <w:p w14:paraId="01ACCA19" w14:textId="77777777" w:rsidR="001620CC" w:rsidRDefault="001620CC" w:rsidP="005E520D">
      <w:pPr>
        <w:spacing w:line="480" w:lineRule="auto"/>
        <w:rPr>
          <w:b/>
        </w:rPr>
      </w:pPr>
      <w:r w:rsidRPr="00F60B04">
        <w:rPr>
          <w:bCs/>
        </w:rPr>
        <w:t>Supplemental Table S1:</w:t>
      </w:r>
      <w:r w:rsidRPr="001C357D">
        <w:rPr>
          <w:b/>
        </w:rPr>
        <w:t xml:space="preserve"> </w:t>
      </w:r>
    </w:p>
    <w:p w14:paraId="5CD1D648" w14:textId="14D577ED" w:rsidR="001620CC" w:rsidRDefault="001620CC" w:rsidP="005E520D">
      <w:pPr>
        <w:spacing w:line="480" w:lineRule="auto"/>
        <w:rPr>
          <w:bCs/>
        </w:rPr>
      </w:pPr>
      <w:r w:rsidRPr="001C357D">
        <w:rPr>
          <w:bCs/>
        </w:rPr>
        <w:t xml:space="preserve">Antibody characteristics and optimized immunohistochemical detection methods. </w:t>
      </w:r>
    </w:p>
    <w:p w14:paraId="5C666B3B" w14:textId="77777777" w:rsidR="005E520D" w:rsidRPr="001C357D" w:rsidRDefault="005E520D" w:rsidP="001620CC">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834"/>
        <w:gridCol w:w="1269"/>
        <w:gridCol w:w="2397"/>
        <w:gridCol w:w="2397"/>
      </w:tblGrid>
      <w:tr w:rsidR="003F4040" w:rsidRPr="00B02A09" w14:paraId="205BD453" w14:textId="77777777" w:rsidTr="003F4040">
        <w:trPr>
          <w:trHeight w:val="475"/>
        </w:trPr>
        <w:tc>
          <w:tcPr>
            <w:tcW w:w="625" w:type="pct"/>
            <w:tcBorders>
              <w:top w:val="nil"/>
              <w:left w:val="nil"/>
              <w:bottom w:val="single" w:sz="24" w:space="0" w:color="auto"/>
            </w:tcBorders>
            <w:shd w:val="clear" w:color="auto" w:fill="auto"/>
          </w:tcPr>
          <w:p w14:paraId="791660A5" w14:textId="77777777" w:rsidR="001620CC" w:rsidRPr="00B02A09" w:rsidRDefault="001620CC" w:rsidP="00CA5105">
            <w:pPr>
              <w:rPr>
                <w:bCs/>
                <w:sz w:val="22"/>
                <w:szCs w:val="22"/>
              </w:rPr>
            </w:pPr>
            <w:r w:rsidRPr="00B02A09">
              <w:rPr>
                <w:bCs/>
                <w:sz w:val="22"/>
                <w:szCs w:val="22"/>
              </w:rPr>
              <w:t>Antigen</w:t>
            </w:r>
          </w:p>
        </w:tc>
        <w:tc>
          <w:tcPr>
            <w:tcW w:w="1016" w:type="pct"/>
            <w:tcBorders>
              <w:top w:val="nil"/>
              <w:bottom w:val="single" w:sz="24" w:space="0" w:color="auto"/>
            </w:tcBorders>
          </w:tcPr>
          <w:p w14:paraId="6A869EA3" w14:textId="77777777" w:rsidR="001620CC" w:rsidRPr="00B02A09" w:rsidRDefault="001620CC" w:rsidP="00CA5105">
            <w:pPr>
              <w:rPr>
                <w:bCs/>
                <w:sz w:val="22"/>
                <w:szCs w:val="22"/>
              </w:rPr>
            </w:pPr>
            <w:r w:rsidRPr="00B02A09">
              <w:rPr>
                <w:bCs/>
                <w:sz w:val="22"/>
                <w:szCs w:val="22"/>
              </w:rPr>
              <w:t>Primary Antibody</w:t>
            </w:r>
          </w:p>
        </w:tc>
        <w:tc>
          <w:tcPr>
            <w:tcW w:w="703" w:type="pct"/>
            <w:tcBorders>
              <w:top w:val="nil"/>
              <w:bottom w:val="single" w:sz="24" w:space="0" w:color="auto"/>
            </w:tcBorders>
          </w:tcPr>
          <w:p w14:paraId="4980C76E" w14:textId="77777777" w:rsidR="001620CC" w:rsidRPr="00B02A09" w:rsidRDefault="001620CC" w:rsidP="00CA5105">
            <w:pPr>
              <w:rPr>
                <w:bCs/>
                <w:sz w:val="22"/>
                <w:szCs w:val="22"/>
              </w:rPr>
            </w:pPr>
            <w:r w:rsidRPr="00B02A09">
              <w:rPr>
                <w:bCs/>
                <w:sz w:val="22"/>
                <w:szCs w:val="22"/>
              </w:rPr>
              <w:t>Dilution</w:t>
            </w:r>
          </w:p>
        </w:tc>
        <w:tc>
          <w:tcPr>
            <w:tcW w:w="1328" w:type="pct"/>
            <w:tcBorders>
              <w:top w:val="nil"/>
              <w:bottom w:val="single" w:sz="24" w:space="0" w:color="auto"/>
            </w:tcBorders>
          </w:tcPr>
          <w:p w14:paraId="6C6F963C" w14:textId="77777777" w:rsidR="001620CC" w:rsidRPr="00B02A09" w:rsidRDefault="001620CC" w:rsidP="00CA5105">
            <w:pPr>
              <w:rPr>
                <w:bCs/>
                <w:sz w:val="22"/>
                <w:szCs w:val="22"/>
              </w:rPr>
            </w:pPr>
            <w:r w:rsidRPr="00B02A09">
              <w:rPr>
                <w:bCs/>
                <w:sz w:val="22"/>
                <w:szCs w:val="22"/>
              </w:rPr>
              <w:t>Secondary antibody</w:t>
            </w:r>
          </w:p>
        </w:tc>
        <w:tc>
          <w:tcPr>
            <w:tcW w:w="1328" w:type="pct"/>
            <w:tcBorders>
              <w:top w:val="nil"/>
              <w:bottom w:val="single" w:sz="24" w:space="0" w:color="auto"/>
              <w:right w:val="nil"/>
            </w:tcBorders>
          </w:tcPr>
          <w:p w14:paraId="0FE35C62" w14:textId="77777777" w:rsidR="001620CC" w:rsidRPr="00B02A09" w:rsidRDefault="001620CC" w:rsidP="00CA5105">
            <w:pPr>
              <w:rPr>
                <w:bCs/>
                <w:sz w:val="22"/>
                <w:szCs w:val="22"/>
              </w:rPr>
            </w:pPr>
            <w:r w:rsidRPr="00B02A09">
              <w:rPr>
                <w:bCs/>
                <w:sz w:val="22"/>
                <w:szCs w:val="22"/>
              </w:rPr>
              <w:t>Enhancement/Detection</w:t>
            </w:r>
          </w:p>
        </w:tc>
      </w:tr>
      <w:tr w:rsidR="003F4040" w:rsidRPr="00B02A09" w14:paraId="4069E453" w14:textId="77777777" w:rsidTr="003F4040">
        <w:trPr>
          <w:trHeight w:val="1583"/>
        </w:trPr>
        <w:tc>
          <w:tcPr>
            <w:tcW w:w="625" w:type="pct"/>
            <w:tcBorders>
              <w:top w:val="single" w:sz="24" w:space="0" w:color="auto"/>
              <w:left w:val="nil"/>
            </w:tcBorders>
            <w:shd w:val="clear" w:color="auto" w:fill="auto"/>
          </w:tcPr>
          <w:p w14:paraId="7DED3AE2" w14:textId="77777777" w:rsidR="001620CC" w:rsidRPr="00B02A09" w:rsidRDefault="001620CC" w:rsidP="00CA5105">
            <w:pPr>
              <w:spacing w:line="360" w:lineRule="auto"/>
              <w:rPr>
                <w:sz w:val="22"/>
                <w:szCs w:val="22"/>
              </w:rPr>
            </w:pPr>
            <w:r w:rsidRPr="00B02A09">
              <w:rPr>
                <w:sz w:val="22"/>
                <w:szCs w:val="22"/>
              </w:rPr>
              <w:t>SOX2</w:t>
            </w:r>
          </w:p>
          <w:p w14:paraId="10F8DBED" w14:textId="77777777" w:rsidR="001620CC" w:rsidRPr="00B02A09" w:rsidRDefault="001620CC" w:rsidP="00CA5105">
            <w:pPr>
              <w:rPr>
                <w:sz w:val="22"/>
                <w:szCs w:val="22"/>
              </w:rPr>
            </w:pPr>
          </w:p>
        </w:tc>
        <w:tc>
          <w:tcPr>
            <w:tcW w:w="1016" w:type="pct"/>
            <w:tcBorders>
              <w:top w:val="single" w:sz="24" w:space="0" w:color="auto"/>
            </w:tcBorders>
          </w:tcPr>
          <w:p w14:paraId="3619D543" w14:textId="77777777" w:rsidR="001620CC" w:rsidRPr="00B02A09" w:rsidRDefault="001620CC" w:rsidP="00CA5105">
            <w:pPr>
              <w:rPr>
                <w:sz w:val="22"/>
                <w:szCs w:val="22"/>
              </w:rPr>
            </w:pPr>
            <w:proofErr w:type="spellStart"/>
            <w:r w:rsidRPr="00B02A09">
              <w:rPr>
                <w:sz w:val="22"/>
                <w:szCs w:val="22"/>
              </w:rPr>
              <w:t>mAb</w:t>
            </w:r>
            <w:proofErr w:type="spellEnd"/>
            <w:r w:rsidRPr="00B02A09">
              <w:rPr>
                <w:sz w:val="22"/>
                <w:szCs w:val="22"/>
              </w:rPr>
              <w:t xml:space="preserve"> Rabbit IgG</w:t>
            </w:r>
          </w:p>
          <w:p w14:paraId="18172DBB" w14:textId="77777777" w:rsidR="001620CC" w:rsidRPr="00B02A09" w:rsidRDefault="001620CC" w:rsidP="00CA5105">
            <w:pPr>
              <w:rPr>
                <w:sz w:val="22"/>
                <w:szCs w:val="22"/>
              </w:rPr>
            </w:pPr>
            <w:r w:rsidRPr="00B02A09">
              <w:rPr>
                <w:sz w:val="22"/>
                <w:szCs w:val="22"/>
              </w:rPr>
              <w:t>clone EPR3131</w:t>
            </w:r>
          </w:p>
          <w:p w14:paraId="4C420FDD" w14:textId="77777777" w:rsidR="001620CC" w:rsidRPr="00B02A09" w:rsidRDefault="001620CC" w:rsidP="00CA5105">
            <w:pPr>
              <w:rPr>
                <w:sz w:val="22"/>
                <w:szCs w:val="22"/>
              </w:rPr>
            </w:pPr>
            <w:r w:rsidRPr="00B02A09">
              <w:rPr>
                <w:sz w:val="22"/>
                <w:szCs w:val="22"/>
              </w:rPr>
              <w:t>Ab92494</w:t>
            </w:r>
          </w:p>
          <w:p w14:paraId="1D675C37" w14:textId="77777777" w:rsidR="001620CC" w:rsidRPr="00B02A09" w:rsidRDefault="001620CC" w:rsidP="00CA5105">
            <w:pPr>
              <w:rPr>
                <w:sz w:val="22"/>
                <w:szCs w:val="22"/>
              </w:rPr>
            </w:pPr>
            <w:r w:rsidRPr="00B02A09">
              <w:rPr>
                <w:sz w:val="22"/>
                <w:szCs w:val="22"/>
              </w:rPr>
              <w:t>Abcam,</w:t>
            </w:r>
          </w:p>
          <w:p w14:paraId="21497609" w14:textId="77777777" w:rsidR="001620CC" w:rsidRPr="00B02A09" w:rsidRDefault="001620CC" w:rsidP="00CA5105">
            <w:pPr>
              <w:rPr>
                <w:sz w:val="22"/>
                <w:szCs w:val="22"/>
              </w:rPr>
            </w:pPr>
            <w:r w:rsidRPr="00B02A09">
              <w:rPr>
                <w:sz w:val="22"/>
                <w:szCs w:val="22"/>
              </w:rPr>
              <w:t>Cambridge, UK</w:t>
            </w:r>
            <w:r w:rsidRPr="00B02A09" w:rsidDel="00A44EE0">
              <w:rPr>
                <w:sz w:val="22"/>
                <w:szCs w:val="22"/>
              </w:rPr>
              <w:t xml:space="preserve"> </w:t>
            </w:r>
          </w:p>
        </w:tc>
        <w:tc>
          <w:tcPr>
            <w:tcW w:w="703" w:type="pct"/>
            <w:tcBorders>
              <w:top w:val="single" w:sz="24" w:space="0" w:color="auto"/>
            </w:tcBorders>
          </w:tcPr>
          <w:p w14:paraId="1A41F8C2" w14:textId="77777777" w:rsidR="001620CC" w:rsidRPr="00B02A09" w:rsidRDefault="001620CC" w:rsidP="00CA5105">
            <w:pPr>
              <w:rPr>
                <w:sz w:val="22"/>
                <w:szCs w:val="22"/>
                <w:lang w:val="nl-NL"/>
              </w:rPr>
            </w:pPr>
            <w:r w:rsidRPr="00B02A09">
              <w:rPr>
                <w:sz w:val="22"/>
                <w:szCs w:val="22"/>
                <w:lang w:val="nl-NL"/>
              </w:rPr>
              <w:t xml:space="preserve">1:100 in </w:t>
            </w:r>
          </w:p>
          <w:p w14:paraId="6FF0FADF" w14:textId="77777777" w:rsidR="001620CC" w:rsidRPr="00B02A09" w:rsidRDefault="001620CC" w:rsidP="00CA5105">
            <w:pPr>
              <w:rPr>
                <w:sz w:val="22"/>
                <w:szCs w:val="22"/>
                <w:lang w:val="nl-NL"/>
              </w:rPr>
            </w:pPr>
            <w:r w:rsidRPr="00B02A09">
              <w:rPr>
                <w:sz w:val="22"/>
                <w:szCs w:val="22"/>
                <w:lang w:val="nl-NL"/>
              </w:rPr>
              <w:t>PBST/45 min, 37</w:t>
            </w:r>
            <w:r w:rsidRPr="00B02A09">
              <w:rPr>
                <w:sz w:val="22"/>
                <w:szCs w:val="22"/>
                <w:vertAlign w:val="superscript"/>
                <w:lang w:val="nl-NL"/>
              </w:rPr>
              <w:t>0</w:t>
            </w:r>
            <w:r w:rsidRPr="00B02A09">
              <w:rPr>
                <w:sz w:val="22"/>
                <w:szCs w:val="22"/>
                <w:lang w:val="nl-NL"/>
              </w:rPr>
              <w:t>C</w:t>
            </w:r>
          </w:p>
          <w:p w14:paraId="0AD53965" w14:textId="77777777" w:rsidR="001620CC" w:rsidRPr="00B02A09" w:rsidRDefault="001620CC" w:rsidP="00CA5105">
            <w:pPr>
              <w:rPr>
                <w:sz w:val="22"/>
                <w:szCs w:val="22"/>
                <w:lang w:val="nl-NL"/>
              </w:rPr>
            </w:pPr>
            <w:r w:rsidRPr="00B02A09">
              <w:rPr>
                <w:sz w:val="22"/>
                <w:szCs w:val="22"/>
                <w:lang w:val="nl-NL"/>
              </w:rPr>
              <w:t>5% NGS</w:t>
            </w:r>
          </w:p>
        </w:tc>
        <w:tc>
          <w:tcPr>
            <w:tcW w:w="1328" w:type="pct"/>
            <w:tcBorders>
              <w:top w:val="single" w:sz="24" w:space="0" w:color="auto"/>
            </w:tcBorders>
          </w:tcPr>
          <w:p w14:paraId="31079F40" w14:textId="77777777" w:rsidR="001620CC" w:rsidRPr="00B02A09" w:rsidRDefault="001620CC" w:rsidP="00CA5105">
            <w:pPr>
              <w:rPr>
                <w:sz w:val="22"/>
                <w:szCs w:val="22"/>
              </w:rPr>
            </w:pPr>
            <w:r w:rsidRPr="00B02A09">
              <w:rPr>
                <w:sz w:val="22"/>
                <w:szCs w:val="22"/>
              </w:rPr>
              <w:t>Biotinylated Goat anti Rabbit IgG, BA-1000,</w:t>
            </w:r>
          </w:p>
          <w:p w14:paraId="0C751FA3" w14:textId="77777777" w:rsidR="001620CC" w:rsidRPr="00B02A09" w:rsidRDefault="001620CC" w:rsidP="00CA5105">
            <w:pPr>
              <w:rPr>
                <w:sz w:val="22"/>
                <w:szCs w:val="22"/>
              </w:rPr>
            </w:pPr>
            <w:r w:rsidRPr="00B02A09">
              <w:rPr>
                <w:color w:val="000000"/>
                <w:sz w:val="22"/>
                <w:szCs w:val="22"/>
                <w:lang w:eastAsia="nl-NL"/>
              </w:rPr>
              <w:t>Vector Laboratories, Burlingham, CA, USA</w:t>
            </w:r>
          </w:p>
          <w:p w14:paraId="044B6B56" w14:textId="77777777" w:rsidR="001620CC" w:rsidRPr="00B02A09" w:rsidRDefault="001620CC" w:rsidP="00CA5105">
            <w:pPr>
              <w:rPr>
                <w:sz w:val="22"/>
                <w:szCs w:val="22"/>
                <w:lang w:val="nl-NL"/>
              </w:rPr>
            </w:pPr>
            <w:r w:rsidRPr="00B02A09">
              <w:rPr>
                <w:sz w:val="22"/>
                <w:szCs w:val="22"/>
                <w:lang w:val="nl-NL"/>
              </w:rPr>
              <w:t>1:200 in PBST/5% NGS</w:t>
            </w:r>
          </w:p>
          <w:p w14:paraId="5C6181C8" w14:textId="77777777" w:rsidR="001620CC" w:rsidRPr="00B02A09" w:rsidRDefault="001620CC" w:rsidP="00CA5105">
            <w:pPr>
              <w:rPr>
                <w:sz w:val="22"/>
                <w:szCs w:val="22"/>
                <w:lang w:val="nl-NL"/>
              </w:rPr>
            </w:pPr>
            <w:r w:rsidRPr="00B02A09">
              <w:rPr>
                <w:sz w:val="22"/>
                <w:szCs w:val="22"/>
                <w:lang w:val="nl-NL"/>
              </w:rPr>
              <w:t>30 min, 37</w:t>
            </w:r>
            <w:r w:rsidRPr="00B02A09">
              <w:rPr>
                <w:sz w:val="22"/>
                <w:szCs w:val="22"/>
                <w:vertAlign w:val="superscript"/>
                <w:lang w:val="nl-NL"/>
              </w:rPr>
              <w:t>0</w:t>
            </w:r>
            <w:r w:rsidRPr="00B02A09">
              <w:rPr>
                <w:sz w:val="22"/>
                <w:szCs w:val="22"/>
                <w:lang w:val="nl-NL"/>
              </w:rPr>
              <w:t>C</w:t>
            </w:r>
            <w:r w:rsidRPr="00B02A09" w:rsidDel="00A44EE0">
              <w:rPr>
                <w:sz w:val="22"/>
                <w:szCs w:val="22"/>
                <w:lang w:val="nl-NL"/>
              </w:rPr>
              <w:t xml:space="preserve"> </w:t>
            </w:r>
          </w:p>
        </w:tc>
        <w:tc>
          <w:tcPr>
            <w:tcW w:w="1328" w:type="pct"/>
            <w:tcBorders>
              <w:top w:val="single" w:sz="24" w:space="0" w:color="auto"/>
              <w:right w:val="nil"/>
            </w:tcBorders>
          </w:tcPr>
          <w:p w14:paraId="23BCB0B2" w14:textId="77777777" w:rsidR="001620CC" w:rsidRPr="00B02A09" w:rsidRDefault="001620CC" w:rsidP="00CA5105">
            <w:pPr>
              <w:rPr>
                <w:sz w:val="22"/>
                <w:szCs w:val="22"/>
              </w:rPr>
            </w:pPr>
            <w:r w:rsidRPr="00B02A09">
              <w:rPr>
                <w:sz w:val="22"/>
                <w:szCs w:val="22"/>
              </w:rPr>
              <w:t xml:space="preserve">ABC, </w:t>
            </w:r>
            <w:proofErr w:type="spellStart"/>
            <w:r w:rsidRPr="00B02A09">
              <w:rPr>
                <w:sz w:val="22"/>
                <w:szCs w:val="22"/>
              </w:rPr>
              <w:t>Vectastain</w:t>
            </w:r>
            <w:proofErr w:type="spellEnd"/>
            <w:r w:rsidRPr="00B02A09">
              <w:rPr>
                <w:sz w:val="22"/>
                <w:szCs w:val="22"/>
              </w:rPr>
              <w:t xml:space="preserve"> Elite ABC Kit, </w:t>
            </w:r>
          </w:p>
          <w:p w14:paraId="18D36ABE" w14:textId="77777777" w:rsidR="001620CC" w:rsidRPr="00B02A09" w:rsidRDefault="001620CC" w:rsidP="00CA5105">
            <w:pPr>
              <w:rPr>
                <w:sz w:val="22"/>
                <w:szCs w:val="22"/>
              </w:rPr>
            </w:pPr>
            <w:r w:rsidRPr="00B02A09">
              <w:rPr>
                <w:sz w:val="22"/>
                <w:szCs w:val="22"/>
              </w:rPr>
              <w:t xml:space="preserve">Vector Laboratories, Burlingham, CA, USA, </w:t>
            </w:r>
          </w:p>
          <w:p w14:paraId="01B2B8D8" w14:textId="77777777" w:rsidR="001620CC" w:rsidRPr="00B02A09" w:rsidRDefault="001620CC" w:rsidP="00CA5105">
            <w:pPr>
              <w:rPr>
                <w:sz w:val="22"/>
                <w:szCs w:val="22"/>
              </w:rPr>
            </w:pPr>
            <w:r w:rsidRPr="00B02A09">
              <w:rPr>
                <w:sz w:val="22"/>
                <w:szCs w:val="22"/>
              </w:rPr>
              <w:t>30 min RT; DAB reaction or CARD reaction using FITC-</w:t>
            </w:r>
            <w:proofErr w:type="spellStart"/>
            <w:r w:rsidRPr="00B02A09">
              <w:rPr>
                <w:sz w:val="22"/>
                <w:szCs w:val="22"/>
              </w:rPr>
              <w:t>tyramide</w:t>
            </w:r>
            <w:proofErr w:type="spellEnd"/>
            <w:r w:rsidRPr="00B02A09" w:rsidDel="00A44EE0">
              <w:rPr>
                <w:sz w:val="22"/>
                <w:szCs w:val="22"/>
              </w:rPr>
              <w:t xml:space="preserve"> </w:t>
            </w:r>
          </w:p>
        </w:tc>
      </w:tr>
      <w:tr w:rsidR="001620CC" w:rsidRPr="00B02A09" w14:paraId="6627FD72" w14:textId="77777777" w:rsidTr="003F4040">
        <w:trPr>
          <w:trHeight w:val="363"/>
        </w:trPr>
        <w:tc>
          <w:tcPr>
            <w:tcW w:w="625" w:type="pct"/>
            <w:tcBorders>
              <w:left w:val="nil"/>
              <w:bottom w:val="single" w:sz="4" w:space="0" w:color="auto"/>
            </w:tcBorders>
            <w:shd w:val="clear" w:color="auto" w:fill="auto"/>
          </w:tcPr>
          <w:p w14:paraId="3969244A" w14:textId="77777777" w:rsidR="001620CC" w:rsidRPr="00B02A09" w:rsidRDefault="001620CC" w:rsidP="00CA5105">
            <w:pPr>
              <w:rPr>
                <w:sz w:val="22"/>
                <w:szCs w:val="22"/>
              </w:rPr>
            </w:pPr>
            <w:r w:rsidRPr="00B02A09">
              <w:rPr>
                <w:sz w:val="22"/>
                <w:szCs w:val="22"/>
              </w:rPr>
              <w:t>p16</w:t>
            </w:r>
          </w:p>
        </w:tc>
        <w:tc>
          <w:tcPr>
            <w:tcW w:w="1016" w:type="pct"/>
            <w:tcBorders>
              <w:bottom w:val="single" w:sz="4" w:space="0" w:color="auto"/>
            </w:tcBorders>
          </w:tcPr>
          <w:p w14:paraId="11A1F717" w14:textId="77777777" w:rsidR="001620CC" w:rsidRPr="00B02A09" w:rsidRDefault="001620CC" w:rsidP="00CA5105">
            <w:pPr>
              <w:rPr>
                <w:sz w:val="22"/>
                <w:szCs w:val="22"/>
              </w:rPr>
            </w:pPr>
            <w:proofErr w:type="spellStart"/>
            <w:r w:rsidRPr="00B02A09">
              <w:rPr>
                <w:sz w:val="22"/>
                <w:szCs w:val="22"/>
              </w:rPr>
              <w:t>mAb</w:t>
            </w:r>
            <w:proofErr w:type="spellEnd"/>
            <w:r w:rsidRPr="00B02A09">
              <w:rPr>
                <w:sz w:val="22"/>
                <w:szCs w:val="22"/>
              </w:rPr>
              <w:t xml:space="preserve"> Mouse IgG2a</w:t>
            </w:r>
          </w:p>
          <w:p w14:paraId="0D90D66B" w14:textId="77777777" w:rsidR="001620CC" w:rsidRPr="00B02A09" w:rsidRDefault="001620CC" w:rsidP="00CA5105">
            <w:pPr>
              <w:rPr>
                <w:sz w:val="22"/>
                <w:szCs w:val="22"/>
              </w:rPr>
            </w:pPr>
            <w:r w:rsidRPr="00B02A09">
              <w:rPr>
                <w:sz w:val="22"/>
                <w:szCs w:val="22"/>
              </w:rPr>
              <w:t xml:space="preserve">Clone E6H4      </w:t>
            </w:r>
          </w:p>
          <w:p w14:paraId="087E8F08" w14:textId="77777777" w:rsidR="001620CC" w:rsidRPr="00B02A09" w:rsidRDefault="001620CC" w:rsidP="00CA5105">
            <w:pPr>
              <w:rPr>
                <w:sz w:val="22"/>
                <w:szCs w:val="22"/>
              </w:rPr>
            </w:pPr>
            <w:proofErr w:type="spellStart"/>
            <w:r w:rsidRPr="00B02A09">
              <w:rPr>
                <w:sz w:val="22"/>
                <w:szCs w:val="22"/>
              </w:rPr>
              <w:t>CINtec</w:t>
            </w:r>
            <w:proofErr w:type="spellEnd"/>
            <w:r w:rsidRPr="00B02A09">
              <w:rPr>
                <w:sz w:val="22"/>
                <w:szCs w:val="22"/>
              </w:rPr>
              <w:t>, MTM Laboratories AG, Heidelberg, Germany</w:t>
            </w:r>
          </w:p>
        </w:tc>
        <w:tc>
          <w:tcPr>
            <w:tcW w:w="703" w:type="pct"/>
            <w:tcBorders>
              <w:bottom w:val="single" w:sz="4" w:space="0" w:color="auto"/>
            </w:tcBorders>
          </w:tcPr>
          <w:p w14:paraId="7A41D64F" w14:textId="77777777" w:rsidR="001620CC" w:rsidRPr="00B02A09" w:rsidRDefault="001620CC" w:rsidP="00CA5105">
            <w:pPr>
              <w:rPr>
                <w:sz w:val="22"/>
                <w:szCs w:val="22"/>
              </w:rPr>
            </w:pPr>
            <w:r w:rsidRPr="00B02A09">
              <w:rPr>
                <w:sz w:val="22"/>
                <w:szCs w:val="22"/>
                <w:lang w:val="de-DE"/>
              </w:rPr>
              <w:t xml:space="preserve">1:50 in </w:t>
            </w:r>
            <w:r w:rsidRPr="00B02A09">
              <w:rPr>
                <w:sz w:val="22"/>
                <w:szCs w:val="22"/>
              </w:rPr>
              <w:t>PBST/1% BSA,</w:t>
            </w:r>
          </w:p>
          <w:p w14:paraId="4AC77B93" w14:textId="77777777" w:rsidR="001620CC" w:rsidRPr="00B02A09" w:rsidRDefault="001620CC" w:rsidP="00CA5105">
            <w:pPr>
              <w:rPr>
                <w:sz w:val="22"/>
                <w:szCs w:val="22"/>
                <w:lang w:val="de-DE"/>
              </w:rPr>
            </w:pPr>
            <w:r w:rsidRPr="00B02A09">
              <w:rPr>
                <w:sz w:val="22"/>
                <w:szCs w:val="22"/>
              </w:rPr>
              <w:t xml:space="preserve">1 </w:t>
            </w:r>
            <w:proofErr w:type="spellStart"/>
            <w:r w:rsidRPr="00B02A09">
              <w:rPr>
                <w:sz w:val="22"/>
                <w:szCs w:val="22"/>
              </w:rPr>
              <w:t>hr</w:t>
            </w:r>
            <w:proofErr w:type="spellEnd"/>
            <w:r w:rsidRPr="00B02A09">
              <w:rPr>
                <w:sz w:val="22"/>
                <w:szCs w:val="22"/>
              </w:rPr>
              <w:t xml:space="preserve"> RT</w:t>
            </w:r>
          </w:p>
        </w:tc>
        <w:tc>
          <w:tcPr>
            <w:tcW w:w="1328" w:type="pct"/>
            <w:tcBorders>
              <w:bottom w:val="single" w:sz="4" w:space="0" w:color="auto"/>
            </w:tcBorders>
          </w:tcPr>
          <w:p w14:paraId="61DC9F60" w14:textId="77777777" w:rsidR="001620CC" w:rsidRPr="00B02A09" w:rsidRDefault="001620CC" w:rsidP="00CA5105">
            <w:pPr>
              <w:rPr>
                <w:sz w:val="22"/>
                <w:szCs w:val="22"/>
              </w:rPr>
            </w:pPr>
            <w:r w:rsidRPr="00B02A09">
              <w:rPr>
                <w:sz w:val="22"/>
                <w:szCs w:val="22"/>
              </w:rPr>
              <w:t>Biotinylated Horse anti Mouse IgG, BA-2001,</w:t>
            </w:r>
          </w:p>
          <w:p w14:paraId="67DB1212" w14:textId="77777777" w:rsidR="001620CC" w:rsidRPr="00B02A09" w:rsidRDefault="001620CC" w:rsidP="00CA5105">
            <w:pPr>
              <w:rPr>
                <w:sz w:val="22"/>
                <w:szCs w:val="22"/>
              </w:rPr>
            </w:pPr>
            <w:r w:rsidRPr="00B02A09">
              <w:rPr>
                <w:bCs/>
                <w:sz w:val="22"/>
                <w:szCs w:val="22"/>
              </w:rPr>
              <w:t>Vector Laboratories,</w:t>
            </w:r>
          </w:p>
          <w:p w14:paraId="5A512177" w14:textId="77777777" w:rsidR="001620CC" w:rsidRPr="00B02A09" w:rsidRDefault="001620CC" w:rsidP="00CA5105">
            <w:pPr>
              <w:rPr>
                <w:sz w:val="22"/>
                <w:szCs w:val="22"/>
              </w:rPr>
            </w:pPr>
            <w:r w:rsidRPr="00B02A09">
              <w:rPr>
                <w:sz w:val="22"/>
                <w:szCs w:val="22"/>
              </w:rPr>
              <w:t>1:200 in PBST/1% BSA; 30 min RT</w:t>
            </w:r>
          </w:p>
        </w:tc>
        <w:tc>
          <w:tcPr>
            <w:tcW w:w="1328" w:type="pct"/>
            <w:tcBorders>
              <w:bottom w:val="single" w:sz="4" w:space="0" w:color="auto"/>
              <w:right w:val="nil"/>
            </w:tcBorders>
          </w:tcPr>
          <w:p w14:paraId="757DC5C4" w14:textId="77777777" w:rsidR="001620CC" w:rsidRPr="00B02A09" w:rsidRDefault="001620CC" w:rsidP="00CA5105">
            <w:pPr>
              <w:rPr>
                <w:sz w:val="22"/>
                <w:szCs w:val="22"/>
                <w:vertAlign w:val="superscript"/>
              </w:rPr>
            </w:pPr>
            <w:r w:rsidRPr="00B02A09">
              <w:rPr>
                <w:sz w:val="22"/>
                <w:szCs w:val="22"/>
              </w:rPr>
              <w:t xml:space="preserve">ABC </w:t>
            </w:r>
          </w:p>
          <w:p w14:paraId="7518F3D9" w14:textId="77777777" w:rsidR="001620CC" w:rsidRPr="00B02A09" w:rsidRDefault="001620CC" w:rsidP="00CA5105">
            <w:pPr>
              <w:rPr>
                <w:sz w:val="22"/>
                <w:szCs w:val="22"/>
              </w:rPr>
            </w:pPr>
            <w:r w:rsidRPr="00B02A09">
              <w:rPr>
                <w:sz w:val="22"/>
                <w:szCs w:val="22"/>
              </w:rPr>
              <w:t>30 min RT,</w:t>
            </w:r>
          </w:p>
          <w:p w14:paraId="594FD194" w14:textId="77777777" w:rsidR="001620CC" w:rsidRPr="00B02A09" w:rsidRDefault="001620CC" w:rsidP="00CA5105">
            <w:pPr>
              <w:rPr>
                <w:sz w:val="22"/>
                <w:szCs w:val="22"/>
              </w:rPr>
            </w:pPr>
            <w:r w:rsidRPr="00B02A09">
              <w:rPr>
                <w:sz w:val="22"/>
                <w:szCs w:val="22"/>
              </w:rPr>
              <w:t>DAB reaction</w:t>
            </w:r>
          </w:p>
        </w:tc>
      </w:tr>
      <w:tr w:rsidR="001620CC" w:rsidRPr="00B02A09" w14:paraId="644F004D" w14:textId="77777777" w:rsidTr="003F4040">
        <w:trPr>
          <w:trHeight w:val="1555"/>
        </w:trPr>
        <w:tc>
          <w:tcPr>
            <w:tcW w:w="625" w:type="pct"/>
            <w:tcBorders>
              <w:top w:val="single" w:sz="4" w:space="0" w:color="auto"/>
              <w:left w:val="nil"/>
              <w:bottom w:val="single" w:sz="24" w:space="0" w:color="auto"/>
              <w:right w:val="single" w:sz="4" w:space="0" w:color="auto"/>
            </w:tcBorders>
            <w:shd w:val="clear" w:color="auto" w:fill="auto"/>
          </w:tcPr>
          <w:p w14:paraId="2732E0B9" w14:textId="77777777" w:rsidR="001620CC" w:rsidRPr="00B02A09" w:rsidRDefault="001620CC" w:rsidP="00CA5105">
            <w:pPr>
              <w:rPr>
                <w:sz w:val="22"/>
                <w:szCs w:val="22"/>
              </w:rPr>
            </w:pPr>
            <w:r w:rsidRPr="00B02A09">
              <w:rPr>
                <w:sz w:val="22"/>
                <w:szCs w:val="22"/>
              </w:rPr>
              <w:t xml:space="preserve">Ki-67 </w:t>
            </w:r>
          </w:p>
          <w:p w14:paraId="65E3D8AB" w14:textId="77777777" w:rsidR="001620CC" w:rsidRPr="00B02A09" w:rsidRDefault="001620CC" w:rsidP="00CA5105">
            <w:pPr>
              <w:rPr>
                <w:sz w:val="22"/>
                <w:szCs w:val="22"/>
              </w:rPr>
            </w:pPr>
          </w:p>
        </w:tc>
        <w:tc>
          <w:tcPr>
            <w:tcW w:w="1016" w:type="pct"/>
            <w:tcBorders>
              <w:top w:val="single" w:sz="4" w:space="0" w:color="auto"/>
              <w:left w:val="single" w:sz="4" w:space="0" w:color="auto"/>
              <w:bottom w:val="single" w:sz="24" w:space="0" w:color="auto"/>
              <w:right w:val="single" w:sz="4" w:space="0" w:color="auto"/>
            </w:tcBorders>
          </w:tcPr>
          <w:p w14:paraId="70FC128D" w14:textId="77777777" w:rsidR="001620CC" w:rsidRPr="00B02A09" w:rsidRDefault="001620CC" w:rsidP="00CA5105">
            <w:pPr>
              <w:rPr>
                <w:sz w:val="22"/>
                <w:szCs w:val="22"/>
              </w:rPr>
            </w:pPr>
            <w:proofErr w:type="spellStart"/>
            <w:r w:rsidRPr="00B02A09">
              <w:rPr>
                <w:sz w:val="22"/>
                <w:szCs w:val="22"/>
              </w:rPr>
              <w:t>mAb</w:t>
            </w:r>
            <w:proofErr w:type="spellEnd"/>
            <w:r w:rsidRPr="00B02A09">
              <w:rPr>
                <w:sz w:val="22"/>
                <w:szCs w:val="22"/>
              </w:rPr>
              <w:t xml:space="preserve"> mouse IgG1</w:t>
            </w:r>
          </w:p>
          <w:p w14:paraId="1160A3C9" w14:textId="77777777" w:rsidR="001620CC" w:rsidRPr="00B02A09" w:rsidRDefault="001620CC" w:rsidP="00CA5105">
            <w:pPr>
              <w:rPr>
                <w:sz w:val="22"/>
                <w:szCs w:val="22"/>
              </w:rPr>
            </w:pPr>
            <w:r w:rsidRPr="00B02A09">
              <w:rPr>
                <w:sz w:val="22"/>
                <w:szCs w:val="22"/>
              </w:rPr>
              <w:t>Clone MIB-1</w:t>
            </w:r>
          </w:p>
          <w:p w14:paraId="43781389" w14:textId="77777777" w:rsidR="001620CC" w:rsidRPr="00B02A09" w:rsidRDefault="001620CC" w:rsidP="00CA5105">
            <w:pPr>
              <w:rPr>
                <w:sz w:val="22"/>
                <w:szCs w:val="22"/>
                <w:lang w:val="nl-NL"/>
              </w:rPr>
            </w:pPr>
            <w:r w:rsidRPr="00B02A09">
              <w:rPr>
                <w:sz w:val="22"/>
                <w:szCs w:val="22"/>
                <w:lang w:val="nl-NL"/>
              </w:rPr>
              <w:t>M7240</w:t>
            </w:r>
          </w:p>
          <w:p w14:paraId="70924D7A" w14:textId="77777777" w:rsidR="001620CC" w:rsidRPr="00B02A09" w:rsidRDefault="001620CC" w:rsidP="00CA5105">
            <w:pPr>
              <w:rPr>
                <w:bCs/>
                <w:sz w:val="22"/>
                <w:szCs w:val="22"/>
                <w:lang w:val="nl-NL"/>
              </w:rPr>
            </w:pPr>
            <w:proofErr w:type="spellStart"/>
            <w:r w:rsidRPr="00B02A09">
              <w:rPr>
                <w:bCs/>
                <w:sz w:val="22"/>
                <w:szCs w:val="22"/>
                <w:lang w:val="nl-NL"/>
              </w:rPr>
              <w:t>Dako</w:t>
            </w:r>
            <w:proofErr w:type="spellEnd"/>
            <w:r w:rsidRPr="00B02A09">
              <w:rPr>
                <w:bCs/>
                <w:sz w:val="22"/>
                <w:szCs w:val="22"/>
                <w:lang w:val="nl-NL"/>
              </w:rPr>
              <w:t>/</w:t>
            </w:r>
            <w:proofErr w:type="spellStart"/>
            <w:r w:rsidRPr="00B02A09">
              <w:rPr>
                <w:bCs/>
                <w:sz w:val="22"/>
                <w:szCs w:val="22"/>
                <w:lang w:val="nl-NL"/>
              </w:rPr>
              <w:t>Agilent</w:t>
            </w:r>
            <w:proofErr w:type="spellEnd"/>
            <w:r w:rsidRPr="00B02A09">
              <w:rPr>
                <w:bCs/>
                <w:sz w:val="22"/>
                <w:szCs w:val="22"/>
                <w:lang w:val="nl-NL"/>
              </w:rPr>
              <w:t xml:space="preserve">, </w:t>
            </w:r>
            <w:proofErr w:type="spellStart"/>
            <w:r w:rsidRPr="00B02A09">
              <w:rPr>
                <w:bCs/>
                <w:sz w:val="22"/>
                <w:szCs w:val="22"/>
                <w:lang w:val="nl-NL"/>
              </w:rPr>
              <w:t>Glostrup</w:t>
            </w:r>
            <w:proofErr w:type="spellEnd"/>
            <w:r w:rsidRPr="00B02A09">
              <w:rPr>
                <w:bCs/>
                <w:sz w:val="22"/>
                <w:szCs w:val="22"/>
                <w:lang w:val="nl-NL"/>
              </w:rPr>
              <w:t>,</w:t>
            </w:r>
          </w:p>
          <w:p w14:paraId="37B331F0" w14:textId="77777777" w:rsidR="001620CC" w:rsidRPr="00B02A09" w:rsidRDefault="001620CC" w:rsidP="00CA5105">
            <w:pPr>
              <w:rPr>
                <w:sz w:val="22"/>
                <w:szCs w:val="22"/>
                <w:lang w:val="nl-NL"/>
              </w:rPr>
            </w:pPr>
            <w:r w:rsidRPr="00B02A09">
              <w:rPr>
                <w:bCs/>
                <w:sz w:val="22"/>
                <w:szCs w:val="22"/>
                <w:lang w:val="nl-NL"/>
              </w:rPr>
              <w:t>Denmark</w:t>
            </w:r>
            <w:r w:rsidRPr="00B02A09">
              <w:rPr>
                <w:sz w:val="22"/>
                <w:szCs w:val="22"/>
                <w:lang w:val="nl-NL"/>
              </w:rPr>
              <w:t xml:space="preserve"> </w:t>
            </w:r>
          </w:p>
        </w:tc>
        <w:tc>
          <w:tcPr>
            <w:tcW w:w="703" w:type="pct"/>
            <w:tcBorders>
              <w:top w:val="single" w:sz="4" w:space="0" w:color="auto"/>
              <w:left w:val="single" w:sz="4" w:space="0" w:color="auto"/>
              <w:bottom w:val="single" w:sz="24" w:space="0" w:color="auto"/>
              <w:right w:val="single" w:sz="4" w:space="0" w:color="auto"/>
            </w:tcBorders>
          </w:tcPr>
          <w:p w14:paraId="708F9E53" w14:textId="77777777" w:rsidR="001620CC" w:rsidRPr="00B02A09" w:rsidRDefault="001620CC" w:rsidP="00CA5105">
            <w:pPr>
              <w:rPr>
                <w:sz w:val="22"/>
                <w:szCs w:val="22"/>
                <w:lang w:val="nl-NL"/>
              </w:rPr>
            </w:pPr>
            <w:r w:rsidRPr="00B02A09">
              <w:rPr>
                <w:sz w:val="22"/>
                <w:szCs w:val="22"/>
                <w:lang w:val="nl-NL"/>
              </w:rPr>
              <w:t xml:space="preserve">1:25 in </w:t>
            </w:r>
          </w:p>
          <w:p w14:paraId="50B9C3B2" w14:textId="77777777" w:rsidR="001620CC" w:rsidRPr="00B02A09" w:rsidRDefault="001620CC" w:rsidP="00CA5105">
            <w:pPr>
              <w:rPr>
                <w:sz w:val="22"/>
                <w:szCs w:val="22"/>
                <w:lang w:val="nl-NL"/>
              </w:rPr>
            </w:pPr>
            <w:r w:rsidRPr="00B02A09">
              <w:rPr>
                <w:sz w:val="22"/>
                <w:szCs w:val="22"/>
                <w:lang w:val="nl-NL"/>
              </w:rPr>
              <w:t>PBST/1% 45 min, 37</w:t>
            </w:r>
            <w:r w:rsidRPr="00B02A09">
              <w:rPr>
                <w:sz w:val="22"/>
                <w:szCs w:val="22"/>
                <w:vertAlign w:val="superscript"/>
                <w:lang w:val="nl-NL"/>
              </w:rPr>
              <w:t>0</w:t>
            </w:r>
            <w:r w:rsidRPr="00B02A09">
              <w:rPr>
                <w:sz w:val="22"/>
                <w:szCs w:val="22"/>
                <w:lang w:val="nl-NL"/>
              </w:rPr>
              <w:t>C</w:t>
            </w:r>
          </w:p>
          <w:p w14:paraId="01957316" w14:textId="77777777" w:rsidR="001620CC" w:rsidRPr="00B02A09" w:rsidRDefault="001620CC" w:rsidP="00CA5105">
            <w:pPr>
              <w:rPr>
                <w:sz w:val="22"/>
                <w:szCs w:val="22"/>
                <w:lang w:val="nl-NL"/>
              </w:rPr>
            </w:pPr>
            <w:r w:rsidRPr="00B02A09">
              <w:rPr>
                <w:sz w:val="22"/>
                <w:szCs w:val="22"/>
                <w:lang w:val="nl-NL"/>
              </w:rPr>
              <w:t xml:space="preserve">BSA </w:t>
            </w:r>
          </w:p>
        </w:tc>
        <w:tc>
          <w:tcPr>
            <w:tcW w:w="1328" w:type="pct"/>
            <w:tcBorders>
              <w:top w:val="single" w:sz="4" w:space="0" w:color="auto"/>
              <w:left w:val="single" w:sz="4" w:space="0" w:color="auto"/>
              <w:bottom w:val="single" w:sz="24" w:space="0" w:color="auto"/>
              <w:right w:val="single" w:sz="4" w:space="0" w:color="auto"/>
            </w:tcBorders>
          </w:tcPr>
          <w:p w14:paraId="5D6CCA4A" w14:textId="77777777" w:rsidR="001620CC" w:rsidRPr="00B02A09" w:rsidRDefault="001620CC" w:rsidP="00CA5105">
            <w:pPr>
              <w:rPr>
                <w:sz w:val="22"/>
                <w:szCs w:val="22"/>
              </w:rPr>
            </w:pPr>
            <w:r w:rsidRPr="00B02A09">
              <w:rPr>
                <w:sz w:val="22"/>
                <w:szCs w:val="22"/>
              </w:rPr>
              <w:t xml:space="preserve">Biotinylated Horse anti Mouse IgG, BA-2001 </w:t>
            </w:r>
            <w:r w:rsidRPr="00B02A09">
              <w:rPr>
                <w:color w:val="000000"/>
                <w:sz w:val="22"/>
                <w:szCs w:val="22"/>
                <w:lang w:eastAsia="nl-NL"/>
              </w:rPr>
              <w:t xml:space="preserve">Vector Laboratories, </w:t>
            </w:r>
          </w:p>
          <w:p w14:paraId="319954AC" w14:textId="77777777" w:rsidR="001620CC" w:rsidRPr="00B02A09" w:rsidRDefault="001620CC" w:rsidP="00CA5105">
            <w:pPr>
              <w:rPr>
                <w:sz w:val="22"/>
                <w:szCs w:val="22"/>
                <w:lang w:val="nl-NL"/>
              </w:rPr>
            </w:pPr>
            <w:r w:rsidRPr="00B02A09">
              <w:rPr>
                <w:sz w:val="22"/>
                <w:szCs w:val="22"/>
                <w:lang w:val="nl-NL"/>
              </w:rPr>
              <w:t>1:200 in PBST/1% BSA</w:t>
            </w:r>
          </w:p>
          <w:p w14:paraId="62521CFB" w14:textId="77777777" w:rsidR="001620CC" w:rsidRPr="00B02A09" w:rsidRDefault="001620CC" w:rsidP="00CA5105">
            <w:pPr>
              <w:rPr>
                <w:sz w:val="22"/>
                <w:szCs w:val="22"/>
                <w:lang w:val="nl-NL"/>
              </w:rPr>
            </w:pPr>
            <w:r w:rsidRPr="00B02A09">
              <w:rPr>
                <w:sz w:val="22"/>
                <w:szCs w:val="22"/>
                <w:lang w:val="nl-NL"/>
              </w:rPr>
              <w:t>30 min, 37</w:t>
            </w:r>
            <w:r w:rsidRPr="00B02A09">
              <w:rPr>
                <w:sz w:val="22"/>
                <w:szCs w:val="22"/>
                <w:vertAlign w:val="superscript"/>
                <w:lang w:val="nl-NL"/>
              </w:rPr>
              <w:t>0</w:t>
            </w:r>
            <w:r w:rsidRPr="00B02A09">
              <w:rPr>
                <w:sz w:val="22"/>
                <w:szCs w:val="22"/>
                <w:lang w:val="nl-NL"/>
              </w:rPr>
              <w:t xml:space="preserve">C </w:t>
            </w:r>
          </w:p>
        </w:tc>
        <w:tc>
          <w:tcPr>
            <w:tcW w:w="1328" w:type="pct"/>
            <w:tcBorders>
              <w:top w:val="single" w:sz="4" w:space="0" w:color="auto"/>
              <w:left w:val="single" w:sz="4" w:space="0" w:color="auto"/>
              <w:bottom w:val="single" w:sz="24" w:space="0" w:color="auto"/>
              <w:right w:val="nil"/>
            </w:tcBorders>
          </w:tcPr>
          <w:p w14:paraId="032EA281" w14:textId="77777777" w:rsidR="001620CC" w:rsidRPr="00B02A09" w:rsidRDefault="001620CC" w:rsidP="00CA5105">
            <w:pPr>
              <w:rPr>
                <w:sz w:val="22"/>
                <w:szCs w:val="22"/>
              </w:rPr>
            </w:pPr>
            <w:r w:rsidRPr="00B02A09">
              <w:rPr>
                <w:sz w:val="22"/>
                <w:szCs w:val="22"/>
              </w:rPr>
              <w:t xml:space="preserve">ABC </w:t>
            </w:r>
          </w:p>
          <w:p w14:paraId="2F1CCFC2" w14:textId="77777777" w:rsidR="001620CC" w:rsidRPr="00B02A09" w:rsidRDefault="001620CC" w:rsidP="00CA5105">
            <w:pPr>
              <w:rPr>
                <w:sz w:val="22"/>
                <w:szCs w:val="22"/>
              </w:rPr>
            </w:pPr>
            <w:r w:rsidRPr="00B02A09">
              <w:rPr>
                <w:sz w:val="22"/>
                <w:szCs w:val="22"/>
              </w:rPr>
              <w:t>30 min RT,</w:t>
            </w:r>
          </w:p>
          <w:p w14:paraId="7F5B1559" w14:textId="77777777" w:rsidR="001620CC" w:rsidRPr="00B02A09" w:rsidRDefault="001620CC" w:rsidP="00CA5105">
            <w:pPr>
              <w:rPr>
                <w:sz w:val="22"/>
                <w:szCs w:val="22"/>
              </w:rPr>
            </w:pPr>
            <w:r w:rsidRPr="00B02A09">
              <w:rPr>
                <w:sz w:val="22"/>
                <w:szCs w:val="22"/>
              </w:rPr>
              <w:t xml:space="preserve">DAB reaction </w:t>
            </w:r>
          </w:p>
        </w:tc>
      </w:tr>
    </w:tbl>
    <w:p w14:paraId="28938002" w14:textId="77777777" w:rsidR="005E520D" w:rsidRPr="00B02A09" w:rsidRDefault="005E520D" w:rsidP="001620CC">
      <w:pPr>
        <w:jc w:val="both"/>
        <w:rPr>
          <w:sz w:val="22"/>
          <w:szCs w:val="22"/>
        </w:rPr>
      </w:pPr>
    </w:p>
    <w:p w14:paraId="3A9AF6EE" w14:textId="77777777" w:rsidR="00B02A09" w:rsidRDefault="00B02A09" w:rsidP="001620CC">
      <w:pPr>
        <w:jc w:val="both"/>
      </w:pPr>
    </w:p>
    <w:p w14:paraId="45CB654F" w14:textId="7AAF8555" w:rsidR="001620CC" w:rsidRPr="001C357D" w:rsidRDefault="001620CC" w:rsidP="00B02A09">
      <w:pPr>
        <w:spacing w:line="360" w:lineRule="auto"/>
        <w:jc w:val="both"/>
      </w:pPr>
      <w:r w:rsidRPr="001C357D">
        <w:t xml:space="preserve">Abbreviations: </w:t>
      </w:r>
      <w:proofErr w:type="spellStart"/>
      <w:r w:rsidRPr="001C357D">
        <w:t>mAb</w:t>
      </w:r>
      <w:proofErr w:type="spellEnd"/>
      <w:r w:rsidRPr="001C357D">
        <w:t>, monoclonal antibody;</w:t>
      </w:r>
      <w:r>
        <w:t xml:space="preserve"> </w:t>
      </w:r>
      <w:r w:rsidRPr="001C357D">
        <w:t xml:space="preserve">HRP, horseradish peroxidase; RT, room temperature; PBST, phosphate buffered saline + 0.1% Tween-20 (Janssen </w:t>
      </w:r>
      <w:proofErr w:type="spellStart"/>
      <w:r w:rsidRPr="001C357D">
        <w:t>Chimica</w:t>
      </w:r>
      <w:proofErr w:type="spellEnd"/>
      <w:r w:rsidRPr="001C357D">
        <w:t>, Beerse, Belgium); BSA, bovine serum albumin; DAB, diaminobenzidine; ABC, Avidin-biotin complex with biotinylated HRP; NGS, normal goat serum.</w:t>
      </w:r>
    </w:p>
    <w:p w14:paraId="26FA71A6" w14:textId="77777777" w:rsidR="001620CC" w:rsidRDefault="001620CC" w:rsidP="00B02A09">
      <w:pPr>
        <w:pStyle w:val="p"/>
        <w:shd w:val="clear" w:color="auto" w:fill="FFFFFF"/>
        <w:spacing w:before="166" w:beforeAutospacing="0" w:after="166" w:afterAutospacing="0" w:line="360" w:lineRule="auto"/>
        <w:jc w:val="both"/>
        <w:rPr>
          <w:color w:val="000000" w:themeColor="text1"/>
          <w:lang w:val="en-US"/>
        </w:rPr>
      </w:pPr>
    </w:p>
    <w:p w14:paraId="10537F25" w14:textId="77777777" w:rsidR="001620CC" w:rsidRDefault="001620CC" w:rsidP="001620CC">
      <w:pPr>
        <w:pStyle w:val="p"/>
        <w:shd w:val="clear" w:color="auto" w:fill="FFFFFF"/>
        <w:spacing w:before="166" w:beforeAutospacing="0" w:after="166" w:afterAutospacing="0" w:line="480" w:lineRule="auto"/>
        <w:jc w:val="both"/>
        <w:rPr>
          <w:color w:val="000000" w:themeColor="text1"/>
          <w:lang w:val="en-US"/>
        </w:rPr>
      </w:pPr>
      <w:r w:rsidRPr="00F60B04">
        <w:rPr>
          <w:color w:val="000000" w:themeColor="text1"/>
          <w:lang w:val="en-US"/>
        </w:rPr>
        <w:lastRenderedPageBreak/>
        <w:t>Supplemental Table S2:</w:t>
      </w:r>
      <w:r w:rsidRPr="001C357D">
        <w:rPr>
          <w:color w:val="000000" w:themeColor="text1"/>
          <w:lang w:val="en-US"/>
        </w:rPr>
        <w:t xml:space="preserve"> </w:t>
      </w:r>
    </w:p>
    <w:p w14:paraId="6E4174A6" w14:textId="2BEAB691" w:rsidR="001620CC" w:rsidRDefault="001620CC" w:rsidP="001620CC">
      <w:pPr>
        <w:pStyle w:val="p"/>
        <w:shd w:val="clear" w:color="auto" w:fill="FFFFFF"/>
        <w:spacing w:before="166" w:beforeAutospacing="0" w:after="166" w:afterAutospacing="0" w:line="480" w:lineRule="auto"/>
        <w:jc w:val="both"/>
        <w:rPr>
          <w:rFonts w:asciiTheme="majorBidi" w:hAnsiTheme="majorBidi" w:cstheme="majorBidi"/>
          <w:color w:val="000000" w:themeColor="text1"/>
          <w:lang w:val="en-US"/>
        </w:rPr>
      </w:pPr>
      <w:r w:rsidRPr="001C357D">
        <w:rPr>
          <w:color w:val="000000" w:themeColor="text1"/>
          <w:lang w:val="en-US"/>
        </w:rPr>
        <w:t xml:space="preserve">Summary of </w:t>
      </w:r>
      <w:r>
        <w:rPr>
          <w:color w:val="000000" w:themeColor="text1"/>
          <w:lang w:val="en-US"/>
        </w:rPr>
        <w:t>label</w:t>
      </w:r>
      <w:r w:rsidR="00B02A09">
        <w:rPr>
          <w:color w:val="000000" w:themeColor="text1"/>
          <w:lang w:val="en-US"/>
        </w:rPr>
        <w:t>l</w:t>
      </w:r>
      <w:r>
        <w:rPr>
          <w:color w:val="000000" w:themeColor="text1"/>
          <w:lang w:val="en-US"/>
        </w:rPr>
        <w:t xml:space="preserve">ed </w:t>
      </w:r>
      <w:r w:rsidRPr="001C357D">
        <w:rPr>
          <w:color w:val="000000" w:themeColor="text1"/>
          <w:lang w:val="en-US"/>
        </w:rPr>
        <w:t xml:space="preserve">HPV and chromosomal DNA probes used for </w:t>
      </w:r>
      <w:r w:rsidRPr="00ED1DE0">
        <w:rPr>
          <w:color w:val="000000" w:themeColor="text1"/>
          <w:lang w:val="en-US"/>
        </w:rPr>
        <w:t xml:space="preserve">direct and indirect </w:t>
      </w:r>
      <w:r w:rsidRPr="00ED1DE0">
        <w:rPr>
          <w:rFonts w:asciiTheme="majorBidi" w:hAnsiTheme="majorBidi" w:cstheme="majorBidi"/>
          <w:color w:val="000000" w:themeColor="text1"/>
          <w:lang w:val="en-US"/>
        </w:rPr>
        <w:t>fluorescent detection</w:t>
      </w:r>
      <w:r>
        <w:rPr>
          <w:rFonts w:asciiTheme="majorBidi" w:hAnsiTheme="majorBidi" w:cstheme="majorBidi"/>
          <w:color w:val="000000" w:themeColor="text1"/>
          <w:lang w:val="en-US"/>
        </w:rPr>
        <w:t xml:space="preserve"> using in situ hybridization (FISH)</w:t>
      </w:r>
      <w:r w:rsidRPr="00ED1DE0">
        <w:rPr>
          <w:rFonts w:asciiTheme="majorBidi" w:hAnsiTheme="majorBidi" w:cstheme="majorBidi"/>
          <w:color w:val="000000" w:themeColor="text1"/>
          <w:lang w:val="en-US"/>
        </w:rPr>
        <w:t>.</w:t>
      </w:r>
    </w:p>
    <w:p w14:paraId="225E8B8D" w14:textId="77777777" w:rsidR="005E520D" w:rsidRPr="00ED1DE0" w:rsidRDefault="005E520D" w:rsidP="001620CC">
      <w:pPr>
        <w:pStyle w:val="p"/>
        <w:shd w:val="clear" w:color="auto" w:fill="FFFFFF"/>
        <w:spacing w:before="166" w:beforeAutospacing="0" w:after="166" w:afterAutospacing="0" w:line="480" w:lineRule="auto"/>
        <w:jc w:val="both"/>
        <w:rPr>
          <w:rFonts w:asciiTheme="majorBidi" w:hAnsiTheme="majorBidi" w:cstheme="majorBidi"/>
          <w:color w:val="000000" w:themeColor="text1"/>
          <w:lang w:val="en-US"/>
        </w:rPr>
      </w:pPr>
    </w:p>
    <w:tbl>
      <w:tblPr>
        <w:tblStyle w:val="PlainTable2"/>
        <w:tblW w:w="5000" w:type="pct"/>
        <w:tblLook w:val="04A0" w:firstRow="1" w:lastRow="0" w:firstColumn="1" w:lastColumn="0" w:noHBand="0" w:noVBand="1"/>
      </w:tblPr>
      <w:tblGrid>
        <w:gridCol w:w="3888"/>
        <w:gridCol w:w="1529"/>
        <w:gridCol w:w="3609"/>
      </w:tblGrid>
      <w:tr w:rsidR="003F4040" w:rsidRPr="00AF1957" w14:paraId="260D1ECE" w14:textId="77777777" w:rsidTr="00B02A09">
        <w:trPr>
          <w:cnfStyle w:val="100000000000" w:firstRow="1" w:lastRow="0" w:firstColumn="0" w:lastColumn="0" w:oddVBand="0" w:evenVBand="0" w:oddHBand="0"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2154" w:type="pct"/>
            <w:tcBorders>
              <w:top w:val="nil"/>
              <w:bottom w:val="single" w:sz="24" w:space="0" w:color="000000" w:themeColor="text1"/>
              <w:right w:val="single" w:sz="8" w:space="0" w:color="auto"/>
            </w:tcBorders>
            <w:hideMark/>
          </w:tcPr>
          <w:p w14:paraId="6024E5B6" w14:textId="77777777" w:rsidR="001620CC" w:rsidRPr="00AF1957" w:rsidRDefault="001620CC" w:rsidP="00CA5105">
            <w:pPr>
              <w:rPr>
                <w:b w:val="0"/>
                <w:bCs w:val="0"/>
                <w:color w:val="000000"/>
              </w:rPr>
            </w:pPr>
            <w:proofErr w:type="spellStart"/>
            <w:r w:rsidRPr="00AF1957">
              <w:rPr>
                <w:b w:val="0"/>
                <w:bCs w:val="0"/>
                <w:color w:val="000000"/>
                <w:lang w:val="nl-NL"/>
              </w:rPr>
              <w:t>Probe</w:t>
            </w:r>
            <w:proofErr w:type="spellEnd"/>
            <w:r w:rsidRPr="00AF1957">
              <w:rPr>
                <w:b w:val="0"/>
                <w:bCs w:val="0"/>
                <w:color w:val="000000"/>
                <w:lang w:val="nl-NL"/>
              </w:rPr>
              <w:t xml:space="preserve"> name</w:t>
            </w:r>
          </w:p>
        </w:tc>
        <w:tc>
          <w:tcPr>
            <w:tcW w:w="847" w:type="pct"/>
            <w:tcBorders>
              <w:top w:val="nil"/>
              <w:left w:val="single" w:sz="8" w:space="0" w:color="auto"/>
              <w:bottom w:val="single" w:sz="24" w:space="0" w:color="000000" w:themeColor="text1"/>
              <w:right w:val="single" w:sz="8" w:space="0" w:color="auto"/>
            </w:tcBorders>
            <w:hideMark/>
          </w:tcPr>
          <w:p w14:paraId="028D560E" w14:textId="77777777" w:rsidR="001620CC" w:rsidRPr="00AF1957" w:rsidRDefault="001620CC" w:rsidP="00CA5105">
            <w:pPr>
              <w:cnfStyle w:val="100000000000" w:firstRow="1" w:lastRow="0" w:firstColumn="0" w:lastColumn="0" w:oddVBand="0" w:evenVBand="0" w:oddHBand="0" w:evenHBand="0" w:firstRowFirstColumn="0" w:firstRowLastColumn="0" w:lastRowFirstColumn="0" w:lastRowLastColumn="0"/>
              <w:rPr>
                <w:b w:val="0"/>
                <w:bCs w:val="0"/>
                <w:color w:val="000000"/>
              </w:rPr>
            </w:pPr>
            <w:r w:rsidRPr="00AF1957">
              <w:rPr>
                <w:b w:val="0"/>
                <w:bCs w:val="0"/>
                <w:color w:val="000000"/>
                <w:lang w:val="nl-NL"/>
              </w:rPr>
              <w:t>Label</w:t>
            </w:r>
          </w:p>
        </w:tc>
        <w:tc>
          <w:tcPr>
            <w:tcW w:w="2000" w:type="pct"/>
            <w:tcBorders>
              <w:top w:val="nil"/>
              <w:left w:val="single" w:sz="8" w:space="0" w:color="auto"/>
              <w:bottom w:val="single" w:sz="24" w:space="0" w:color="000000" w:themeColor="text1"/>
            </w:tcBorders>
            <w:hideMark/>
          </w:tcPr>
          <w:p w14:paraId="032B0FE3" w14:textId="77777777" w:rsidR="001620CC" w:rsidRPr="00AF1957" w:rsidRDefault="001620CC" w:rsidP="00CA5105">
            <w:pPr>
              <w:cnfStyle w:val="100000000000" w:firstRow="1" w:lastRow="0" w:firstColumn="0" w:lastColumn="0" w:oddVBand="0" w:evenVBand="0" w:oddHBand="0" w:evenHBand="0" w:firstRowFirstColumn="0" w:firstRowLastColumn="0" w:lastRowFirstColumn="0" w:lastRowLastColumn="0"/>
              <w:rPr>
                <w:b w:val="0"/>
                <w:bCs w:val="0"/>
                <w:color w:val="000000"/>
              </w:rPr>
            </w:pPr>
            <w:r w:rsidRPr="00AF1957">
              <w:rPr>
                <w:b w:val="0"/>
                <w:bCs w:val="0"/>
                <w:color w:val="000000"/>
              </w:rPr>
              <w:t>Fluorescent detection</w:t>
            </w:r>
          </w:p>
        </w:tc>
      </w:tr>
      <w:tr w:rsidR="00B02A09" w:rsidRPr="00AF1957" w14:paraId="31D5400F" w14:textId="77777777" w:rsidTr="00B02A09">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2154" w:type="pct"/>
            <w:tcBorders>
              <w:top w:val="single" w:sz="24" w:space="0" w:color="000000" w:themeColor="text1"/>
              <w:right w:val="single" w:sz="8" w:space="0" w:color="auto"/>
            </w:tcBorders>
            <w:hideMark/>
          </w:tcPr>
          <w:p w14:paraId="60639D2C" w14:textId="77777777" w:rsidR="001620CC" w:rsidRPr="00AF1957" w:rsidRDefault="001620CC" w:rsidP="00CA5105">
            <w:pPr>
              <w:rPr>
                <w:b w:val="0"/>
                <w:bCs w:val="0"/>
                <w:color w:val="000000"/>
              </w:rPr>
            </w:pPr>
            <w:r w:rsidRPr="00AF1957">
              <w:rPr>
                <w:b w:val="0"/>
                <w:bCs w:val="0"/>
                <w:color w:val="000000"/>
                <w:lang w:val="nl-NL"/>
              </w:rPr>
              <w:t>HPV (16, 18, 31 or 33)</w:t>
            </w:r>
          </w:p>
        </w:tc>
        <w:tc>
          <w:tcPr>
            <w:tcW w:w="847" w:type="pct"/>
            <w:tcBorders>
              <w:top w:val="single" w:sz="24" w:space="0" w:color="000000" w:themeColor="text1"/>
              <w:left w:val="single" w:sz="8" w:space="0" w:color="auto"/>
              <w:right w:val="single" w:sz="8" w:space="0" w:color="auto"/>
            </w:tcBorders>
            <w:hideMark/>
          </w:tcPr>
          <w:p w14:paraId="68917919" w14:textId="77777777" w:rsidR="001620CC" w:rsidRPr="00AF1957" w:rsidRDefault="001620CC" w:rsidP="00CA5105">
            <w:pPr>
              <w:cnfStyle w:val="000000100000" w:firstRow="0" w:lastRow="0" w:firstColumn="0" w:lastColumn="0" w:oddVBand="0" w:evenVBand="0" w:oddHBand="1" w:evenHBand="0" w:firstRowFirstColumn="0" w:firstRowLastColumn="0" w:lastRowFirstColumn="0" w:lastRowLastColumn="0"/>
              <w:rPr>
                <w:color w:val="000000"/>
              </w:rPr>
            </w:pPr>
            <w:r w:rsidRPr="00AF1957">
              <w:rPr>
                <w:color w:val="000000"/>
              </w:rPr>
              <w:t>Digoxigenin</w:t>
            </w:r>
          </w:p>
        </w:tc>
        <w:tc>
          <w:tcPr>
            <w:tcW w:w="2000" w:type="pct"/>
            <w:tcBorders>
              <w:top w:val="single" w:sz="24" w:space="0" w:color="000000" w:themeColor="text1"/>
              <w:left w:val="single" w:sz="8" w:space="0" w:color="auto"/>
            </w:tcBorders>
            <w:hideMark/>
          </w:tcPr>
          <w:p w14:paraId="2FDFA54D" w14:textId="77777777" w:rsidR="001620CC" w:rsidRPr="00AF1957" w:rsidRDefault="001620CC" w:rsidP="00CA5105">
            <w:pPr>
              <w:cnfStyle w:val="000000100000" w:firstRow="0" w:lastRow="0" w:firstColumn="0" w:lastColumn="0" w:oddVBand="0" w:evenVBand="0" w:oddHBand="1" w:evenHBand="0" w:firstRowFirstColumn="0" w:firstRowLastColumn="0" w:lastRowFirstColumn="0" w:lastRowLastColumn="0"/>
              <w:rPr>
                <w:color w:val="000000"/>
              </w:rPr>
            </w:pPr>
            <w:r w:rsidRPr="00AF1957">
              <w:rPr>
                <w:color w:val="000000"/>
              </w:rPr>
              <w:t xml:space="preserve">Red: MaDig, </w:t>
            </w:r>
            <w:proofErr w:type="spellStart"/>
            <w:r w:rsidRPr="00AF1957">
              <w:rPr>
                <w:color w:val="000000"/>
              </w:rPr>
              <w:t>RaM</w:t>
            </w:r>
            <w:proofErr w:type="spellEnd"/>
            <w:r w:rsidRPr="00AF1957">
              <w:rPr>
                <w:color w:val="000000"/>
              </w:rPr>
              <w:t xml:space="preserve">-TRITC, SwAR-TRITC </w:t>
            </w:r>
          </w:p>
        </w:tc>
      </w:tr>
      <w:tr w:rsidR="00B02A09" w:rsidRPr="00AF1957" w14:paraId="7A95335F" w14:textId="77777777" w:rsidTr="00B02A09">
        <w:trPr>
          <w:trHeight w:val="680"/>
        </w:trPr>
        <w:tc>
          <w:tcPr>
            <w:cnfStyle w:val="001000000000" w:firstRow="0" w:lastRow="0" w:firstColumn="1" w:lastColumn="0" w:oddVBand="0" w:evenVBand="0" w:oddHBand="0" w:evenHBand="0" w:firstRowFirstColumn="0" w:firstRowLastColumn="0" w:lastRowFirstColumn="0" w:lastRowLastColumn="0"/>
            <w:tcW w:w="2154" w:type="pct"/>
            <w:tcBorders>
              <w:right w:val="single" w:sz="8" w:space="0" w:color="auto"/>
            </w:tcBorders>
          </w:tcPr>
          <w:p w14:paraId="5D07450E" w14:textId="77777777" w:rsidR="001620CC" w:rsidRPr="00AF1957" w:rsidRDefault="001620CC" w:rsidP="00CA5105">
            <w:pPr>
              <w:rPr>
                <w:b w:val="0"/>
                <w:bCs w:val="0"/>
                <w:color w:val="000000"/>
              </w:rPr>
            </w:pPr>
            <w:r w:rsidRPr="00AF1957">
              <w:rPr>
                <w:b w:val="0"/>
                <w:bCs w:val="0"/>
                <w:color w:val="000000"/>
              </w:rPr>
              <w:t xml:space="preserve">1C Chromosome 1 centromere: 1q12          </w:t>
            </w:r>
          </w:p>
        </w:tc>
        <w:tc>
          <w:tcPr>
            <w:tcW w:w="847" w:type="pct"/>
            <w:tcBorders>
              <w:left w:val="single" w:sz="8" w:space="0" w:color="auto"/>
              <w:right w:val="single" w:sz="8" w:space="0" w:color="auto"/>
            </w:tcBorders>
          </w:tcPr>
          <w:p w14:paraId="7AF12078" w14:textId="77777777" w:rsidR="001620CC" w:rsidRPr="00AF1957" w:rsidRDefault="001620CC" w:rsidP="00CA5105">
            <w:pPr>
              <w:cnfStyle w:val="000000000000" w:firstRow="0" w:lastRow="0" w:firstColumn="0" w:lastColumn="0" w:oddVBand="0" w:evenVBand="0" w:oddHBand="0" w:evenHBand="0" w:firstRowFirstColumn="0" w:firstRowLastColumn="0" w:lastRowFirstColumn="0" w:lastRowLastColumn="0"/>
              <w:rPr>
                <w:color w:val="000000"/>
              </w:rPr>
            </w:pPr>
            <w:r w:rsidRPr="00AF1957">
              <w:rPr>
                <w:color w:val="000000"/>
              </w:rPr>
              <w:t>Atto425</w:t>
            </w:r>
          </w:p>
        </w:tc>
        <w:tc>
          <w:tcPr>
            <w:tcW w:w="2000" w:type="pct"/>
            <w:tcBorders>
              <w:left w:val="single" w:sz="8" w:space="0" w:color="auto"/>
            </w:tcBorders>
          </w:tcPr>
          <w:p w14:paraId="0F779B80" w14:textId="77777777" w:rsidR="001620CC" w:rsidRPr="00AF1957" w:rsidRDefault="001620CC" w:rsidP="00CA5105">
            <w:pPr>
              <w:cnfStyle w:val="000000000000" w:firstRow="0" w:lastRow="0" w:firstColumn="0" w:lastColumn="0" w:oddVBand="0" w:evenVBand="0" w:oddHBand="0" w:evenHBand="0" w:firstRowFirstColumn="0" w:firstRowLastColumn="0" w:lastRowFirstColumn="0" w:lastRowLastColumn="0"/>
              <w:rPr>
                <w:color w:val="000000"/>
              </w:rPr>
            </w:pPr>
            <w:r w:rsidRPr="00AF1957">
              <w:rPr>
                <w:color w:val="000000"/>
              </w:rPr>
              <w:t xml:space="preserve">Blue: No immunological detection needed </w:t>
            </w:r>
          </w:p>
        </w:tc>
      </w:tr>
      <w:tr w:rsidR="00B02A09" w:rsidRPr="00AF1957" w14:paraId="77BDA089" w14:textId="77777777" w:rsidTr="00B02A09">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154" w:type="pct"/>
            <w:tcBorders>
              <w:right w:val="single" w:sz="8" w:space="0" w:color="auto"/>
            </w:tcBorders>
          </w:tcPr>
          <w:p w14:paraId="48E0B45B" w14:textId="77777777" w:rsidR="001620CC" w:rsidRPr="00AF1957" w:rsidRDefault="001620CC" w:rsidP="00CA5105">
            <w:pPr>
              <w:rPr>
                <w:b w:val="0"/>
                <w:bCs w:val="0"/>
                <w:color w:val="000000"/>
              </w:rPr>
            </w:pPr>
            <w:r w:rsidRPr="00AF1957">
              <w:rPr>
                <w:b w:val="0"/>
                <w:bCs w:val="0"/>
                <w:color w:val="000000"/>
              </w:rPr>
              <w:t xml:space="preserve">1C Chromosome 1 centromere: 1q12         </w:t>
            </w:r>
          </w:p>
        </w:tc>
        <w:tc>
          <w:tcPr>
            <w:tcW w:w="847" w:type="pct"/>
            <w:tcBorders>
              <w:left w:val="single" w:sz="8" w:space="0" w:color="auto"/>
              <w:right w:val="single" w:sz="8" w:space="0" w:color="auto"/>
            </w:tcBorders>
          </w:tcPr>
          <w:p w14:paraId="6F73CFD0" w14:textId="77777777" w:rsidR="001620CC" w:rsidRPr="00AF1957" w:rsidRDefault="001620CC" w:rsidP="00CA5105">
            <w:pPr>
              <w:cnfStyle w:val="000000100000" w:firstRow="0" w:lastRow="0" w:firstColumn="0" w:lastColumn="0" w:oddVBand="0" w:evenVBand="0" w:oddHBand="1" w:evenHBand="0" w:firstRowFirstColumn="0" w:firstRowLastColumn="0" w:lastRowFirstColumn="0" w:lastRowLastColumn="0"/>
              <w:rPr>
                <w:color w:val="000000"/>
              </w:rPr>
            </w:pPr>
            <w:proofErr w:type="spellStart"/>
            <w:r w:rsidRPr="00AF1957">
              <w:rPr>
                <w:color w:val="000000"/>
                <w:lang w:val="nl-NL"/>
              </w:rPr>
              <w:t>Biotin</w:t>
            </w:r>
            <w:proofErr w:type="spellEnd"/>
            <w:r w:rsidRPr="00AF1957">
              <w:rPr>
                <w:color w:val="000000"/>
                <w:lang w:val="nl-NL"/>
              </w:rPr>
              <w:t xml:space="preserve"> </w:t>
            </w:r>
          </w:p>
        </w:tc>
        <w:tc>
          <w:tcPr>
            <w:tcW w:w="2000" w:type="pct"/>
            <w:tcBorders>
              <w:left w:val="single" w:sz="8" w:space="0" w:color="auto"/>
            </w:tcBorders>
          </w:tcPr>
          <w:p w14:paraId="48F846B6" w14:textId="77777777" w:rsidR="001620CC" w:rsidRPr="00AF1957" w:rsidRDefault="001620CC" w:rsidP="00CA5105">
            <w:pPr>
              <w:cnfStyle w:val="000000100000" w:firstRow="0" w:lastRow="0" w:firstColumn="0" w:lastColumn="0" w:oddVBand="0" w:evenVBand="0" w:oddHBand="1" w:evenHBand="0" w:firstRowFirstColumn="0" w:firstRowLastColumn="0" w:lastRowFirstColumn="0" w:lastRowLastColumn="0"/>
              <w:rPr>
                <w:color w:val="000000"/>
              </w:rPr>
            </w:pPr>
            <w:r w:rsidRPr="00AF1957">
              <w:rPr>
                <w:color w:val="000000"/>
              </w:rPr>
              <w:t>Green: Av-FITC, Bio-</w:t>
            </w:r>
            <w:proofErr w:type="spellStart"/>
            <w:r w:rsidRPr="00AF1957">
              <w:rPr>
                <w:color w:val="000000"/>
              </w:rPr>
              <w:t>GaA</w:t>
            </w:r>
            <w:proofErr w:type="spellEnd"/>
            <w:r w:rsidRPr="00AF1957">
              <w:rPr>
                <w:color w:val="000000"/>
              </w:rPr>
              <w:t xml:space="preserve">, Av-FITC </w:t>
            </w:r>
          </w:p>
        </w:tc>
      </w:tr>
      <w:tr w:rsidR="00B02A09" w:rsidRPr="00AF1957" w14:paraId="1FB03E03" w14:textId="77777777" w:rsidTr="00B02A09">
        <w:trPr>
          <w:trHeight w:val="697"/>
        </w:trPr>
        <w:tc>
          <w:tcPr>
            <w:cnfStyle w:val="001000000000" w:firstRow="0" w:lastRow="0" w:firstColumn="1" w:lastColumn="0" w:oddVBand="0" w:evenVBand="0" w:oddHBand="0" w:evenHBand="0" w:firstRowFirstColumn="0" w:firstRowLastColumn="0" w:lastRowFirstColumn="0" w:lastRowLastColumn="0"/>
            <w:tcW w:w="2154" w:type="pct"/>
            <w:tcBorders>
              <w:right w:val="single" w:sz="8" w:space="0" w:color="auto"/>
            </w:tcBorders>
            <w:hideMark/>
          </w:tcPr>
          <w:p w14:paraId="40C4A19A" w14:textId="77777777" w:rsidR="001620CC" w:rsidRPr="00AF1957" w:rsidRDefault="001620CC" w:rsidP="00CA5105">
            <w:pPr>
              <w:rPr>
                <w:b w:val="0"/>
                <w:bCs w:val="0"/>
                <w:color w:val="000000"/>
              </w:rPr>
            </w:pPr>
            <w:r w:rsidRPr="00AF1957">
              <w:rPr>
                <w:b w:val="0"/>
                <w:bCs w:val="0"/>
                <w:color w:val="000000"/>
              </w:rPr>
              <w:t xml:space="preserve">3C Chromosome 3 centromere: pα3.5  </w:t>
            </w:r>
          </w:p>
        </w:tc>
        <w:tc>
          <w:tcPr>
            <w:tcW w:w="847" w:type="pct"/>
            <w:tcBorders>
              <w:left w:val="single" w:sz="8" w:space="0" w:color="auto"/>
              <w:right w:val="single" w:sz="8" w:space="0" w:color="auto"/>
            </w:tcBorders>
            <w:hideMark/>
          </w:tcPr>
          <w:p w14:paraId="52787845" w14:textId="77777777" w:rsidR="001620CC" w:rsidRPr="00AF1957" w:rsidRDefault="001620CC" w:rsidP="00CA5105">
            <w:pPr>
              <w:cnfStyle w:val="000000000000" w:firstRow="0" w:lastRow="0" w:firstColumn="0" w:lastColumn="0" w:oddVBand="0" w:evenVBand="0" w:oddHBand="0" w:evenHBand="0" w:firstRowFirstColumn="0" w:firstRowLastColumn="0" w:lastRowFirstColumn="0" w:lastRowLastColumn="0"/>
              <w:rPr>
                <w:color w:val="000000"/>
              </w:rPr>
            </w:pPr>
            <w:r w:rsidRPr="00AF1957">
              <w:rPr>
                <w:color w:val="000000"/>
              </w:rPr>
              <w:t>Atto425</w:t>
            </w:r>
          </w:p>
        </w:tc>
        <w:tc>
          <w:tcPr>
            <w:tcW w:w="2000" w:type="pct"/>
            <w:tcBorders>
              <w:left w:val="single" w:sz="8" w:space="0" w:color="auto"/>
            </w:tcBorders>
            <w:hideMark/>
          </w:tcPr>
          <w:p w14:paraId="72AADB69" w14:textId="77777777" w:rsidR="001620CC" w:rsidRPr="00AF1957" w:rsidRDefault="001620CC" w:rsidP="00CA5105">
            <w:pPr>
              <w:cnfStyle w:val="000000000000" w:firstRow="0" w:lastRow="0" w:firstColumn="0" w:lastColumn="0" w:oddVBand="0" w:evenVBand="0" w:oddHBand="0" w:evenHBand="0" w:firstRowFirstColumn="0" w:firstRowLastColumn="0" w:lastRowFirstColumn="0" w:lastRowLastColumn="0"/>
              <w:rPr>
                <w:color w:val="000000"/>
              </w:rPr>
            </w:pPr>
            <w:r w:rsidRPr="00AF1957">
              <w:rPr>
                <w:color w:val="000000"/>
              </w:rPr>
              <w:t xml:space="preserve">Blue: No immunological detection needed </w:t>
            </w:r>
          </w:p>
        </w:tc>
      </w:tr>
      <w:tr w:rsidR="00B02A09" w:rsidRPr="00AF1957" w14:paraId="44A931E1" w14:textId="77777777" w:rsidTr="00B02A09">
        <w:trPr>
          <w:cnfStyle w:val="000000100000" w:firstRow="0" w:lastRow="0" w:firstColumn="0" w:lastColumn="0" w:oddVBand="0" w:evenVBand="0" w:oddHBand="1"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2154" w:type="pct"/>
            <w:tcBorders>
              <w:right w:val="single" w:sz="8" w:space="0" w:color="auto"/>
            </w:tcBorders>
            <w:hideMark/>
          </w:tcPr>
          <w:p w14:paraId="4747BE19" w14:textId="77777777" w:rsidR="001620CC" w:rsidRPr="00AF1957" w:rsidRDefault="001620CC" w:rsidP="00CA5105">
            <w:pPr>
              <w:rPr>
                <w:b w:val="0"/>
                <w:bCs w:val="0"/>
                <w:color w:val="000000"/>
              </w:rPr>
            </w:pPr>
            <w:r w:rsidRPr="00AF1957">
              <w:rPr>
                <w:b w:val="0"/>
                <w:bCs w:val="0"/>
                <w:color w:val="000000"/>
              </w:rPr>
              <w:t>3C Chromosome 3 centromere: p</w:t>
            </w:r>
            <w:r w:rsidRPr="00AF1957">
              <w:rPr>
                <w:b w:val="0"/>
                <w:bCs w:val="0"/>
                <w:color w:val="000000"/>
                <w:lang w:val="nl-NL"/>
              </w:rPr>
              <w:t>α</w:t>
            </w:r>
            <w:r w:rsidRPr="00AF1957">
              <w:rPr>
                <w:b w:val="0"/>
                <w:bCs w:val="0"/>
                <w:color w:val="000000"/>
              </w:rPr>
              <w:t xml:space="preserve">3.5               </w:t>
            </w:r>
          </w:p>
        </w:tc>
        <w:tc>
          <w:tcPr>
            <w:tcW w:w="847" w:type="pct"/>
            <w:tcBorders>
              <w:left w:val="single" w:sz="8" w:space="0" w:color="auto"/>
              <w:right w:val="single" w:sz="8" w:space="0" w:color="auto"/>
            </w:tcBorders>
            <w:hideMark/>
          </w:tcPr>
          <w:p w14:paraId="2654AA16" w14:textId="77777777" w:rsidR="001620CC" w:rsidRPr="00AF1957" w:rsidRDefault="001620CC" w:rsidP="00CA5105">
            <w:pPr>
              <w:cnfStyle w:val="000000100000" w:firstRow="0" w:lastRow="0" w:firstColumn="0" w:lastColumn="0" w:oddVBand="0" w:evenVBand="0" w:oddHBand="1" w:evenHBand="0" w:firstRowFirstColumn="0" w:firstRowLastColumn="0" w:lastRowFirstColumn="0" w:lastRowLastColumn="0"/>
              <w:rPr>
                <w:color w:val="000000"/>
              </w:rPr>
            </w:pPr>
            <w:r w:rsidRPr="00AF1957">
              <w:rPr>
                <w:color w:val="000000"/>
              </w:rPr>
              <w:t>Digoxigenin</w:t>
            </w:r>
          </w:p>
        </w:tc>
        <w:tc>
          <w:tcPr>
            <w:tcW w:w="2000" w:type="pct"/>
            <w:tcBorders>
              <w:left w:val="single" w:sz="8" w:space="0" w:color="auto"/>
            </w:tcBorders>
            <w:hideMark/>
          </w:tcPr>
          <w:p w14:paraId="190DE224" w14:textId="77777777" w:rsidR="001620CC" w:rsidRPr="00AF1957" w:rsidRDefault="001620CC" w:rsidP="00CA5105">
            <w:pPr>
              <w:cnfStyle w:val="000000100000" w:firstRow="0" w:lastRow="0" w:firstColumn="0" w:lastColumn="0" w:oddVBand="0" w:evenVBand="0" w:oddHBand="1" w:evenHBand="0" w:firstRowFirstColumn="0" w:firstRowLastColumn="0" w:lastRowFirstColumn="0" w:lastRowLastColumn="0"/>
              <w:rPr>
                <w:color w:val="000000"/>
              </w:rPr>
            </w:pPr>
            <w:r w:rsidRPr="00AF1957">
              <w:rPr>
                <w:color w:val="000000"/>
              </w:rPr>
              <w:t xml:space="preserve">Red: MaDig, </w:t>
            </w:r>
            <w:proofErr w:type="spellStart"/>
            <w:r w:rsidRPr="00AF1957">
              <w:rPr>
                <w:color w:val="000000"/>
              </w:rPr>
              <w:t>RaM</w:t>
            </w:r>
            <w:proofErr w:type="spellEnd"/>
            <w:r w:rsidRPr="00AF1957">
              <w:rPr>
                <w:color w:val="000000"/>
              </w:rPr>
              <w:t xml:space="preserve">-TRITC, SwAR-TRITC </w:t>
            </w:r>
          </w:p>
        </w:tc>
      </w:tr>
      <w:tr w:rsidR="00B02A09" w:rsidRPr="00AF1957" w14:paraId="6EE6244E" w14:textId="77777777" w:rsidTr="00B02A09">
        <w:trPr>
          <w:trHeight w:val="715"/>
        </w:trPr>
        <w:tc>
          <w:tcPr>
            <w:cnfStyle w:val="001000000000" w:firstRow="0" w:lastRow="0" w:firstColumn="1" w:lastColumn="0" w:oddVBand="0" w:evenVBand="0" w:oddHBand="0" w:evenHBand="0" w:firstRowFirstColumn="0" w:firstRowLastColumn="0" w:lastRowFirstColumn="0" w:lastRowLastColumn="0"/>
            <w:tcW w:w="2154" w:type="pct"/>
            <w:tcBorders>
              <w:right w:val="single" w:sz="8" w:space="0" w:color="auto"/>
            </w:tcBorders>
            <w:hideMark/>
          </w:tcPr>
          <w:p w14:paraId="29EB646C" w14:textId="77777777" w:rsidR="001620CC" w:rsidRPr="00AF1957" w:rsidRDefault="001620CC" w:rsidP="00CA5105">
            <w:pPr>
              <w:rPr>
                <w:b w:val="0"/>
                <w:bCs w:val="0"/>
                <w:color w:val="000000"/>
              </w:rPr>
            </w:pPr>
            <w:r w:rsidRPr="00AF1957">
              <w:rPr>
                <w:b w:val="0"/>
                <w:bCs w:val="0"/>
                <w:color w:val="000000"/>
              </w:rPr>
              <w:t>7C Chromosome 7 centromere: p7t1</w:t>
            </w:r>
          </w:p>
        </w:tc>
        <w:tc>
          <w:tcPr>
            <w:tcW w:w="847" w:type="pct"/>
            <w:tcBorders>
              <w:left w:val="single" w:sz="8" w:space="0" w:color="auto"/>
              <w:right w:val="single" w:sz="8" w:space="0" w:color="auto"/>
            </w:tcBorders>
            <w:hideMark/>
          </w:tcPr>
          <w:p w14:paraId="46785B5A" w14:textId="77777777" w:rsidR="001620CC" w:rsidRPr="00AF1957" w:rsidRDefault="001620CC" w:rsidP="00CA5105">
            <w:pPr>
              <w:cnfStyle w:val="000000000000" w:firstRow="0" w:lastRow="0" w:firstColumn="0" w:lastColumn="0" w:oddVBand="0" w:evenVBand="0" w:oddHBand="0" w:evenHBand="0" w:firstRowFirstColumn="0" w:firstRowLastColumn="0" w:lastRowFirstColumn="0" w:lastRowLastColumn="0"/>
              <w:rPr>
                <w:color w:val="000000"/>
              </w:rPr>
            </w:pPr>
            <w:r w:rsidRPr="00AF1957">
              <w:rPr>
                <w:color w:val="000000"/>
              </w:rPr>
              <w:t>Digoxigenin</w:t>
            </w:r>
          </w:p>
        </w:tc>
        <w:tc>
          <w:tcPr>
            <w:tcW w:w="2000" w:type="pct"/>
            <w:tcBorders>
              <w:left w:val="single" w:sz="8" w:space="0" w:color="auto"/>
            </w:tcBorders>
            <w:hideMark/>
          </w:tcPr>
          <w:p w14:paraId="1255568D" w14:textId="77777777" w:rsidR="001620CC" w:rsidRPr="00AF1957" w:rsidRDefault="001620CC" w:rsidP="00CA5105">
            <w:pPr>
              <w:cnfStyle w:val="000000000000" w:firstRow="0" w:lastRow="0" w:firstColumn="0" w:lastColumn="0" w:oddVBand="0" w:evenVBand="0" w:oddHBand="0" w:evenHBand="0" w:firstRowFirstColumn="0" w:firstRowLastColumn="0" w:lastRowFirstColumn="0" w:lastRowLastColumn="0"/>
              <w:rPr>
                <w:color w:val="000000"/>
              </w:rPr>
            </w:pPr>
            <w:r w:rsidRPr="00AF1957">
              <w:rPr>
                <w:color w:val="000000"/>
              </w:rPr>
              <w:t xml:space="preserve">Red: MaDig, </w:t>
            </w:r>
            <w:proofErr w:type="spellStart"/>
            <w:r w:rsidRPr="00AF1957">
              <w:rPr>
                <w:color w:val="000000"/>
              </w:rPr>
              <w:t>RaM</w:t>
            </w:r>
            <w:proofErr w:type="spellEnd"/>
            <w:r w:rsidRPr="00AF1957">
              <w:rPr>
                <w:color w:val="000000"/>
              </w:rPr>
              <w:t xml:space="preserve">-TRITC, SwAR-TRITC </w:t>
            </w:r>
          </w:p>
        </w:tc>
      </w:tr>
      <w:tr w:rsidR="00B02A09" w:rsidRPr="00AF1957" w14:paraId="377BB571" w14:textId="77777777" w:rsidTr="00B02A09">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2154" w:type="pct"/>
            <w:tcBorders>
              <w:right w:val="single" w:sz="8" w:space="0" w:color="auto"/>
            </w:tcBorders>
          </w:tcPr>
          <w:p w14:paraId="0E0BB050" w14:textId="77777777" w:rsidR="001620CC" w:rsidRPr="00AF1957" w:rsidRDefault="001620CC" w:rsidP="00CA5105">
            <w:pPr>
              <w:rPr>
                <w:b w:val="0"/>
                <w:bCs w:val="0"/>
                <w:color w:val="000000"/>
              </w:rPr>
            </w:pPr>
            <w:r w:rsidRPr="00AF1957">
              <w:rPr>
                <w:b w:val="0"/>
                <w:bCs w:val="0"/>
                <w:i/>
                <w:iCs/>
                <w:color w:val="000000"/>
              </w:rPr>
              <w:t>TERC</w:t>
            </w:r>
            <w:r w:rsidRPr="00AF1957">
              <w:rPr>
                <w:b w:val="0"/>
                <w:bCs w:val="0"/>
                <w:color w:val="000000"/>
              </w:rPr>
              <w:t xml:space="preserve"> Telomerase RNA component: </w:t>
            </w:r>
            <w:r w:rsidRPr="00AF1957">
              <w:rPr>
                <w:b w:val="0"/>
                <w:bCs w:val="0"/>
                <w:i/>
                <w:iCs/>
                <w:color w:val="000000"/>
              </w:rPr>
              <w:t>3q26</w:t>
            </w:r>
            <w:r w:rsidRPr="00AF1957">
              <w:rPr>
                <w:b w:val="0"/>
                <w:bCs w:val="0"/>
                <w:color w:val="000000"/>
              </w:rPr>
              <w:t>.1–2 (</w:t>
            </w:r>
            <w:r w:rsidRPr="00AF1957">
              <w:rPr>
                <w:b w:val="0"/>
                <w:bCs w:val="0"/>
                <w:color w:val="000000" w:themeColor="text1"/>
              </w:rPr>
              <w:t>RP11-1141L22 and RP11-990E14</w:t>
            </w:r>
            <w:r w:rsidRPr="00AF1957">
              <w:rPr>
                <w:b w:val="0"/>
                <w:bCs w:val="0"/>
                <w:color w:val="000000"/>
              </w:rPr>
              <w:t>)</w:t>
            </w:r>
          </w:p>
        </w:tc>
        <w:tc>
          <w:tcPr>
            <w:tcW w:w="847" w:type="pct"/>
            <w:tcBorders>
              <w:left w:val="single" w:sz="8" w:space="0" w:color="auto"/>
              <w:right w:val="single" w:sz="8" w:space="0" w:color="auto"/>
            </w:tcBorders>
          </w:tcPr>
          <w:p w14:paraId="717796CB" w14:textId="77777777" w:rsidR="001620CC" w:rsidRPr="00AF1957" w:rsidRDefault="001620CC" w:rsidP="00CA5105">
            <w:pPr>
              <w:cnfStyle w:val="000000100000" w:firstRow="0" w:lastRow="0" w:firstColumn="0" w:lastColumn="0" w:oddVBand="0" w:evenVBand="0" w:oddHBand="1" w:evenHBand="0" w:firstRowFirstColumn="0" w:firstRowLastColumn="0" w:lastRowFirstColumn="0" w:lastRowLastColumn="0"/>
              <w:rPr>
                <w:color w:val="000000"/>
                <w:lang w:val="nl-NL"/>
              </w:rPr>
            </w:pPr>
            <w:proofErr w:type="spellStart"/>
            <w:r w:rsidRPr="00AF1957">
              <w:rPr>
                <w:color w:val="000000"/>
                <w:lang w:val="nl-NL"/>
              </w:rPr>
              <w:t>Biotin</w:t>
            </w:r>
            <w:proofErr w:type="spellEnd"/>
          </w:p>
        </w:tc>
        <w:tc>
          <w:tcPr>
            <w:tcW w:w="2000" w:type="pct"/>
            <w:tcBorders>
              <w:left w:val="single" w:sz="8" w:space="0" w:color="auto"/>
            </w:tcBorders>
          </w:tcPr>
          <w:p w14:paraId="13E0F09F" w14:textId="77777777" w:rsidR="001620CC" w:rsidRPr="00AF1957" w:rsidRDefault="001620CC" w:rsidP="00CA5105">
            <w:pPr>
              <w:cnfStyle w:val="000000100000" w:firstRow="0" w:lastRow="0" w:firstColumn="0" w:lastColumn="0" w:oddVBand="0" w:evenVBand="0" w:oddHBand="1" w:evenHBand="0" w:firstRowFirstColumn="0" w:firstRowLastColumn="0" w:lastRowFirstColumn="0" w:lastRowLastColumn="0"/>
              <w:rPr>
                <w:color w:val="000000"/>
              </w:rPr>
            </w:pPr>
            <w:r w:rsidRPr="00AF1957">
              <w:rPr>
                <w:color w:val="000000"/>
              </w:rPr>
              <w:t>Green: Av-FITC, Bio-</w:t>
            </w:r>
            <w:proofErr w:type="spellStart"/>
            <w:r w:rsidRPr="00AF1957">
              <w:rPr>
                <w:color w:val="000000"/>
              </w:rPr>
              <w:t>GaA</w:t>
            </w:r>
            <w:proofErr w:type="spellEnd"/>
            <w:r w:rsidRPr="00AF1957">
              <w:rPr>
                <w:color w:val="000000"/>
              </w:rPr>
              <w:t xml:space="preserve">, Av-FITC </w:t>
            </w:r>
          </w:p>
        </w:tc>
      </w:tr>
      <w:tr w:rsidR="00B02A09" w:rsidRPr="00AF1957" w14:paraId="521A41A4" w14:textId="77777777" w:rsidTr="00B02A09">
        <w:trPr>
          <w:trHeight w:val="607"/>
        </w:trPr>
        <w:tc>
          <w:tcPr>
            <w:cnfStyle w:val="001000000000" w:firstRow="0" w:lastRow="0" w:firstColumn="1" w:lastColumn="0" w:oddVBand="0" w:evenVBand="0" w:oddHBand="0" w:evenHBand="0" w:firstRowFirstColumn="0" w:firstRowLastColumn="0" w:lastRowFirstColumn="0" w:lastRowLastColumn="0"/>
            <w:tcW w:w="2154" w:type="pct"/>
            <w:tcBorders>
              <w:bottom w:val="single" w:sz="4" w:space="0" w:color="7F7F7F" w:themeColor="text1" w:themeTint="80"/>
              <w:right w:val="single" w:sz="8" w:space="0" w:color="auto"/>
            </w:tcBorders>
            <w:hideMark/>
          </w:tcPr>
          <w:p w14:paraId="1FEC73F0" w14:textId="77777777" w:rsidR="001620CC" w:rsidRPr="00AF1957" w:rsidRDefault="001620CC" w:rsidP="00CA5105">
            <w:pPr>
              <w:rPr>
                <w:b w:val="0"/>
                <w:bCs w:val="0"/>
                <w:color w:val="000000"/>
              </w:rPr>
            </w:pPr>
            <w:r w:rsidRPr="00AF1957">
              <w:rPr>
                <w:b w:val="0"/>
                <w:bCs w:val="0"/>
                <w:i/>
                <w:iCs/>
                <w:color w:val="000000"/>
              </w:rPr>
              <w:t>SOX2</w:t>
            </w:r>
            <w:r w:rsidRPr="00AF1957">
              <w:rPr>
                <w:b w:val="0"/>
                <w:bCs w:val="0"/>
                <w:color w:val="000000"/>
              </w:rPr>
              <w:t xml:space="preserve"> </w:t>
            </w:r>
            <w:r w:rsidRPr="00AF1957">
              <w:rPr>
                <w:b w:val="0"/>
                <w:bCs w:val="0"/>
                <w:i/>
                <w:iCs/>
                <w:color w:val="000000"/>
              </w:rPr>
              <w:t>3q26</w:t>
            </w:r>
            <w:r w:rsidRPr="00AF1957">
              <w:rPr>
                <w:b w:val="0"/>
                <w:bCs w:val="0"/>
                <w:color w:val="000000"/>
              </w:rPr>
              <w:t>.3 (RP11-252018 and RP11-9205)</w:t>
            </w:r>
          </w:p>
        </w:tc>
        <w:tc>
          <w:tcPr>
            <w:tcW w:w="847" w:type="pct"/>
            <w:tcBorders>
              <w:left w:val="single" w:sz="8" w:space="0" w:color="auto"/>
              <w:bottom w:val="single" w:sz="4" w:space="0" w:color="7F7F7F" w:themeColor="text1" w:themeTint="80"/>
              <w:right w:val="single" w:sz="8" w:space="0" w:color="auto"/>
            </w:tcBorders>
            <w:hideMark/>
          </w:tcPr>
          <w:p w14:paraId="4D288764" w14:textId="77777777" w:rsidR="001620CC" w:rsidRPr="00AF1957" w:rsidRDefault="001620CC" w:rsidP="00CA5105">
            <w:pPr>
              <w:cnfStyle w:val="000000000000" w:firstRow="0" w:lastRow="0" w:firstColumn="0" w:lastColumn="0" w:oddVBand="0" w:evenVBand="0" w:oddHBand="0" w:evenHBand="0" w:firstRowFirstColumn="0" w:firstRowLastColumn="0" w:lastRowFirstColumn="0" w:lastRowLastColumn="0"/>
              <w:rPr>
                <w:color w:val="000000"/>
              </w:rPr>
            </w:pPr>
            <w:proofErr w:type="spellStart"/>
            <w:r w:rsidRPr="00AF1957">
              <w:rPr>
                <w:color w:val="000000"/>
                <w:lang w:val="nl-NL"/>
              </w:rPr>
              <w:t>Biotin</w:t>
            </w:r>
            <w:proofErr w:type="spellEnd"/>
            <w:r w:rsidRPr="00AF1957">
              <w:rPr>
                <w:color w:val="000000"/>
                <w:lang w:val="nl-NL"/>
              </w:rPr>
              <w:t xml:space="preserve"> </w:t>
            </w:r>
          </w:p>
        </w:tc>
        <w:tc>
          <w:tcPr>
            <w:tcW w:w="2000" w:type="pct"/>
            <w:tcBorders>
              <w:left w:val="single" w:sz="8" w:space="0" w:color="auto"/>
              <w:bottom w:val="single" w:sz="4" w:space="0" w:color="7F7F7F" w:themeColor="text1" w:themeTint="80"/>
            </w:tcBorders>
            <w:hideMark/>
          </w:tcPr>
          <w:p w14:paraId="26DEF2ED" w14:textId="77777777" w:rsidR="001620CC" w:rsidRPr="00AF1957" w:rsidRDefault="001620CC" w:rsidP="00CA5105">
            <w:pPr>
              <w:cnfStyle w:val="000000000000" w:firstRow="0" w:lastRow="0" w:firstColumn="0" w:lastColumn="0" w:oddVBand="0" w:evenVBand="0" w:oddHBand="0" w:evenHBand="0" w:firstRowFirstColumn="0" w:firstRowLastColumn="0" w:lastRowFirstColumn="0" w:lastRowLastColumn="0"/>
              <w:rPr>
                <w:color w:val="000000"/>
              </w:rPr>
            </w:pPr>
            <w:r w:rsidRPr="00AF1957">
              <w:rPr>
                <w:color w:val="000000"/>
              </w:rPr>
              <w:t>Green: Av-FITC, Bio-</w:t>
            </w:r>
            <w:proofErr w:type="spellStart"/>
            <w:r w:rsidRPr="00AF1957">
              <w:rPr>
                <w:color w:val="000000"/>
              </w:rPr>
              <w:t>GaA</w:t>
            </w:r>
            <w:proofErr w:type="spellEnd"/>
            <w:r w:rsidRPr="00AF1957">
              <w:rPr>
                <w:color w:val="000000"/>
              </w:rPr>
              <w:t xml:space="preserve">, Av-FITC </w:t>
            </w:r>
          </w:p>
        </w:tc>
      </w:tr>
      <w:tr w:rsidR="00B02A09" w:rsidRPr="00AF1957" w14:paraId="03F3EEA5" w14:textId="77777777" w:rsidTr="00B02A09">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154" w:type="pct"/>
            <w:tcBorders>
              <w:bottom w:val="single" w:sz="24" w:space="0" w:color="auto"/>
              <w:right w:val="single" w:sz="8" w:space="0" w:color="auto"/>
            </w:tcBorders>
            <w:hideMark/>
          </w:tcPr>
          <w:p w14:paraId="54551EB9" w14:textId="77777777" w:rsidR="001620CC" w:rsidRPr="00AF1957" w:rsidRDefault="001620CC" w:rsidP="00CA5105">
            <w:pPr>
              <w:rPr>
                <w:b w:val="0"/>
                <w:bCs w:val="0"/>
                <w:color w:val="000000"/>
              </w:rPr>
            </w:pPr>
            <w:r w:rsidRPr="00AF1957">
              <w:rPr>
                <w:b w:val="0"/>
                <w:bCs w:val="0"/>
                <w:i/>
                <w:iCs/>
                <w:color w:val="000000"/>
              </w:rPr>
              <w:t>SOX17</w:t>
            </w:r>
            <w:r w:rsidRPr="00AF1957">
              <w:rPr>
                <w:b w:val="0"/>
                <w:bCs w:val="0"/>
                <w:color w:val="000000"/>
              </w:rPr>
              <w:t xml:space="preserve"> </w:t>
            </w:r>
            <w:r w:rsidRPr="00AF1957">
              <w:rPr>
                <w:b w:val="0"/>
                <w:bCs w:val="0"/>
                <w:i/>
                <w:iCs/>
                <w:color w:val="000000"/>
              </w:rPr>
              <w:t>8q12</w:t>
            </w:r>
            <w:r w:rsidRPr="00AF1957">
              <w:rPr>
                <w:b w:val="0"/>
                <w:bCs w:val="0"/>
                <w:color w:val="000000"/>
              </w:rPr>
              <w:t xml:space="preserve"> (RP11-30G11 and RP11-235L19)</w:t>
            </w:r>
          </w:p>
        </w:tc>
        <w:tc>
          <w:tcPr>
            <w:tcW w:w="847" w:type="pct"/>
            <w:tcBorders>
              <w:left w:val="single" w:sz="8" w:space="0" w:color="auto"/>
              <w:bottom w:val="single" w:sz="24" w:space="0" w:color="auto"/>
              <w:right w:val="single" w:sz="8" w:space="0" w:color="auto"/>
            </w:tcBorders>
            <w:hideMark/>
          </w:tcPr>
          <w:p w14:paraId="6088797E" w14:textId="77777777" w:rsidR="001620CC" w:rsidRPr="00AF1957" w:rsidRDefault="001620CC" w:rsidP="00CA5105">
            <w:pPr>
              <w:cnfStyle w:val="000000100000" w:firstRow="0" w:lastRow="0" w:firstColumn="0" w:lastColumn="0" w:oddVBand="0" w:evenVBand="0" w:oddHBand="1" w:evenHBand="0" w:firstRowFirstColumn="0" w:firstRowLastColumn="0" w:lastRowFirstColumn="0" w:lastRowLastColumn="0"/>
              <w:rPr>
                <w:color w:val="000000"/>
              </w:rPr>
            </w:pPr>
            <w:r w:rsidRPr="00AF1957">
              <w:rPr>
                <w:color w:val="000000"/>
              </w:rPr>
              <w:t xml:space="preserve">Digoxigenin </w:t>
            </w:r>
          </w:p>
        </w:tc>
        <w:tc>
          <w:tcPr>
            <w:tcW w:w="2000" w:type="pct"/>
            <w:tcBorders>
              <w:left w:val="single" w:sz="8" w:space="0" w:color="auto"/>
              <w:bottom w:val="single" w:sz="24" w:space="0" w:color="auto"/>
            </w:tcBorders>
            <w:hideMark/>
          </w:tcPr>
          <w:p w14:paraId="6EA9D241" w14:textId="77777777" w:rsidR="001620CC" w:rsidRPr="00AF1957" w:rsidRDefault="001620CC" w:rsidP="00CA5105">
            <w:pPr>
              <w:cnfStyle w:val="000000100000" w:firstRow="0" w:lastRow="0" w:firstColumn="0" w:lastColumn="0" w:oddVBand="0" w:evenVBand="0" w:oddHBand="1" w:evenHBand="0" w:firstRowFirstColumn="0" w:firstRowLastColumn="0" w:lastRowFirstColumn="0" w:lastRowLastColumn="0"/>
              <w:rPr>
                <w:color w:val="000000"/>
              </w:rPr>
            </w:pPr>
            <w:r w:rsidRPr="00AF1957">
              <w:rPr>
                <w:color w:val="000000"/>
              </w:rPr>
              <w:t xml:space="preserve">Red: MaDig, </w:t>
            </w:r>
            <w:proofErr w:type="spellStart"/>
            <w:r w:rsidRPr="00AF1957">
              <w:rPr>
                <w:color w:val="000000"/>
              </w:rPr>
              <w:t>RaM</w:t>
            </w:r>
            <w:proofErr w:type="spellEnd"/>
            <w:r w:rsidRPr="00AF1957">
              <w:rPr>
                <w:color w:val="000000"/>
              </w:rPr>
              <w:t xml:space="preserve">-TRITC, SwAR-TRITC </w:t>
            </w:r>
          </w:p>
        </w:tc>
      </w:tr>
    </w:tbl>
    <w:p w14:paraId="3729F779" w14:textId="77777777" w:rsidR="005E520D" w:rsidRDefault="005E520D" w:rsidP="001620CC">
      <w:pPr>
        <w:pStyle w:val="p"/>
        <w:shd w:val="clear" w:color="auto" w:fill="FFFFFF"/>
        <w:spacing w:before="166" w:beforeAutospacing="0" w:after="166" w:afterAutospacing="0" w:line="480" w:lineRule="auto"/>
        <w:jc w:val="both"/>
        <w:rPr>
          <w:color w:val="000000" w:themeColor="text1"/>
          <w:lang w:val="en-US"/>
        </w:rPr>
      </w:pPr>
    </w:p>
    <w:p w14:paraId="4016DA20" w14:textId="17C33737" w:rsidR="001620CC" w:rsidRPr="00BB6358" w:rsidRDefault="001620CC" w:rsidP="00B02A09">
      <w:pPr>
        <w:pStyle w:val="p"/>
        <w:shd w:val="clear" w:color="auto" w:fill="FFFFFF"/>
        <w:spacing w:before="166" w:beforeAutospacing="0" w:after="166" w:afterAutospacing="0" w:line="360" w:lineRule="auto"/>
        <w:jc w:val="both"/>
        <w:rPr>
          <w:color w:val="000000" w:themeColor="text1"/>
          <w:lang w:val="en-US"/>
        </w:rPr>
      </w:pPr>
      <w:r w:rsidRPr="00A009BB">
        <w:rPr>
          <w:color w:val="000000" w:themeColor="text1"/>
          <w:lang w:val="en-US"/>
        </w:rPr>
        <w:t xml:space="preserve">Abbreviations: </w:t>
      </w:r>
      <w:r w:rsidRPr="00A009BB">
        <w:rPr>
          <w:bCs/>
          <w:color w:val="000000"/>
          <w:lang w:val="en-US"/>
        </w:rPr>
        <w:t xml:space="preserve">MaDig: Mouse anti-digoxigenin; </w:t>
      </w:r>
      <w:proofErr w:type="spellStart"/>
      <w:r w:rsidRPr="00A009BB">
        <w:rPr>
          <w:bCs/>
          <w:color w:val="000000"/>
          <w:lang w:val="en-US"/>
        </w:rPr>
        <w:t>RaM</w:t>
      </w:r>
      <w:proofErr w:type="spellEnd"/>
      <w:r w:rsidRPr="00A009BB">
        <w:rPr>
          <w:bCs/>
          <w:color w:val="000000"/>
          <w:lang w:val="en-US"/>
        </w:rPr>
        <w:t xml:space="preserve">-TRITC: Rabbit anti-mouse IgG conjugated with TRITC; SwAR-TRITC: Swine anti-rabbit IgG conjugated with TRITC; </w:t>
      </w:r>
      <w:r w:rsidRPr="00A009BB">
        <w:rPr>
          <w:color w:val="000000"/>
          <w:lang w:val="en-US"/>
        </w:rPr>
        <w:t>Bio-</w:t>
      </w:r>
      <w:proofErr w:type="spellStart"/>
      <w:r w:rsidRPr="00A009BB">
        <w:rPr>
          <w:color w:val="000000"/>
          <w:lang w:val="en-US"/>
        </w:rPr>
        <w:t>GaA</w:t>
      </w:r>
      <w:proofErr w:type="spellEnd"/>
      <w:r w:rsidRPr="00A009BB">
        <w:rPr>
          <w:color w:val="000000"/>
          <w:lang w:val="en-US"/>
        </w:rPr>
        <w:t>: Biotin conjugated goat anti-avidin; Av-FITC: Avidin conjugated with FITC.</w:t>
      </w:r>
    </w:p>
    <w:p w14:paraId="47BAE194" w14:textId="77777777" w:rsidR="001620CC" w:rsidRDefault="001620CC" w:rsidP="001620CC">
      <w:pPr>
        <w:pStyle w:val="p"/>
        <w:shd w:val="clear" w:color="auto" w:fill="FFFFFF"/>
        <w:spacing w:before="166" w:beforeAutospacing="0" w:after="166" w:afterAutospacing="0" w:line="480" w:lineRule="auto"/>
        <w:jc w:val="both"/>
        <w:rPr>
          <w:b/>
          <w:color w:val="000000" w:themeColor="text1"/>
          <w:lang w:val="en-US"/>
        </w:rPr>
      </w:pPr>
    </w:p>
    <w:p w14:paraId="676CD071" w14:textId="77777777" w:rsidR="001620CC" w:rsidRDefault="001620CC" w:rsidP="001620CC">
      <w:pPr>
        <w:pStyle w:val="p"/>
        <w:shd w:val="clear" w:color="auto" w:fill="FFFFFF"/>
        <w:spacing w:before="166" w:beforeAutospacing="0" w:after="166" w:afterAutospacing="0" w:line="480" w:lineRule="auto"/>
        <w:jc w:val="both"/>
        <w:rPr>
          <w:b/>
          <w:color w:val="000000" w:themeColor="text1"/>
          <w:lang w:val="en-US"/>
        </w:rPr>
      </w:pPr>
    </w:p>
    <w:p w14:paraId="54856B8C" w14:textId="77777777" w:rsidR="001620CC" w:rsidRDefault="001620CC" w:rsidP="001620CC">
      <w:pPr>
        <w:pStyle w:val="p"/>
        <w:shd w:val="clear" w:color="auto" w:fill="FFFFFF"/>
        <w:spacing w:before="166" w:beforeAutospacing="0" w:after="166" w:afterAutospacing="0" w:line="480" w:lineRule="auto"/>
        <w:jc w:val="both"/>
        <w:rPr>
          <w:b/>
          <w:color w:val="000000" w:themeColor="text1"/>
          <w:lang w:val="en-US"/>
        </w:rPr>
      </w:pPr>
    </w:p>
    <w:p w14:paraId="1D7BB44D" w14:textId="77777777" w:rsidR="001620CC" w:rsidRDefault="001620CC" w:rsidP="001620CC">
      <w:pPr>
        <w:pStyle w:val="p"/>
        <w:shd w:val="clear" w:color="auto" w:fill="FFFFFF"/>
        <w:spacing w:before="166" w:beforeAutospacing="0" w:after="166" w:afterAutospacing="0" w:line="480" w:lineRule="auto"/>
        <w:jc w:val="both"/>
        <w:rPr>
          <w:b/>
          <w:color w:val="000000" w:themeColor="text1"/>
          <w:lang w:val="en-US"/>
        </w:rPr>
      </w:pPr>
    </w:p>
    <w:p w14:paraId="2DC0AAAA" w14:textId="77777777" w:rsidR="001620CC" w:rsidRDefault="001620CC" w:rsidP="001620CC">
      <w:pPr>
        <w:pStyle w:val="p"/>
        <w:shd w:val="clear" w:color="auto" w:fill="FFFFFF"/>
        <w:spacing w:before="166" w:beforeAutospacing="0" w:after="166" w:afterAutospacing="0" w:line="480" w:lineRule="auto"/>
        <w:jc w:val="both"/>
        <w:rPr>
          <w:b/>
          <w:color w:val="000000" w:themeColor="text1"/>
          <w:lang w:val="en-US"/>
        </w:rPr>
      </w:pPr>
    </w:p>
    <w:p w14:paraId="53601A8B" w14:textId="77777777" w:rsidR="001620CC" w:rsidRDefault="001620CC" w:rsidP="001620CC">
      <w:pPr>
        <w:pStyle w:val="p"/>
        <w:shd w:val="clear" w:color="auto" w:fill="FFFFFF"/>
        <w:spacing w:before="166" w:beforeAutospacing="0" w:after="166" w:afterAutospacing="0" w:line="480" w:lineRule="auto"/>
        <w:jc w:val="both"/>
        <w:rPr>
          <w:bCs/>
          <w:color w:val="000000" w:themeColor="text1"/>
          <w:lang w:val="en-US"/>
        </w:rPr>
      </w:pPr>
      <w:r w:rsidRPr="00F60B04">
        <w:rPr>
          <w:bCs/>
          <w:color w:val="000000" w:themeColor="text1"/>
          <w:lang w:val="en-US"/>
        </w:rPr>
        <w:t>Supplemental Table S3</w:t>
      </w:r>
      <w:r w:rsidRPr="00ED1DE0">
        <w:rPr>
          <w:bCs/>
          <w:color w:val="000000" w:themeColor="text1"/>
          <w:lang w:val="en-US"/>
        </w:rPr>
        <w:t xml:space="preserve">: </w:t>
      </w:r>
    </w:p>
    <w:p w14:paraId="28E717B8" w14:textId="77777777" w:rsidR="001620CC" w:rsidRPr="00AA2F2E" w:rsidRDefault="001620CC" w:rsidP="001620CC">
      <w:pPr>
        <w:pStyle w:val="p"/>
        <w:shd w:val="clear" w:color="auto" w:fill="FFFFFF"/>
        <w:spacing w:before="166" w:beforeAutospacing="0" w:after="166" w:afterAutospacing="0" w:line="480" w:lineRule="auto"/>
        <w:jc w:val="both"/>
        <w:rPr>
          <w:bCs/>
          <w:color w:val="000000" w:themeColor="text1"/>
          <w:lang w:val="en-US"/>
        </w:rPr>
      </w:pPr>
      <w:r w:rsidRPr="00ED1DE0">
        <w:rPr>
          <w:bCs/>
          <w:color w:val="000000" w:themeColor="text1"/>
          <w:lang w:val="en-US"/>
        </w:rPr>
        <w:t>DNA probe mixtures used for detection of copy number variations</w:t>
      </w:r>
      <w:r w:rsidRPr="00AA2F2E">
        <w:rPr>
          <w:bCs/>
          <w:color w:val="000000" w:themeColor="text1"/>
          <w:lang w:val="en-US"/>
        </w:rPr>
        <w:t xml:space="preserve"> for the different chromosomal regions and for detection of viral l</w:t>
      </w:r>
      <w:r>
        <w:rPr>
          <w:bCs/>
          <w:color w:val="000000" w:themeColor="text1"/>
          <w:lang w:val="en-US"/>
        </w:rPr>
        <w:t xml:space="preserve">oad using fluorescent </w:t>
      </w:r>
      <w:r>
        <w:rPr>
          <w:rFonts w:asciiTheme="majorBidi" w:hAnsiTheme="majorBidi" w:cstheme="majorBidi"/>
          <w:color w:val="000000" w:themeColor="text1"/>
          <w:lang w:val="en-US"/>
        </w:rPr>
        <w:t>in situ hybridization (FISH)</w:t>
      </w:r>
      <w:r w:rsidRPr="00ED1DE0">
        <w:rPr>
          <w:rFonts w:asciiTheme="majorBidi" w:hAnsiTheme="majorBidi" w:cstheme="majorBidi"/>
          <w:color w:val="000000" w:themeColor="text1"/>
          <w:lang w:val="en-US"/>
        </w:rPr>
        <w:t>.</w:t>
      </w:r>
    </w:p>
    <w:tbl>
      <w:tblPr>
        <w:tblStyle w:val="PlainTable2"/>
        <w:tblW w:w="8505" w:type="dxa"/>
        <w:tblLook w:val="04A0" w:firstRow="1" w:lastRow="0" w:firstColumn="1" w:lastColumn="0" w:noHBand="0" w:noVBand="1"/>
      </w:tblPr>
      <w:tblGrid>
        <w:gridCol w:w="1275"/>
        <w:gridCol w:w="1983"/>
        <w:gridCol w:w="1137"/>
        <w:gridCol w:w="3107"/>
        <w:gridCol w:w="1003"/>
      </w:tblGrid>
      <w:tr w:rsidR="001620CC" w:rsidRPr="00F60B04" w14:paraId="7F06BEE1" w14:textId="77777777" w:rsidTr="00B02A09">
        <w:trPr>
          <w:cnfStyle w:val="100000000000" w:firstRow="1" w:lastRow="0" w:firstColumn="0" w:lastColumn="0" w:oddVBand="0" w:evenVBand="0" w:oddHBand="0"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275" w:type="dxa"/>
            <w:vMerge w:val="restart"/>
            <w:tcBorders>
              <w:top w:val="nil"/>
            </w:tcBorders>
            <w:hideMark/>
          </w:tcPr>
          <w:p w14:paraId="4485C3C9" w14:textId="77777777" w:rsidR="001620CC" w:rsidRPr="00AF1957" w:rsidRDefault="001620CC" w:rsidP="00CA5105">
            <w:pPr>
              <w:rPr>
                <w:b w:val="0"/>
                <w:bCs w:val="0"/>
                <w:color w:val="000000"/>
              </w:rPr>
            </w:pPr>
          </w:p>
          <w:p w14:paraId="5AB4DCF8" w14:textId="77777777" w:rsidR="001620CC" w:rsidRPr="00AF1957" w:rsidRDefault="001620CC" w:rsidP="00CA5105">
            <w:pPr>
              <w:rPr>
                <w:b w:val="0"/>
                <w:bCs w:val="0"/>
                <w:color w:val="000000"/>
              </w:rPr>
            </w:pPr>
            <w:r w:rsidRPr="00AF1957">
              <w:rPr>
                <w:b w:val="0"/>
                <w:bCs w:val="0"/>
                <w:color w:val="000000"/>
              </w:rPr>
              <w:t>Probe Mix</w:t>
            </w:r>
          </w:p>
        </w:tc>
        <w:tc>
          <w:tcPr>
            <w:tcW w:w="1983" w:type="dxa"/>
            <w:vMerge w:val="restart"/>
            <w:tcBorders>
              <w:top w:val="nil"/>
            </w:tcBorders>
            <w:hideMark/>
          </w:tcPr>
          <w:p w14:paraId="678E05F6" w14:textId="77777777" w:rsidR="001620CC" w:rsidRPr="00AF1957" w:rsidRDefault="001620CC" w:rsidP="00CA5105">
            <w:pPr>
              <w:cnfStyle w:val="100000000000" w:firstRow="1" w:lastRow="0" w:firstColumn="0" w:lastColumn="0" w:oddVBand="0" w:evenVBand="0" w:oddHBand="0" w:evenHBand="0" w:firstRowFirstColumn="0" w:firstRowLastColumn="0" w:lastRowFirstColumn="0" w:lastRowLastColumn="0"/>
              <w:rPr>
                <w:b w:val="0"/>
                <w:bCs w:val="0"/>
                <w:color w:val="000000"/>
              </w:rPr>
            </w:pPr>
          </w:p>
          <w:p w14:paraId="4E878F79" w14:textId="77777777" w:rsidR="001620CC" w:rsidRPr="00AF1957" w:rsidRDefault="001620CC" w:rsidP="00CA5105">
            <w:pPr>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AF1957">
              <w:rPr>
                <w:b w:val="0"/>
                <w:bCs w:val="0"/>
                <w:color w:val="000000"/>
              </w:rPr>
              <w:t>Number of areas analyzed</w:t>
            </w:r>
          </w:p>
        </w:tc>
        <w:tc>
          <w:tcPr>
            <w:tcW w:w="5247" w:type="dxa"/>
            <w:gridSpan w:val="3"/>
            <w:tcBorders>
              <w:top w:val="nil"/>
            </w:tcBorders>
            <w:hideMark/>
          </w:tcPr>
          <w:p w14:paraId="4197FE62" w14:textId="77777777" w:rsidR="001620CC" w:rsidRPr="00AF1957" w:rsidRDefault="001620CC" w:rsidP="00CA5105">
            <w:pPr>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AF1957">
              <w:rPr>
                <w:b w:val="0"/>
                <w:bCs w:val="0"/>
                <w:color w:val="000000"/>
              </w:rPr>
              <w:t>Probe mixture/Fluorescent detection</w:t>
            </w:r>
          </w:p>
        </w:tc>
      </w:tr>
      <w:tr w:rsidR="001620CC" w:rsidRPr="00F60B04" w14:paraId="3D87DEB6" w14:textId="77777777" w:rsidTr="005E520D">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275" w:type="dxa"/>
            <w:vMerge/>
            <w:tcBorders>
              <w:bottom w:val="single" w:sz="24" w:space="0" w:color="auto"/>
            </w:tcBorders>
            <w:hideMark/>
          </w:tcPr>
          <w:p w14:paraId="40D5B04E" w14:textId="77777777" w:rsidR="001620CC" w:rsidRPr="00F60B04" w:rsidRDefault="001620CC" w:rsidP="00CA5105">
            <w:pPr>
              <w:rPr>
                <w:b w:val="0"/>
                <w:color w:val="000000"/>
              </w:rPr>
            </w:pPr>
          </w:p>
        </w:tc>
        <w:tc>
          <w:tcPr>
            <w:tcW w:w="1983" w:type="dxa"/>
            <w:vMerge/>
            <w:tcBorders>
              <w:bottom w:val="single" w:sz="24" w:space="0" w:color="auto"/>
            </w:tcBorders>
            <w:hideMark/>
          </w:tcPr>
          <w:p w14:paraId="60D96FD5" w14:textId="77777777" w:rsidR="001620CC" w:rsidRPr="00F60B04" w:rsidRDefault="001620CC" w:rsidP="00CA5105">
            <w:pPr>
              <w:cnfStyle w:val="000000100000" w:firstRow="0" w:lastRow="0" w:firstColumn="0" w:lastColumn="0" w:oddVBand="0" w:evenVBand="0" w:oddHBand="1" w:evenHBand="0" w:firstRowFirstColumn="0" w:firstRowLastColumn="0" w:lastRowFirstColumn="0" w:lastRowLastColumn="0"/>
              <w:rPr>
                <w:bCs/>
                <w:color w:val="000000"/>
              </w:rPr>
            </w:pPr>
          </w:p>
        </w:tc>
        <w:tc>
          <w:tcPr>
            <w:tcW w:w="1137" w:type="dxa"/>
            <w:tcBorders>
              <w:bottom w:val="single" w:sz="24" w:space="0" w:color="auto"/>
            </w:tcBorders>
            <w:hideMark/>
          </w:tcPr>
          <w:p w14:paraId="10A433DF" w14:textId="77777777" w:rsidR="001620CC" w:rsidRDefault="001620CC" w:rsidP="00CA5105">
            <w:pPr>
              <w:jc w:val="center"/>
              <w:cnfStyle w:val="000000100000" w:firstRow="0" w:lastRow="0" w:firstColumn="0" w:lastColumn="0" w:oddVBand="0" w:evenVBand="0" w:oddHBand="1" w:evenHBand="0" w:firstRowFirstColumn="0" w:firstRowLastColumn="0" w:lastRowFirstColumn="0" w:lastRowLastColumn="0"/>
              <w:rPr>
                <w:bCs/>
                <w:color w:val="000000"/>
              </w:rPr>
            </w:pPr>
            <w:r w:rsidRPr="00F60B04">
              <w:rPr>
                <w:bCs/>
                <w:color w:val="000000"/>
              </w:rPr>
              <w:t>Green</w:t>
            </w:r>
          </w:p>
          <w:p w14:paraId="06669E4C" w14:textId="77777777" w:rsidR="001620CC" w:rsidRPr="00F60B04" w:rsidRDefault="001620CC" w:rsidP="00CA5105">
            <w:pPr>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FITC</w:t>
            </w:r>
          </w:p>
        </w:tc>
        <w:tc>
          <w:tcPr>
            <w:tcW w:w="3107" w:type="dxa"/>
            <w:tcBorders>
              <w:bottom w:val="single" w:sz="24" w:space="0" w:color="auto"/>
            </w:tcBorders>
            <w:hideMark/>
          </w:tcPr>
          <w:p w14:paraId="29D38A80" w14:textId="77777777" w:rsidR="001620CC" w:rsidRDefault="001620CC" w:rsidP="00CA5105">
            <w:pPr>
              <w:jc w:val="center"/>
              <w:cnfStyle w:val="000000100000" w:firstRow="0" w:lastRow="0" w:firstColumn="0" w:lastColumn="0" w:oddVBand="0" w:evenVBand="0" w:oddHBand="1" w:evenHBand="0" w:firstRowFirstColumn="0" w:firstRowLastColumn="0" w:lastRowFirstColumn="0" w:lastRowLastColumn="0"/>
              <w:rPr>
                <w:bCs/>
                <w:color w:val="000000"/>
              </w:rPr>
            </w:pPr>
            <w:r w:rsidRPr="00F60B04">
              <w:rPr>
                <w:bCs/>
                <w:color w:val="000000"/>
              </w:rPr>
              <w:t>Red</w:t>
            </w:r>
          </w:p>
          <w:p w14:paraId="33750F84" w14:textId="77777777" w:rsidR="001620CC" w:rsidRPr="00F60B04" w:rsidRDefault="001620CC" w:rsidP="00CA5105">
            <w:pPr>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TRITC</w:t>
            </w:r>
          </w:p>
        </w:tc>
        <w:tc>
          <w:tcPr>
            <w:tcW w:w="1003" w:type="dxa"/>
            <w:tcBorders>
              <w:bottom w:val="single" w:sz="24" w:space="0" w:color="auto"/>
            </w:tcBorders>
            <w:hideMark/>
          </w:tcPr>
          <w:p w14:paraId="2CE10B94" w14:textId="77777777" w:rsidR="001620CC" w:rsidRDefault="001620CC" w:rsidP="00CA5105">
            <w:pPr>
              <w:jc w:val="center"/>
              <w:cnfStyle w:val="000000100000" w:firstRow="0" w:lastRow="0" w:firstColumn="0" w:lastColumn="0" w:oddVBand="0" w:evenVBand="0" w:oddHBand="1" w:evenHBand="0" w:firstRowFirstColumn="0" w:firstRowLastColumn="0" w:lastRowFirstColumn="0" w:lastRowLastColumn="0"/>
              <w:rPr>
                <w:bCs/>
                <w:color w:val="000000"/>
              </w:rPr>
            </w:pPr>
            <w:r w:rsidRPr="00F60B04">
              <w:rPr>
                <w:bCs/>
                <w:color w:val="000000"/>
              </w:rPr>
              <w:t>Blue</w:t>
            </w:r>
          </w:p>
          <w:p w14:paraId="5085F153" w14:textId="77777777" w:rsidR="001620CC" w:rsidRPr="00F60B04" w:rsidRDefault="001620CC" w:rsidP="00CA5105">
            <w:pPr>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Atto425</w:t>
            </w:r>
          </w:p>
        </w:tc>
      </w:tr>
      <w:tr w:rsidR="001620CC" w:rsidRPr="00F60B04" w14:paraId="2C14B6F6" w14:textId="77777777" w:rsidTr="005E520D">
        <w:trPr>
          <w:trHeight w:val="319"/>
        </w:trPr>
        <w:tc>
          <w:tcPr>
            <w:cnfStyle w:val="001000000000" w:firstRow="0" w:lastRow="0" w:firstColumn="1" w:lastColumn="0" w:oddVBand="0" w:evenVBand="0" w:oddHBand="0" w:evenHBand="0" w:firstRowFirstColumn="0" w:firstRowLastColumn="0" w:lastRowFirstColumn="0" w:lastRowLastColumn="0"/>
            <w:tcW w:w="1275" w:type="dxa"/>
            <w:tcBorders>
              <w:top w:val="single" w:sz="24" w:space="0" w:color="auto"/>
            </w:tcBorders>
            <w:hideMark/>
          </w:tcPr>
          <w:p w14:paraId="2077B2A1" w14:textId="77777777" w:rsidR="001620CC" w:rsidRPr="00AF1957" w:rsidRDefault="001620CC" w:rsidP="00CA5105">
            <w:pPr>
              <w:jc w:val="center"/>
              <w:rPr>
                <w:b w:val="0"/>
                <w:bCs w:val="0"/>
                <w:color w:val="000000"/>
              </w:rPr>
            </w:pPr>
            <w:r w:rsidRPr="00AF1957">
              <w:rPr>
                <w:b w:val="0"/>
                <w:bCs w:val="0"/>
                <w:color w:val="000000"/>
              </w:rPr>
              <w:t>1</w:t>
            </w:r>
          </w:p>
        </w:tc>
        <w:tc>
          <w:tcPr>
            <w:tcW w:w="1983" w:type="dxa"/>
            <w:tcBorders>
              <w:top w:val="single" w:sz="24" w:space="0" w:color="auto"/>
            </w:tcBorders>
            <w:hideMark/>
          </w:tcPr>
          <w:p w14:paraId="2B0C7B0B" w14:textId="33D13E4A" w:rsidR="001620CC" w:rsidRPr="00F60B04" w:rsidRDefault="001620CC" w:rsidP="00CA5105">
            <w:pPr>
              <w:jc w:val="center"/>
              <w:cnfStyle w:val="000000000000" w:firstRow="0" w:lastRow="0" w:firstColumn="0" w:lastColumn="0" w:oddVBand="0" w:evenVBand="0" w:oddHBand="0" w:evenHBand="0" w:firstRowFirstColumn="0" w:firstRowLastColumn="0" w:lastRowFirstColumn="0" w:lastRowLastColumn="0"/>
              <w:rPr>
                <w:bCs/>
                <w:color w:val="000000"/>
              </w:rPr>
            </w:pPr>
            <w:r w:rsidRPr="00F60B04">
              <w:rPr>
                <w:bCs/>
                <w:color w:val="000000"/>
              </w:rPr>
              <w:t>12</w:t>
            </w:r>
          </w:p>
        </w:tc>
        <w:tc>
          <w:tcPr>
            <w:tcW w:w="1137" w:type="dxa"/>
            <w:tcBorders>
              <w:top w:val="single" w:sz="24" w:space="0" w:color="auto"/>
            </w:tcBorders>
            <w:hideMark/>
          </w:tcPr>
          <w:p w14:paraId="18D92373" w14:textId="77777777" w:rsidR="001620CC" w:rsidRPr="00F60B04" w:rsidRDefault="001620CC" w:rsidP="00CA5105">
            <w:pPr>
              <w:jc w:val="center"/>
              <w:cnfStyle w:val="000000000000" w:firstRow="0" w:lastRow="0" w:firstColumn="0" w:lastColumn="0" w:oddVBand="0" w:evenVBand="0" w:oddHBand="0" w:evenHBand="0" w:firstRowFirstColumn="0" w:firstRowLastColumn="0" w:lastRowFirstColumn="0" w:lastRowLastColumn="0"/>
              <w:rPr>
                <w:bCs/>
                <w:i/>
                <w:iCs/>
                <w:color w:val="000000"/>
              </w:rPr>
            </w:pPr>
            <w:r w:rsidRPr="00F60B04">
              <w:rPr>
                <w:bCs/>
                <w:i/>
                <w:iCs/>
                <w:color w:val="000000"/>
              </w:rPr>
              <w:t>TERC</w:t>
            </w:r>
          </w:p>
        </w:tc>
        <w:tc>
          <w:tcPr>
            <w:tcW w:w="3107" w:type="dxa"/>
            <w:tcBorders>
              <w:top w:val="single" w:sz="24" w:space="0" w:color="auto"/>
            </w:tcBorders>
            <w:hideMark/>
          </w:tcPr>
          <w:p w14:paraId="5D31AD12" w14:textId="77777777" w:rsidR="001620CC" w:rsidRPr="00F60B04" w:rsidRDefault="001620CC" w:rsidP="00CA5105">
            <w:pPr>
              <w:jc w:val="center"/>
              <w:cnfStyle w:val="000000000000" w:firstRow="0" w:lastRow="0" w:firstColumn="0" w:lastColumn="0" w:oddVBand="0" w:evenVBand="0" w:oddHBand="0" w:evenHBand="0" w:firstRowFirstColumn="0" w:firstRowLastColumn="0" w:lastRowFirstColumn="0" w:lastRowLastColumn="0"/>
              <w:rPr>
                <w:bCs/>
                <w:color w:val="000000"/>
              </w:rPr>
            </w:pPr>
            <w:r w:rsidRPr="00F60B04">
              <w:rPr>
                <w:bCs/>
                <w:color w:val="000000"/>
              </w:rPr>
              <w:t>3C</w:t>
            </w:r>
          </w:p>
        </w:tc>
        <w:tc>
          <w:tcPr>
            <w:tcW w:w="1003" w:type="dxa"/>
            <w:tcBorders>
              <w:top w:val="single" w:sz="24" w:space="0" w:color="auto"/>
            </w:tcBorders>
            <w:hideMark/>
          </w:tcPr>
          <w:p w14:paraId="55C97184" w14:textId="77777777" w:rsidR="001620CC" w:rsidRPr="00F60B04" w:rsidRDefault="001620CC" w:rsidP="00CA5105">
            <w:pPr>
              <w:jc w:val="center"/>
              <w:cnfStyle w:val="000000000000" w:firstRow="0" w:lastRow="0" w:firstColumn="0" w:lastColumn="0" w:oddVBand="0" w:evenVBand="0" w:oddHBand="0" w:evenHBand="0" w:firstRowFirstColumn="0" w:firstRowLastColumn="0" w:lastRowFirstColumn="0" w:lastRowLastColumn="0"/>
              <w:rPr>
                <w:bCs/>
                <w:color w:val="000000"/>
              </w:rPr>
            </w:pPr>
            <w:r w:rsidRPr="00F60B04">
              <w:rPr>
                <w:bCs/>
                <w:color w:val="000000"/>
              </w:rPr>
              <w:t>1C</w:t>
            </w:r>
          </w:p>
        </w:tc>
      </w:tr>
      <w:tr w:rsidR="001620CC" w:rsidRPr="00F60B04" w14:paraId="4329DAE8" w14:textId="77777777" w:rsidTr="005E520D">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275" w:type="dxa"/>
            <w:hideMark/>
          </w:tcPr>
          <w:p w14:paraId="31BBC553" w14:textId="77777777" w:rsidR="001620CC" w:rsidRPr="00AF1957" w:rsidRDefault="001620CC" w:rsidP="00CA5105">
            <w:pPr>
              <w:jc w:val="center"/>
              <w:rPr>
                <w:b w:val="0"/>
                <w:bCs w:val="0"/>
                <w:color w:val="000000"/>
              </w:rPr>
            </w:pPr>
            <w:r w:rsidRPr="00AF1957">
              <w:rPr>
                <w:b w:val="0"/>
                <w:bCs w:val="0"/>
                <w:color w:val="000000"/>
              </w:rPr>
              <w:t>2</w:t>
            </w:r>
          </w:p>
        </w:tc>
        <w:tc>
          <w:tcPr>
            <w:tcW w:w="1983" w:type="dxa"/>
            <w:hideMark/>
          </w:tcPr>
          <w:p w14:paraId="0B8DBF59" w14:textId="7D4F64F6" w:rsidR="001620CC" w:rsidRPr="00F60B04" w:rsidRDefault="001620CC" w:rsidP="00CA5105">
            <w:pPr>
              <w:jc w:val="center"/>
              <w:cnfStyle w:val="000000100000" w:firstRow="0" w:lastRow="0" w:firstColumn="0" w:lastColumn="0" w:oddVBand="0" w:evenVBand="0" w:oddHBand="1" w:evenHBand="0" w:firstRowFirstColumn="0" w:firstRowLastColumn="0" w:lastRowFirstColumn="0" w:lastRowLastColumn="0"/>
              <w:rPr>
                <w:bCs/>
                <w:color w:val="000000"/>
              </w:rPr>
            </w:pPr>
            <w:r w:rsidRPr="00F60B04">
              <w:rPr>
                <w:bCs/>
                <w:color w:val="000000"/>
              </w:rPr>
              <w:t>12</w:t>
            </w:r>
          </w:p>
        </w:tc>
        <w:tc>
          <w:tcPr>
            <w:tcW w:w="1137" w:type="dxa"/>
            <w:hideMark/>
          </w:tcPr>
          <w:p w14:paraId="57F263AA" w14:textId="77777777" w:rsidR="001620CC" w:rsidRPr="00F60B04" w:rsidRDefault="001620CC" w:rsidP="00CA5105">
            <w:pPr>
              <w:jc w:val="center"/>
              <w:cnfStyle w:val="000000100000" w:firstRow="0" w:lastRow="0" w:firstColumn="0" w:lastColumn="0" w:oddVBand="0" w:evenVBand="0" w:oddHBand="1" w:evenHBand="0" w:firstRowFirstColumn="0" w:firstRowLastColumn="0" w:lastRowFirstColumn="0" w:lastRowLastColumn="0"/>
              <w:rPr>
                <w:bCs/>
                <w:i/>
                <w:iCs/>
                <w:color w:val="000000"/>
              </w:rPr>
            </w:pPr>
            <w:r w:rsidRPr="00F60B04">
              <w:rPr>
                <w:bCs/>
                <w:i/>
                <w:iCs/>
                <w:color w:val="000000"/>
              </w:rPr>
              <w:t>TERC</w:t>
            </w:r>
          </w:p>
        </w:tc>
        <w:tc>
          <w:tcPr>
            <w:tcW w:w="3107" w:type="dxa"/>
            <w:hideMark/>
          </w:tcPr>
          <w:p w14:paraId="08E662A7" w14:textId="77777777" w:rsidR="001620CC" w:rsidRPr="00F60B04" w:rsidRDefault="001620CC" w:rsidP="00CA5105">
            <w:pPr>
              <w:jc w:val="center"/>
              <w:cnfStyle w:val="000000100000" w:firstRow="0" w:lastRow="0" w:firstColumn="0" w:lastColumn="0" w:oddVBand="0" w:evenVBand="0" w:oddHBand="1" w:evenHBand="0" w:firstRowFirstColumn="0" w:firstRowLastColumn="0" w:lastRowFirstColumn="0" w:lastRowLastColumn="0"/>
              <w:rPr>
                <w:bCs/>
                <w:color w:val="000000"/>
              </w:rPr>
            </w:pPr>
            <w:r w:rsidRPr="00F60B04">
              <w:rPr>
                <w:bCs/>
                <w:color w:val="000000"/>
              </w:rPr>
              <w:t>7C</w:t>
            </w:r>
          </w:p>
        </w:tc>
        <w:tc>
          <w:tcPr>
            <w:tcW w:w="1003" w:type="dxa"/>
            <w:hideMark/>
          </w:tcPr>
          <w:p w14:paraId="096357BE" w14:textId="77777777" w:rsidR="001620CC" w:rsidRPr="00F60B04" w:rsidRDefault="001620CC" w:rsidP="00CA5105">
            <w:pPr>
              <w:jc w:val="center"/>
              <w:cnfStyle w:val="000000100000" w:firstRow="0" w:lastRow="0" w:firstColumn="0" w:lastColumn="0" w:oddVBand="0" w:evenVBand="0" w:oddHBand="1" w:evenHBand="0" w:firstRowFirstColumn="0" w:firstRowLastColumn="0" w:lastRowFirstColumn="0" w:lastRowLastColumn="0"/>
              <w:rPr>
                <w:bCs/>
                <w:color w:val="000000"/>
              </w:rPr>
            </w:pPr>
          </w:p>
        </w:tc>
      </w:tr>
      <w:tr w:rsidR="001620CC" w:rsidRPr="00F60B04" w14:paraId="587DEBC0" w14:textId="77777777" w:rsidTr="005E520D">
        <w:trPr>
          <w:trHeight w:val="346"/>
        </w:trPr>
        <w:tc>
          <w:tcPr>
            <w:cnfStyle w:val="001000000000" w:firstRow="0" w:lastRow="0" w:firstColumn="1" w:lastColumn="0" w:oddVBand="0" w:evenVBand="0" w:oddHBand="0" w:evenHBand="0" w:firstRowFirstColumn="0" w:firstRowLastColumn="0" w:lastRowFirstColumn="0" w:lastRowLastColumn="0"/>
            <w:tcW w:w="1275" w:type="dxa"/>
            <w:tcBorders>
              <w:bottom w:val="single" w:sz="4" w:space="0" w:color="7F7F7F" w:themeColor="text1" w:themeTint="80"/>
            </w:tcBorders>
            <w:hideMark/>
          </w:tcPr>
          <w:p w14:paraId="37BFC9AD" w14:textId="77777777" w:rsidR="001620CC" w:rsidRPr="00AF1957" w:rsidRDefault="001620CC" w:rsidP="00CA5105">
            <w:pPr>
              <w:jc w:val="center"/>
              <w:rPr>
                <w:b w:val="0"/>
                <w:bCs w:val="0"/>
                <w:color w:val="000000"/>
              </w:rPr>
            </w:pPr>
            <w:r w:rsidRPr="00AF1957">
              <w:rPr>
                <w:b w:val="0"/>
                <w:bCs w:val="0"/>
                <w:color w:val="000000"/>
              </w:rPr>
              <w:t>3</w:t>
            </w:r>
          </w:p>
        </w:tc>
        <w:tc>
          <w:tcPr>
            <w:tcW w:w="1983" w:type="dxa"/>
            <w:tcBorders>
              <w:bottom w:val="single" w:sz="4" w:space="0" w:color="7F7F7F" w:themeColor="text1" w:themeTint="80"/>
            </w:tcBorders>
            <w:hideMark/>
          </w:tcPr>
          <w:p w14:paraId="53A8D20E" w14:textId="69E12787" w:rsidR="001620CC" w:rsidRPr="00F60B04" w:rsidRDefault="001620CC" w:rsidP="00CA5105">
            <w:pPr>
              <w:jc w:val="center"/>
              <w:cnfStyle w:val="000000000000" w:firstRow="0" w:lastRow="0" w:firstColumn="0" w:lastColumn="0" w:oddVBand="0" w:evenVBand="0" w:oddHBand="0" w:evenHBand="0" w:firstRowFirstColumn="0" w:firstRowLastColumn="0" w:lastRowFirstColumn="0" w:lastRowLastColumn="0"/>
              <w:rPr>
                <w:bCs/>
                <w:color w:val="000000"/>
              </w:rPr>
            </w:pPr>
            <w:r w:rsidRPr="007C1620">
              <w:rPr>
                <w:bCs/>
                <w:color w:val="000000"/>
              </w:rPr>
              <w:t>95</w:t>
            </w:r>
          </w:p>
        </w:tc>
        <w:tc>
          <w:tcPr>
            <w:tcW w:w="1137" w:type="dxa"/>
            <w:tcBorders>
              <w:bottom w:val="single" w:sz="4" w:space="0" w:color="7F7F7F" w:themeColor="text1" w:themeTint="80"/>
            </w:tcBorders>
            <w:hideMark/>
          </w:tcPr>
          <w:p w14:paraId="0E8F459F" w14:textId="77777777" w:rsidR="001620CC" w:rsidRPr="00F60B04" w:rsidRDefault="001620CC" w:rsidP="00CA5105">
            <w:pPr>
              <w:jc w:val="center"/>
              <w:cnfStyle w:val="000000000000" w:firstRow="0" w:lastRow="0" w:firstColumn="0" w:lastColumn="0" w:oddVBand="0" w:evenVBand="0" w:oddHBand="0" w:evenHBand="0" w:firstRowFirstColumn="0" w:firstRowLastColumn="0" w:lastRowFirstColumn="0" w:lastRowLastColumn="0"/>
              <w:rPr>
                <w:bCs/>
                <w:i/>
                <w:iCs/>
                <w:color w:val="000000"/>
              </w:rPr>
            </w:pPr>
            <w:r w:rsidRPr="00F60B04">
              <w:rPr>
                <w:bCs/>
                <w:i/>
                <w:iCs/>
                <w:color w:val="000000"/>
              </w:rPr>
              <w:t>SOX2</w:t>
            </w:r>
          </w:p>
        </w:tc>
        <w:tc>
          <w:tcPr>
            <w:tcW w:w="3107" w:type="dxa"/>
            <w:tcBorders>
              <w:bottom w:val="single" w:sz="4" w:space="0" w:color="7F7F7F" w:themeColor="text1" w:themeTint="80"/>
            </w:tcBorders>
            <w:hideMark/>
          </w:tcPr>
          <w:p w14:paraId="296E92C5" w14:textId="77777777" w:rsidR="001620CC" w:rsidRPr="00F60B04" w:rsidRDefault="001620CC" w:rsidP="00CA5105">
            <w:pPr>
              <w:jc w:val="center"/>
              <w:cnfStyle w:val="000000000000" w:firstRow="0" w:lastRow="0" w:firstColumn="0" w:lastColumn="0" w:oddVBand="0" w:evenVBand="0" w:oddHBand="0" w:evenHBand="0" w:firstRowFirstColumn="0" w:firstRowLastColumn="0" w:lastRowFirstColumn="0" w:lastRowLastColumn="0"/>
              <w:rPr>
                <w:bCs/>
                <w:i/>
                <w:iCs/>
                <w:color w:val="000000"/>
              </w:rPr>
            </w:pPr>
            <w:r w:rsidRPr="00F60B04">
              <w:rPr>
                <w:bCs/>
                <w:i/>
                <w:iCs/>
                <w:color w:val="000000"/>
              </w:rPr>
              <w:t>SOX17</w:t>
            </w:r>
          </w:p>
        </w:tc>
        <w:tc>
          <w:tcPr>
            <w:tcW w:w="1003" w:type="dxa"/>
            <w:tcBorders>
              <w:bottom w:val="single" w:sz="4" w:space="0" w:color="7F7F7F" w:themeColor="text1" w:themeTint="80"/>
            </w:tcBorders>
            <w:hideMark/>
          </w:tcPr>
          <w:p w14:paraId="12015747" w14:textId="77777777" w:rsidR="001620CC" w:rsidRPr="00F60B04" w:rsidRDefault="001620CC" w:rsidP="00CA5105">
            <w:pPr>
              <w:jc w:val="center"/>
              <w:cnfStyle w:val="000000000000" w:firstRow="0" w:lastRow="0" w:firstColumn="0" w:lastColumn="0" w:oddVBand="0" w:evenVBand="0" w:oddHBand="0" w:evenHBand="0" w:firstRowFirstColumn="0" w:firstRowLastColumn="0" w:lastRowFirstColumn="0" w:lastRowLastColumn="0"/>
              <w:rPr>
                <w:bCs/>
                <w:color w:val="000000"/>
              </w:rPr>
            </w:pPr>
          </w:p>
        </w:tc>
      </w:tr>
      <w:tr w:rsidR="001620CC" w:rsidRPr="00F60B04" w14:paraId="1FA27DD8" w14:textId="77777777" w:rsidTr="005E520D">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275" w:type="dxa"/>
            <w:tcBorders>
              <w:bottom w:val="single" w:sz="24" w:space="0" w:color="auto"/>
            </w:tcBorders>
            <w:hideMark/>
          </w:tcPr>
          <w:p w14:paraId="71C9FDFD" w14:textId="77777777" w:rsidR="001620CC" w:rsidRPr="00AF1957" w:rsidRDefault="001620CC" w:rsidP="00CA5105">
            <w:pPr>
              <w:jc w:val="center"/>
              <w:rPr>
                <w:b w:val="0"/>
                <w:bCs w:val="0"/>
                <w:color w:val="000000"/>
              </w:rPr>
            </w:pPr>
            <w:r w:rsidRPr="00AF1957">
              <w:rPr>
                <w:b w:val="0"/>
                <w:bCs w:val="0"/>
                <w:color w:val="000000"/>
              </w:rPr>
              <w:t>4</w:t>
            </w:r>
          </w:p>
        </w:tc>
        <w:tc>
          <w:tcPr>
            <w:tcW w:w="1983" w:type="dxa"/>
            <w:tcBorders>
              <w:bottom w:val="single" w:sz="24" w:space="0" w:color="auto"/>
            </w:tcBorders>
            <w:hideMark/>
          </w:tcPr>
          <w:p w14:paraId="6D21B98F" w14:textId="7DB6511D" w:rsidR="001620CC" w:rsidRPr="00F60B04" w:rsidRDefault="001620CC" w:rsidP="00CA5105">
            <w:pPr>
              <w:jc w:val="center"/>
              <w:cnfStyle w:val="000000100000" w:firstRow="0" w:lastRow="0" w:firstColumn="0" w:lastColumn="0" w:oddVBand="0" w:evenVBand="0" w:oddHBand="1" w:evenHBand="0" w:firstRowFirstColumn="0" w:firstRowLastColumn="0" w:lastRowFirstColumn="0" w:lastRowLastColumn="0"/>
              <w:rPr>
                <w:bCs/>
                <w:color w:val="000000"/>
              </w:rPr>
            </w:pPr>
            <w:r w:rsidRPr="007C1620">
              <w:rPr>
                <w:bCs/>
                <w:color w:val="000000"/>
              </w:rPr>
              <w:t>62</w:t>
            </w:r>
          </w:p>
        </w:tc>
        <w:tc>
          <w:tcPr>
            <w:tcW w:w="1137" w:type="dxa"/>
            <w:tcBorders>
              <w:bottom w:val="single" w:sz="24" w:space="0" w:color="auto"/>
            </w:tcBorders>
            <w:hideMark/>
          </w:tcPr>
          <w:p w14:paraId="41D89D75" w14:textId="77777777" w:rsidR="001620CC" w:rsidRPr="00F60B04" w:rsidRDefault="001620CC" w:rsidP="00CA5105">
            <w:pPr>
              <w:jc w:val="center"/>
              <w:cnfStyle w:val="000000100000" w:firstRow="0" w:lastRow="0" w:firstColumn="0" w:lastColumn="0" w:oddVBand="0" w:evenVBand="0" w:oddHBand="1" w:evenHBand="0" w:firstRowFirstColumn="0" w:firstRowLastColumn="0" w:lastRowFirstColumn="0" w:lastRowLastColumn="0"/>
              <w:rPr>
                <w:bCs/>
                <w:color w:val="000000"/>
              </w:rPr>
            </w:pPr>
            <w:r w:rsidRPr="00F60B04">
              <w:rPr>
                <w:bCs/>
                <w:color w:val="000000"/>
              </w:rPr>
              <w:t>1C</w:t>
            </w:r>
          </w:p>
        </w:tc>
        <w:tc>
          <w:tcPr>
            <w:tcW w:w="3107" w:type="dxa"/>
            <w:tcBorders>
              <w:bottom w:val="single" w:sz="24" w:space="0" w:color="auto"/>
            </w:tcBorders>
            <w:hideMark/>
          </w:tcPr>
          <w:p w14:paraId="2E1D6ABF" w14:textId="77777777" w:rsidR="001620CC" w:rsidRPr="00F60B04" w:rsidRDefault="001620CC" w:rsidP="00CA5105">
            <w:pPr>
              <w:jc w:val="center"/>
              <w:cnfStyle w:val="000000100000" w:firstRow="0" w:lastRow="0" w:firstColumn="0" w:lastColumn="0" w:oddVBand="0" w:evenVBand="0" w:oddHBand="1" w:evenHBand="0" w:firstRowFirstColumn="0" w:firstRowLastColumn="0" w:lastRowFirstColumn="0" w:lastRowLastColumn="0"/>
              <w:rPr>
                <w:bCs/>
                <w:color w:val="000000"/>
              </w:rPr>
            </w:pPr>
            <w:r w:rsidRPr="00F60B04">
              <w:rPr>
                <w:bCs/>
                <w:color w:val="000000"/>
              </w:rPr>
              <w:t>HPV</w:t>
            </w:r>
          </w:p>
        </w:tc>
        <w:tc>
          <w:tcPr>
            <w:tcW w:w="1003" w:type="dxa"/>
            <w:tcBorders>
              <w:bottom w:val="single" w:sz="24" w:space="0" w:color="auto"/>
            </w:tcBorders>
            <w:hideMark/>
          </w:tcPr>
          <w:p w14:paraId="3994E1AD" w14:textId="77777777" w:rsidR="001620CC" w:rsidRPr="00F60B04" w:rsidRDefault="001620CC" w:rsidP="00CA5105">
            <w:pPr>
              <w:jc w:val="center"/>
              <w:cnfStyle w:val="000000100000" w:firstRow="0" w:lastRow="0" w:firstColumn="0" w:lastColumn="0" w:oddVBand="0" w:evenVBand="0" w:oddHBand="1" w:evenHBand="0" w:firstRowFirstColumn="0" w:firstRowLastColumn="0" w:lastRowFirstColumn="0" w:lastRowLastColumn="0"/>
              <w:rPr>
                <w:bCs/>
                <w:color w:val="000000"/>
              </w:rPr>
            </w:pPr>
          </w:p>
        </w:tc>
      </w:tr>
    </w:tbl>
    <w:p w14:paraId="37C292B3" w14:textId="77777777" w:rsidR="001620CC" w:rsidRDefault="001620CC" w:rsidP="001620CC">
      <w:pPr>
        <w:spacing w:line="480" w:lineRule="auto"/>
        <w:jc w:val="both"/>
        <w:rPr>
          <w:bCs/>
        </w:rPr>
      </w:pPr>
      <w:r w:rsidRPr="00F60B04">
        <w:rPr>
          <w:bCs/>
        </w:rPr>
        <w:t xml:space="preserve"> </w:t>
      </w:r>
    </w:p>
    <w:p w14:paraId="4136FC40" w14:textId="14D37C7F" w:rsidR="001620CC" w:rsidRDefault="001620CC" w:rsidP="001620CC">
      <w:pPr>
        <w:spacing w:after="160" w:line="259" w:lineRule="auto"/>
        <w:rPr>
          <w:rFonts w:asciiTheme="majorBidi" w:hAnsiTheme="majorBidi" w:cstheme="majorBidi"/>
          <w:b/>
        </w:rPr>
      </w:pPr>
      <w:r>
        <w:rPr>
          <w:rFonts w:asciiTheme="majorBidi" w:hAnsiTheme="majorBidi" w:cstheme="majorBidi"/>
          <w:b/>
        </w:rPr>
        <w:t>Legend to the Supplemental Figures</w:t>
      </w:r>
    </w:p>
    <w:p w14:paraId="7577F2F9" w14:textId="77777777" w:rsidR="001620CC" w:rsidRDefault="001620CC" w:rsidP="001620CC">
      <w:pPr>
        <w:autoSpaceDE w:val="0"/>
        <w:autoSpaceDN w:val="0"/>
        <w:adjustRightInd w:val="0"/>
      </w:pPr>
    </w:p>
    <w:p w14:paraId="15B11E7D" w14:textId="77777777" w:rsidR="001620CC" w:rsidRDefault="001620CC" w:rsidP="001620CC">
      <w:pPr>
        <w:autoSpaceDE w:val="0"/>
        <w:autoSpaceDN w:val="0"/>
        <w:adjustRightInd w:val="0"/>
      </w:pPr>
    </w:p>
    <w:p w14:paraId="46EB67C5" w14:textId="77777777" w:rsidR="001620CC" w:rsidRPr="00CF214F" w:rsidRDefault="001620CC" w:rsidP="001620CC">
      <w:pPr>
        <w:spacing w:line="480" w:lineRule="auto"/>
        <w:rPr>
          <w:b/>
        </w:rPr>
      </w:pPr>
      <w:r w:rsidRPr="00F60B04">
        <w:rPr>
          <w:bCs/>
        </w:rPr>
        <w:t>Supplemental Figure S</w:t>
      </w:r>
      <w:r>
        <w:rPr>
          <w:bCs/>
        </w:rPr>
        <w:t>1</w:t>
      </w:r>
      <w:r>
        <w:t xml:space="preserve">: </w:t>
      </w:r>
      <w:r w:rsidRPr="00CF214F">
        <w:t>Transition</w:t>
      </w:r>
      <w:r>
        <w:t xml:space="preserve"> areas of </w:t>
      </w:r>
      <w:r w:rsidRPr="00CF214F">
        <w:t>SOX2</w:t>
      </w:r>
      <w:r>
        <w:t xml:space="preserve"> immunostaining patterns</w:t>
      </w:r>
      <w:r w:rsidRPr="00CF214F">
        <w:t xml:space="preserve"> in </w:t>
      </w:r>
      <w:r>
        <w:t xml:space="preserve">normal squamous epithelium and (adjacent) </w:t>
      </w:r>
      <w:r w:rsidRPr="00CF214F">
        <w:t>CIN lesions</w:t>
      </w:r>
      <w:r>
        <w:rPr>
          <w:b/>
        </w:rPr>
        <w:t>.</w:t>
      </w:r>
    </w:p>
    <w:p w14:paraId="43ACE6CF" w14:textId="77777777" w:rsidR="00C77782" w:rsidRDefault="001620CC" w:rsidP="001620CC">
      <w:pPr>
        <w:spacing w:line="480" w:lineRule="auto"/>
      </w:pPr>
      <w:r w:rsidRPr="00F60B04">
        <w:rPr>
          <w:bCs/>
        </w:rPr>
        <w:t>A</w:t>
      </w:r>
      <w:r>
        <w:rPr>
          <w:bCs/>
        </w:rPr>
        <w:t>)</w:t>
      </w:r>
      <w:r w:rsidRPr="00E61479">
        <w:rPr>
          <w:bCs/>
        </w:rPr>
        <w:t xml:space="preserve"> </w:t>
      </w:r>
      <w:r>
        <w:rPr>
          <w:bCs/>
        </w:rPr>
        <w:t>T</w:t>
      </w:r>
      <w:r w:rsidRPr="00CC5082">
        <w:rPr>
          <w:bCs/>
        </w:rPr>
        <w:t>ransition</w:t>
      </w:r>
      <w:r>
        <w:rPr>
          <w:b/>
        </w:rPr>
        <w:t xml:space="preserve"> </w:t>
      </w:r>
      <w:r w:rsidRPr="00CC5082">
        <w:rPr>
          <w:bCs/>
        </w:rPr>
        <w:t>between</w:t>
      </w:r>
      <w:r>
        <w:rPr>
          <w:b/>
        </w:rPr>
        <w:t xml:space="preserve"> </w:t>
      </w:r>
      <w:r w:rsidRPr="00CC5082">
        <w:rPr>
          <w:bCs/>
        </w:rPr>
        <w:t>SOX2</w:t>
      </w:r>
      <w:r>
        <w:rPr>
          <w:b/>
        </w:rPr>
        <w:t xml:space="preserve"> </w:t>
      </w:r>
      <w:r>
        <w:t xml:space="preserve">Pattern </w:t>
      </w:r>
      <w:r w:rsidRPr="00CF214F">
        <w:t>1</w:t>
      </w:r>
      <w:r>
        <w:t xml:space="preserve"> and Pattern 2; B) </w:t>
      </w:r>
      <w:r>
        <w:rPr>
          <w:bCs/>
        </w:rPr>
        <w:t>T</w:t>
      </w:r>
      <w:r w:rsidRPr="00CC5082">
        <w:rPr>
          <w:bCs/>
        </w:rPr>
        <w:t>ransition</w:t>
      </w:r>
      <w:r>
        <w:rPr>
          <w:b/>
        </w:rPr>
        <w:t xml:space="preserve"> </w:t>
      </w:r>
      <w:r w:rsidRPr="00CC5082">
        <w:rPr>
          <w:bCs/>
        </w:rPr>
        <w:t>between</w:t>
      </w:r>
      <w:r>
        <w:rPr>
          <w:b/>
        </w:rPr>
        <w:t xml:space="preserve"> </w:t>
      </w:r>
      <w:r w:rsidRPr="00CC5082">
        <w:rPr>
          <w:bCs/>
        </w:rPr>
        <w:t>SOX2</w:t>
      </w:r>
      <w:r>
        <w:rPr>
          <w:b/>
        </w:rPr>
        <w:t xml:space="preserve"> </w:t>
      </w:r>
      <w:r>
        <w:t xml:space="preserve">Pattern </w:t>
      </w:r>
      <w:r w:rsidRPr="00CF214F">
        <w:t>1</w:t>
      </w:r>
      <w:r>
        <w:t xml:space="preserve"> and Pattern 3; C) </w:t>
      </w:r>
      <w:r>
        <w:rPr>
          <w:bCs/>
        </w:rPr>
        <w:t>T</w:t>
      </w:r>
      <w:r w:rsidRPr="00CC5082">
        <w:rPr>
          <w:bCs/>
        </w:rPr>
        <w:t>ransition</w:t>
      </w:r>
      <w:r>
        <w:rPr>
          <w:b/>
        </w:rPr>
        <w:t xml:space="preserve"> </w:t>
      </w:r>
      <w:r w:rsidRPr="00CC5082">
        <w:rPr>
          <w:bCs/>
        </w:rPr>
        <w:t>between</w:t>
      </w:r>
      <w:r>
        <w:rPr>
          <w:b/>
        </w:rPr>
        <w:t xml:space="preserve"> </w:t>
      </w:r>
      <w:r w:rsidRPr="00CC5082">
        <w:rPr>
          <w:bCs/>
        </w:rPr>
        <w:t>SOX2</w:t>
      </w:r>
      <w:r>
        <w:rPr>
          <w:b/>
        </w:rPr>
        <w:t xml:space="preserve"> </w:t>
      </w:r>
      <w:r>
        <w:t xml:space="preserve">Pattern 2 and Pattern 3.  The low expression or absence of SOX2 expression in the basal/parabasal cells in Pattern 3 is clearly </w:t>
      </w:r>
      <w:r w:rsidRPr="00643A76">
        <w:t>illustrated</w:t>
      </w:r>
      <w:r w:rsidRPr="00B36F15">
        <w:t xml:space="preserve"> in</w:t>
      </w:r>
      <w:r w:rsidRPr="00A556B3">
        <w:t xml:space="preserve"> B and C).</w:t>
      </w:r>
      <w:r w:rsidRPr="00692BE8">
        <w:t xml:space="preserve"> </w:t>
      </w:r>
      <w:r w:rsidRPr="00746CAF">
        <w:t xml:space="preserve">D) Higher magnification of </w:t>
      </w:r>
      <w:r w:rsidRPr="00643A76">
        <w:t>the upper part of the epithelium showing</w:t>
      </w:r>
      <w:r w:rsidRPr="007C1620">
        <w:t xml:space="preserve"> the brightfield staining of SOX2.</w:t>
      </w:r>
    </w:p>
    <w:p w14:paraId="5EBB34E8" w14:textId="77777777" w:rsidR="00C77782" w:rsidRDefault="00C77782" w:rsidP="001620CC">
      <w:pPr>
        <w:spacing w:line="480" w:lineRule="auto"/>
      </w:pPr>
    </w:p>
    <w:p w14:paraId="6D4F2F21" w14:textId="5B1F66E5" w:rsidR="001620CC" w:rsidRDefault="001620CC" w:rsidP="001620CC">
      <w:pPr>
        <w:spacing w:line="480" w:lineRule="auto"/>
      </w:pPr>
      <w:r w:rsidRPr="00643A76">
        <w:t>Supplemental Figure S2:</w:t>
      </w:r>
      <w:r w:rsidRPr="00B36F15">
        <w:t xml:space="preserve"> </w:t>
      </w:r>
      <w:r>
        <w:t>Genetic aberrations in a CIN3 Pattern 3 as detected by FISH.</w:t>
      </w:r>
    </w:p>
    <w:p w14:paraId="6C18AE76" w14:textId="1AF688EA" w:rsidR="009A4B3E" w:rsidRPr="006B3E30" w:rsidRDefault="001620CC" w:rsidP="006B3E30">
      <w:pPr>
        <w:spacing w:line="480" w:lineRule="auto"/>
      </w:pPr>
      <w:r w:rsidRPr="00B36F15">
        <w:t xml:space="preserve">Fluorescence in situ hybridization </w:t>
      </w:r>
      <w:r w:rsidRPr="00B00626">
        <w:t>of a Pattern</w:t>
      </w:r>
      <w:r>
        <w:t xml:space="preserve"> </w:t>
      </w:r>
      <w:r w:rsidRPr="00B00626">
        <w:t xml:space="preserve">3 region in CIN3, </w:t>
      </w:r>
      <w:r w:rsidRPr="00643A76">
        <w:t>targeting copy number variations for the cent</w:t>
      </w:r>
      <w:r w:rsidRPr="00B36F15">
        <w:t xml:space="preserve">romere region of chromosome 3 (C3; visualized in </w:t>
      </w:r>
      <w:r w:rsidRPr="00B00626">
        <w:t>red</w:t>
      </w:r>
      <w:r w:rsidRPr="00643A76">
        <w:t>)</w:t>
      </w:r>
      <w:r w:rsidRPr="00B00626">
        <w:t xml:space="preserve">, </w:t>
      </w:r>
      <w:r w:rsidRPr="00643A76">
        <w:t xml:space="preserve">TERC </w:t>
      </w:r>
      <w:r w:rsidRPr="00B36F15">
        <w:lastRenderedPageBreak/>
        <w:t xml:space="preserve">(visualized in </w:t>
      </w:r>
      <w:r w:rsidRPr="00B00626">
        <w:t>green</w:t>
      </w:r>
      <w:r w:rsidRPr="00643A76">
        <w:t>)</w:t>
      </w:r>
      <w:r w:rsidRPr="00B00626">
        <w:t>, combined with DAPI staining for DNA (visualized in blue in A and C) or the centromere region of chromosome 1 (C1; visualized in blue in B and D)</w:t>
      </w:r>
      <w:r w:rsidRPr="00643A76">
        <w:t>.</w:t>
      </w:r>
      <w:r w:rsidRPr="00B00626">
        <w:t xml:space="preserve"> </w:t>
      </w:r>
      <w:r w:rsidRPr="00643A76">
        <w:t xml:space="preserve">The intermediate and superficial cell layers </w:t>
      </w:r>
      <w:r w:rsidRPr="00B36F15">
        <w:t>shown in A</w:t>
      </w:r>
      <w:r w:rsidRPr="00B00626">
        <w:t xml:space="preserve"> </w:t>
      </w:r>
      <w:r w:rsidRPr="00643A76">
        <w:t xml:space="preserve">and </w:t>
      </w:r>
      <w:r>
        <w:t>B</w:t>
      </w:r>
      <w:r w:rsidRPr="00B00626">
        <w:t xml:space="preserve"> consist of genetically</w:t>
      </w:r>
      <w:r w:rsidRPr="00B00626">
        <w:rPr>
          <w:bCs/>
        </w:rPr>
        <w:t xml:space="preserve"> a</w:t>
      </w:r>
      <w:r w:rsidRPr="00B00626">
        <w:t xml:space="preserve">berrant </w:t>
      </w:r>
      <w:r>
        <w:t>(</w:t>
      </w:r>
      <w:proofErr w:type="spellStart"/>
      <w:r>
        <w:t>aneusomic</w:t>
      </w:r>
      <w:proofErr w:type="spellEnd"/>
      <w:r>
        <w:t xml:space="preserve">) </w:t>
      </w:r>
      <w:r w:rsidRPr="00B00626">
        <w:t>cells</w:t>
      </w:r>
      <w:r w:rsidRPr="00643A76">
        <w:t>, while</w:t>
      </w:r>
      <w:r>
        <w:t xml:space="preserve"> the cells</w:t>
      </w:r>
      <w:r w:rsidRPr="00643A76">
        <w:t xml:space="preserve"> </w:t>
      </w:r>
      <w:r w:rsidRPr="00B00626">
        <w:t xml:space="preserve">in </w:t>
      </w:r>
      <w:r w:rsidRPr="00643A76">
        <w:t xml:space="preserve">the basal/parabasal compartments </w:t>
      </w:r>
      <w:r w:rsidRPr="00B00626">
        <w:t>as</w:t>
      </w:r>
      <w:r w:rsidRPr="00643A76">
        <w:t xml:space="preserve"> depicted in </w:t>
      </w:r>
      <w:r>
        <w:t>C</w:t>
      </w:r>
      <w:r w:rsidRPr="00B00626">
        <w:t xml:space="preserve"> and </w:t>
      </w:r>
      <w:r w:rsidRPr="00643A76">
        <w:t>D</w:t>
      </w:r>
      <w:r w:rsidRPr="00B00626">
        <w:t xml:space="preserve"> show a disomic</w:t>
      </w:r>
      <w:r w:rsidRPr="00643A76">
        <w:t xml:space="preserve"> make</w:t>
      </w:r>
      <w:r>
        <w:t xml:space="preserve"> </w:t>
      </w:r>
      <w:r w:rsidRPr="00643A76">
        <w:t>up.</w:t>
      </w:r>
      <w:r>
        <w:t xml:space="preserve"> </w:t>
      </w:r>
    </w:p>
    <w:p w14:paraId="5B24938C" w14:textId="77777777" w:rsidR="009A4B3E" w:rsidRDefault="009A4B3E" w:rsidP="001620CC">
      <w:pPr>
        <w:spacing w:line="480" w:lineRule="auto"/>
        <w:rPr>
          <w:highlight w:val="yellow"/>
        </w:rPr>
      </w:pPr>
    </w:p>
    <w:sectPr w:rsidR="009A4B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0CC"/>
    <w:rsid w:val="001620CC"/>
    <w:rsid w:val="003F4040"/>
    <w:rsid w:val="005E520D"/>
    <w:rsid w:val="006B3E30"/>
    <w:rsid w:val="008D7C06"/>
    <w:rsid w:val="009A4B3E"/>
    <w:rsid w:val="00B02A09"/>
    <w:rsid w:val="00BD1847"/>
    <w:rsid w:val="00C77782"/>
    <w:rsid w:val="00F92DFC"/>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962E"/>
  <w15:chartTrackingRefBased/>
  <w15:docId w15:val="{5D01C49E-A1B0-4B41-B786-F93FBA64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0C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620CC"/>
    <w:rPr>
      <w:i/>
      <w:iCs/>
    </w:rPr>
  </w:style>
  <w:style w:type="character" w:styleId="Hyperlink">
    <w:name w:val="Hyperlink"/>
    <w:basedOn w:val="DefaultParagraphFont"/>
    <w:uiPriority w:val="99"/>
    <w:unhideWhenUsed/>
    <w:rsid w:val="001620CC"/>
    <w:rPr>
      <w:color w:val="0000FF"/>
      <w:u w:val="single"/>
    </w:rPr>
  </w:style>
  <w:style w:type="paragraph" w:customStyle="1" w:styleId="authors">
    <w:name w:val="authors"/>
    <w:basedOn w:val="Normal"/>
    <w:uiPriority w:val="99"/>
    <w:rsid w:val="001620CC"/>
    <w:pPr>
      <w:spacing w:before="100" w:beforeAutospacing="1" w:after="100" w:afterAutospacing="1"/>
    </w:pPr>
    <w:rPr>
      <w:rFonts w:ascii="Arial Unicode MS"/>
    </w:rPr>
  </w:style>
  <w:style w:type="paragraph" w:customStyle="1" w:styleId="p">
    <w:name w:val="p"/>
    <w:basedOn w:val="Normal"/>
    <w:rsid w:val="001620CC"/>
    <w:pPr>
      <w:spacing w:before="100" w:beforeAutospacing="1" w:after="100" w:afterAutospacing="1"/>
    </w:pPr>
    <w:rPr>
      <w:lang w:val="nl-NL" w:eastAsia="nl-NL"/>
    </w:rPr>
  </w:style>
  <w:style w:type="character" w:customStyle="1" w:styleId="apple-converted-space">
    <w:name w:val="apple-converted-space"/>
    <w:basedOn w:val="DefaultParagraphFont"/>
    <w:rsid w:val="001620CC"/>
  </w:style>
  <w:style w:type="table" w:styleId="PlainTable2">
    <w:name w:val="Plain Table 2"/>
    <w:basedOn w:val="TableNormal"/>
    <w:uiPriority w:val="42"/>
    <w:rsid w:val="001620CC"/>
    <w:pPr>
      <w:spacing w:after="0" w:line="240" w:lineRule="auto"/>
    </w:pPr>
    <w:rPr>
      <w:lang w:val="nl-N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illi-" TargetMode="External"/><Relationship Id="rId3" Type="http://schemas.openxmlformats.org/officeDocument/2006/relationships/webSettings" Target="webSettings.xml"/><Relationship Id="rId7" Type="http://schemas.openxmlformats.org/officeDocument/2006/relationships/hyperlink" Target="https://en.wikipedia.org/wiki/Sodium_chlori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Molar_(concentration)" TargetMode="External"/><Relationship Id="rId11" Type="http://schemas.openxmlformats.org/officeDocument/2006/relationships/fontTable" Target="fontTable.xml"/><Relationship Id="rId5" Type="http://schemas.openxmlformats.org/officeDocument/2006/relationships/hyperlink" Target="https://en.wikipedia.org/wiki/Maryland" TargetMode="External"/><Relationship Id="rId10" Type="http://schemas.openxmlformats.org/officeDocument/2006/relationships/hyperlink" Target="https://en.wikipedia.org/wiki/PH" TargetMode="External"/><Relationship Id="rId4" Type="http://schemas.openxmlformats.org/officeDocument/2006/relationships/hyperlink" Target="mailto:hopman@maastrichtuniversity.nl" TargetMode="External"/><Relationship Id="rId9" Type="http://schemas.openxmlformats.org/officeDocument/2006/relationships/hyperlink" Target="https://en.wikipedia.org/wiki/Trisodium_cit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hopman</dc:creator>
  <cp:keywords/>
  <dc:description/>
  <cp:lastModifiedBy>anton hopman</cp:lastModifiedBy>
  <cp:revision>2</cp:revision>
  <dcterms:created xsi:type="dcterms:W3CDTF">2022-04-14T13:48:00Z</dcterms:created>
  <dcterms:modified xsi:type="dcterms:W3CDTF">2022-04-14T13:48:00Z</dcterms:modified>
</cp:coreProperties>
</file>