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65" w:rsidRPr="00F7150A" w:rsidRDefault="00C77665" w:rsidP="0004395F">
      <w:pPr>
        <w:jc w:val="center"/>
        <w:rPr>
          <w:b/>
          <w:color w:val="000000" w:themeColor="text1"/>
          <w:sz w:val="36"/>
          <w:szCs w:val="36"/>
        </w:rPr>
      </w:pPr>
      <w:r w:rsidRPr="00F7150A">
        <w:rPr>
          <w:b/>
          <w:color w:val="000000" w:themeColor="text1"/>
          <w:sz w:val="36"/>
          <w:szCs w:val="36"/>
        </w:rPr>
        <w:t>Supplemental Information</w:t>
      </w:r>
    </w:p>
    <w:p w:rsidR="0004395F" w:rsidRDefault="0004395F" w:rsidP="0004395F">
      <w:pPr>
        <w:jc w:val="center"/>
        <w:rPr>
          <w:b/>
          <w:color w:val="000000" w:themeColor="text1"/>
          <w:vertAlign w:val="subscript"/>
        </w:rPr>
      </w:pPr>
      <w:r>
        <w:rPr>
          <w:b/>
          <w:color w:val="000000" w:themeColor="text1"/>
        </w:rPr>
        <w:t>Quantum Disordered Ground State in the Heisenberg-Kitaev Candidate NaRuO</w:t>
      </w:r>
      <w:r w:rsidRPr="007D7F11">
        <w:rPr>
          <w:b/>
          <w:color w:val="000000" w:themeColor="text1"/>
          <w:vertAlign w:val="subscript"/>
        </w:rPr>
        <w:t>2</w:t>
      </w:r>
    </w:p>
    <w:p w:rsidR="0004395F" w:rsidRPr="005945E9" w:rsidRDefault="0004395F" w:rsidP="0004395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Brenden R. Ortiz, Paul Sarte, Alon Hendler </w:t>
      </w:r>
      <w:proofErr w:type="spellStart"/>
      <w:r>
        <w:rPr>
          <w:color w:val="000000" w:themeColor="text1"/>
        </w:rPr>
        <w:t>Avidor</w:t>
      </w:r>
      <w:proofErr w:type="spellEnd"/>
      <w:r>
        <w:rPr>
          <w:color w:val="000000" w:themeColor="text1"/>
        </w:rPr>
        <w:t>,</w:t>
      </w:r>
      <w:r w:rsidRPr="0092561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Aurland</w:t>
      </w:r>
      <w:proofErr w:type="spellEnd"/>
      <w:r>
        <w:rPr>
          <w:color w:val="000000" w:themeColor="text1"/>
        </w:rPr>
        <w:t xml:space="preserve"> Hay, Eric Kenney, Alexander I. </w:t>
      </w:r>
      <w:proofErr w:type="spellStart"/>
      <w:r>
        <w:rPr>
          <w:color w:val="000000" w:themeColor="text1"/>
        </w:rPr>
        <w:t>Kolisneikov</w:t>
      </w:r>
      <w:proofErr w:type="spellEnd"/>
      <w:r>
        <w:rPr>
          <w:color w:val="000000" w:themeColor="text1"/>
        </w:rPr>
        <w:t xml:space="preserve">, Adam A. Aczel, Craig </w:t>
      </w:r>
      <w:r w:rsidR="00204C62">
        <w:rPr>
          <w:color w:val="000000" w:themeColor="text1"/>
        </w:rPr>
        <w:t xml:space="preserve">M. </w:t>
      </w:r>
      <w:r>
        <w:rPr>
          <w:color w:val="000000" w:themeColor="text1"/>
        </w:rPr>
        <w:t xml:space="preserve">Brown, </w:t>
      </w:r>
      <w:proofErr w:type="spellStart"/>
      <w:r>
        <w:rPr>
          <w:color w:val="000000" w:themeColor="text1"/>
        </w:rPr>
        <w:t>Chennan</w:t>
      </w:r>
      <w:proofErr w:type="spellEnd"/>
      <w:r>
        <w:rPr>
          <w:color w:val="000000" w:themeColor="text1"/>
        </w:rPr>
        <w:t xml:space="preserve"> </w:t>
      </w:r>
      <w:r w:rsidR="00204C62">
        <w:rPr>
          <w:color w:val="000000" w:themeColor="text1"/>
        </w:rPr>
        <w:t>W</w:t>
      </w:r>
      <w:r>
        <w:rPr>
          <w:color w:val="000000" w:themeColor="text1"/>
        </w:rPr>
        <w:t xml:space="preserve">ang, M. J. Graf, Ram Seshadri, Leon </w:t>
      </w:r>
      <w:proofErr w:type="spellStart"/>
      <w:r w:rsidRPr="00D528E7">
        <w:rPr>
          <w:color w:val="000000" w:themeColor="text1"/>
        </w:rPr>
        <w:t>Balents</w:t>
      </w:r>
      <w:proofErr w:type="spellEnd"/>
      <w:r>
        <w:rPr>
          <w:color w:val="000000" w:themeColor="text1"/>
        </w:rPr>
        <w:t xml:space="preserve">, </w:t>
      </w:r>
      <w:r w:rsidRPr="00D528E7">
        <w:rPr>
          <w:color w:val="000000" w:themeColor="text1"/>
        </w:rPr>
        <w:t>Stephen</w:t>
      </w:r>
      <w:r>
        <w:rPr>
          <w:color w:val="000000" w:themeColor="text1"/>
        </w:rPr>
        <w:t xml:space="preserve"> D. Wilson</w:t>
      </w:r>
      <w:r>
        <w:rPr>
          <w:color w:val="000000" w:themeColor="text1"/>
          <w:vertAlign w:val="superscript"/>
        </w:rPr>
        <w:t xml:space="preserve"> </w:t>
      </w:r>
    </w:p>
    <w:p w:rsidR="0004395F" w:rsidRDefault="0004395F"/>
    <w:p w:rsidR="00FC6BA3" w:rsidRDefault="00F5515F" w:rsidP="00C77665">
      <w:pPr>
        <w:jc w:val="center"/>
      </w:pPr>
      <w:r>
        <w:rPr>
          <w:noProof/>
        </w:rPr>
        <w:drawing>
          <wp:inline distT="0" distB="0" distL="0" distR="0">
            <wp:extent cx="5426765" cy="550437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53" cy="555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65" w:rsidRDefault="00C77665" w:rsidP="00C77665">
      <w:pPr>
        <w:jc w:val="both"/>
      </w:pPr>
      <w:r w:rsidRPr="00C77665">
        <w:rPr>
          <w:b/>
        </w:rPr>
        <w:t>Supplemental Figure 1</w:t>
      </w:r>
      <w:r>
        <w:t xml:space="preserve">:  X-ray and neutron diffraction data collected at 5 K and 300 K and 1.5 K and 300 K respectively.  Red lines show the output of the structural refinement model and blue lines denote the difference between the model and the data.  Neutron data were collected on BT-1 at the NIST Center for Neutron Research and synchrotron x-ray data were collected at 11-BM at the Advanced Photon Source. </w:t>
      </w:r>
    </w:p>
    <w:p w:rsidR="00780A4D" w:rsidRDefault="00780A4D"/>
    <w:p w:rsidR="00F5515F" w:rsidRDefault="00780A4D" w:rsidP="00780A4D">
      <w:pPr>
        <w:jc w:val="center"/>
      </w:pPr>
      <w:r w:rsidRPr="00780A4D">
        <w:rPr>
          <w:noProof/>
        </w:rPr>
        <w:drawing>
          <wp:inline distT="0" distB="0" distL="0" distR="0" wp14:anchorId="3A004809" wp14:editId="1CF07F81">
            <wp:extent cx="5118735" cy="6877158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73"/>
                    <a:stretch/>
                  </pic:blipFill>
                  <pic:spPr bwMode="auto">
                    <a:xfrm>
                      <a:off x="0" y="0"/>
                      <a:ext cx="5125078" cy="688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50A" w:rsidRDefault="00780A4D" w:rsidP="00F4208F">
      <w:pPr>
        <w:jc w:val="both"/>
      </w:pPr>
      <w:r w:rsidRPr="00C77665">
        <w:rPr>
          <w:b/>
        </w:rPr>
        <w:t xml:space="preserve">Supplemental </w:t>
      </w:r>
      <w:r w:rsidR="00CD3353">
        <w:rPr>
          <w:b/>
        </w:rPr>
        <w:t>Table 1</w:t>
      </w:r>
      <w:r>
        <w:t>:  Crystallographic parameters for NaRuO</w:t>
      </w:r>
      <w:r w:rsidRPr="00F7150A">
        <w:rPr>
          <w:vertAlign w:val="subscript"/>
        </w:rPr>
        <w:t>2</w:t>
      </w:r>
      <w:r>
        <w:t xml:space="preserve"> using</w:t>
      </w:r>
      <w:r w:rsidR="00CD3353">
        <w:t xml:space="preserve"> </w:t>
      </w:r>
      <w:r>
        <w:t>both neutron and synchrotron di</w:t>
      </w:r>
      <w:r w:rsidR="00CD3353">
        <w:t>ff</w:t>
      </w:r>
      <w:r>
        <w:t>raction data. Occupancy</w:t>
      </w:r>
      <w:r w:rsidR="00CD3353">
        <w:t xml:space="preserve"> </w:t>
      </w:r>
      <w:r>
        <w:t>values re</w:t>
      </w:r>
      <w:r w:rsidR="00CD3353">
        <w:t>fi</w:t>
      </w:r>
      <w:r>
        <w:t xml:space="preserve">ne to within unity and were </w:t>
      </w:r>
      <w:r w:rsidR="00CD3353">
        <w:t>fi</w:t>
      </w:r>
      <w:r>
        <w:t xml:space="preserve">xed for later analysis. For synchrotron data, the </w:t>
      </w:r>
      <w:proofErr w:type="spellStart"/>
      <w:r>
        <w:t>B</w:t>
      </w:r>
      <w:r w:rsidRPr="00CD3353">
        <w:rPr>
          <w:vertAlign w:val="subscript"/>
        </w:rPr>
        <w:t>eq</w:t>
      </w:r>
      <w:proofErr w:type="spellEnd"/>
      <w:r>
        <w:t xml:space="preserve"> for oxygen was constrained</w:t>
      </w:r>
      <w:r w:rsidR="00CD3353">
        <w:t xml:space="preserve"> </w:t>
      </w:r>
      <w:r>
        <w:t>near that of the neutron data.</w:t>
      </w:r>
      <w:r w:rsidR="00F4208F">
        <w:t xml:space="preserve">  Values in parenthesis are one standard deviation.</w:t>
      </w:r>
      <w:bookmarkStart w:id="0" w:name="_GoBack"/>
      <w:bookmarkEnd w:id="0"/>
      <w:r w:rsidR="00F7150A">
        <w:br w:type="page"/>
      </w:r>
    </w:p>
    <w:p w:rsidR="00F7150A" w:rsidRDefault="00F7150A" w:rsidP="00F7150A">
      <w:pPr>
        <w:jc w:val="center"/>
      </w:pPr>
      <w:r>
        <w:rPr>
          <w:noProof/>
        </w:rPr>
        <w:lastRenderedPageBreak/>
        <w:drawing>
          <wp:inline distT="0" distB="0" distL="0" distR="0" wp14:anchorId="4F547632" wp14:editId="764746EF">
            <wp:extent cx="4071068" cy="3889822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58" cy="392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0A" w:rsidRDefault="00F7150A" w:rsidP="00F7150A">
      <w:pPr>
        <w:jc w:val="both"/>
        <w:rPr>
          <w:rFonts w:eastAsiaTheme="minorEastAsia"/>
        </w:rPr>
      </w:pPr>
      <w:r w:rsidRPr="00C77665">
        <w:rPr>
          <w:b/>
        </w:rPr>
        <w:t xml:space="preserve">Supplemental </w:t>
      </w:r>
      <w:r>
        <w:rPr>
          <w:b/>
        </w:rPr>
        <w:t>Figure 2</w:t>
      </w:r>
      <w:r>
        <w:t xml:space="preserve">:  </w:t>
      </w:r>
      <w:r w:rsidR="00F309CF">
        <w:t xml:space="preserve">Frequency dependence of the </w:t>
      </w:r>
      <w:r w:rsidR="00EC740A">
        <w:t>low-temperature cusp in the AC susceptibility of NaRuO</w:t>
      </w:r>
      <w:r w:rsidR="00EC740A" w:rsidRPr="00EC740A">
        <w:rPr>
          <w:vertAlign w:val="subscript"/>
        </w:rPr>
        <w:t>2</w:t>
      </w:r>
      <w:r>
        <w:t>.</w:t>
      </w:r>
      <w:r w:rsidR="00EC740A">
        <w:t xml:space="preserve">  The resulting </w:t>
      </w:r>
      <w:proofErr w:type="spellStart"/>
      <w:r w:rsidR="00EC740A">
        <w:t>Mydosh</w:t>
      </w:r>
      <w:proofErr w:type="spellEnd"/>
      <w:r w:rsidR="00EC740A">
        <w:t xml:space="preserve"> parameter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log⁡</m:t>
            </m:r>
            <m: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f)</m:t>
            </m:r>
          </m:den>
        </m:f>
        <m:r>
          <w:rPr>
            <w:rFonts w:ascii="Cambria Math" w:hAnsi="Cambria Math"/>
          </w:rPr>
          <m:t>=0.029</m:t>
        </m:r>
      </m:oMath>
      <w:r w:rsidR="00EC740A">
        <w:rPr>
          <w:rFonts w:eastAsiaTheme="minorEastAsia"/>
        </w:rPr>
        <w:t xml:space="preserve"> is a</w:t>
      </w:r>
      <w:r w:rsidR="00141523">
        <w:rPr>
          <w:rFonts w:eastAsiaTheme="minorEastAsia"/>
        </w:rPr>
        <w:t>n</w:t>
      </w:r>
      <w:r w:rsidR="008A2834">
        <w:rPr>
          <w:rFonts w:eastAsiaTheme="minorEastAsia"/>
        </w:rPr>
        <w:t xml:space="preserve"> unusual</w:t>
      </w:r>
      <w:r w:rsidR="00141523">
        <w:rPr>
          <w:rFonts w:eastAsiaTheme="minorEastAsia"/>
        </w:rPr>
        <w:t xml:space="preserve"> intermediate value</w:t>
      </w:r>
      <w:r w:rsidR="008A2834">
        <w:rPr>
          <w:rFonts w:eastAsiaTheme="minorEastAsia"/>
        </w:rPr>
        <w:t>.  It</w:t>
      </w:r>
      <w:r w:rsidR="00EC740A">
        <w:rPr>
          <w:rFonts w:eastAsiaTheme="minorEastAsia"/>
        </w:rPr>
        <w:t xml:space="preserve"> </w:t>
      </w:r>
      <w:r w:rsidR="008A2834">
        <w:rPr>
          <w:rFonts w:eastAsiaTheme="minorEastAsia"/>
        </w:rPr>
        <w:t xml:space="preserve">is </w:t>
      </w:r>
      <w:r w:rsidR="00EC740A">
        <w:rPr>
          <w:rFonts w:eastAsiaTheme="minorEastAsia"/>
        </w:rPr>
        <w:t xml:space="preserve">significantly smaller than that expected for a </w:t>
      </w:r>
      <w:proofErr w:type="spellStart"/>
      <w:r w:rsidR="00EC740A">
        <w:rPr>
          <w:rFonts w:eastAsiaTheme="minorEastAsia"/>
        </w:rPr>
        <w:t>superparamagnet</w:t>
      </w:r>
      <w:proofErr w:type="spellEnd"/>
      <w:r w:rsidR="00EC740A">
        <w:rPr>
          <w:rFonts w:eastAsiaTheme="minorEastAsia"/>
        </w:rPr>
        <w:t xml:space="preserve"> and significantly larger than that expected for a conventional spin glass.</w:t>
      </w:r>
      <w:r w:rsidR="00EE5FE3" w:rsidRPr="00EE5FE3">
        <w:rPr>
          <w:rFonts w:eastAsiaTheme="minorEastAsia"/>
          <w:vertAlign w:val="superscript"/>
        </w:rPr>
        <w:t>1,2</w:t>
      </w:r>
      <w:r w:rsidR="00141523">
        <w:rPr>
          <w:rFonts w:eastAsiaTheme="minorEastAsia"/>
          <w:vertAlign w:val="superscript"/>
        </w:rPr>
        <w:t>,3</w:t>
      </w:r>
      <w:r w:rsidR="00141523">
        <w:rPr>
          <w:rFonts w:eastAsiaTheme="minorEastAsia"/>
        </w:rPr>
        <w:t xml:space="preserve"> This weak freezing represents a small amount of entropy and marks a crossover into a state with persistent spin fluctuations as described in the main text of the manuscript.</w:t>
      </w:r>
    </w:p>
    <w:p w:rsidR="008A2834" w:rsidRDefault="008A2834">
      <w:r>
        <w:br w:type="page"/>
      </w:r>
    </w:p>
    <w:p w:rsidR="008A2834" w:rsidRPr="00141523" w:rsidRDefault="008A2834" w:rsidP="00F7150A">
      <w:pPr>
        <w:jc w:val="both"/>
      </w:pPr>
    </w:p>
    <w:p w:rsidR="00780A4D" w:rsidRDefault="00780A4D" w:rsidP="00780A4D">
      <w:pPr>
        <w:jc w:val="center"/>
      </w:pPr>
    </w:p>
    <w:p w:rsidR="00F5515F" w:rsidRDefault="00F5515F" w:rsidP="008A2834">
      <w:pPr>
        <w:jc w:val="center"/>
      </w:pPr>
      <w:r>
        <w:rPr>
          <w:noProof/>
        </w:rPr>
        <w:drawing>
          <wp:inline distT="0" distB="0" distL="0" distR="0">
            <wp:extent cx="4896538" cy="467934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620" cy="47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34" w:rsidRDefault="008A2834" w:rsidP="008A2834">
      <w:pPr>
        <w:jc w:val="both"/>
        <w:rPr>
          <w:rFonts w:eastAsiaTheme="minorEastAsia"/>
        </w:rPr>
      </w:pPr>
      <w:r w:rsidRPr="00C77665">
        <w:rPr>
          <w:b/>
        </w:rPr>
        <w:t xml:space="preserve">Supplemental </w:t>
      </w:r>
      <w:r>
        <w:rPr>
          <w:b/>
        </w:rPr>
        <w:t>Figure 3</w:t>
      </w:r>
      <w:r>
        <w:t xml:space="preserve">:  </w:t>
      </w:r>
      <w:r w:rsidR="00A26A67">
        <w:t xml:space="preserve">Fit parameters resulting from the model of the longitudinal field muon spin polarization data </w:t>
      </w:r>
      <w:r w:rsidR="0017359B">
        <w:t xml:space="preserve">at 1.5 K where the polarization is parameterized by the form </w:t>
      </w:r>
      <m:oMath>
        <m:r>
          <w:rPr>
            <w:rFonts w:ascii="Cambria Math" w:hAnsi="Cambria Math" w:cstheme="minorHAnsi"/>
          </w:rPr>
          <m:t xml:space="preserve"> P(t)=GbG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>Δ</m:t>
            </m:r>
            <m:r>
              <w:rPr>
                <w:rFonts w:ascii="Cambria Math" w:hAnsi="Cambria Math" w:cstheme="minorHAnsi"/>
              </w:rPr>
              <m:t>;R;t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(-λ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GbG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t)</m:t>
                </m:r>
              </m:e>
              <m:sup>
                <m:r>
                  <w:rPr>
                    <w:rFonts w:ascii="Cambria Math" w:hAnsi="Cambria Math" w:cstheme="minorHAnsi"/>
                  </w:rPr>
                  <m:t>β</m:t>
                </m:r>
              </m:sup>
            </m:sSup>
          </m:sup>
        </m:sSup>
      </m:oMath>
      <w:r w:rsidR="0017359B">
        <w:t xml:space="preserve"> </w:t>
      </w:r>
      <w:r w:rsidR="00A26A67">
        <w:t>.</w:t>
      </w:r>
      <w:r w:rsidR="00A26A67">
        <w:rPr>
          <w:rFonts w:eastAsiaTheme="minorEastAsia"/>
        </w:rPr>
        <w:t xml:space="preserve">  The relaxation rate </w:t>
      </w:r>
      <w:r w:rsidR="0017359B" w:rsidRPr="0017359B">
        <w:rPr>
          <w:rFonts w:ascii="Symbol" w:eastAsiaTheme="minorEastAsia" w:hAnsi="Symbol"/>
          <w:i/>
        </w:rPr>
        <w:t></w:t>
      </w:r>
      <w:r w:rsidR="0017359B" w:rsidRPr="0017359B">
        <w:rPr>
          <w:rFonts w:eastAsiaTheme="minorEastAsia"/>
          <w:i/>
          <w:vertAlign w:val="subscript"/>
        </w:rPr>
        <w:t>GBG</w:t>
      </w:r>
      <w:r w:rsidR="0017359B">
        <w:rPr>
          <w:rFonts w:eastAsiaTheme="minorEastAsia"/>
        </w:rPr>
        <w:t xml:space="preserve"> </w:t>
      </w:r>
      <w:r w:rsidR="00A26A67">
        <w:rPr>
          <w:rFonts w:eastAsiaTheme="minorEastAsia"/>
        </w:rPr>
        <w:t xml:space="preserve">(left axis) and stretched exponent </w:t>
      </w:r>
      <w:r w:rsidR="00A26A67" w:rsidRPr="0017359B">
        <w:rPr>
          <w:rFonts w:ascii="Symbol" w:eastAsiaTheme="minorEastAsia" w:hAnsi="Symbol"/>
        </w:rPr>
        <w:t></w:t>
      </w:r>
      <w:r w:rsidR="00A26A67">
        <w:rPr>
          <w:rFonts w:eastAsiaTheme="minorEastAsia"/>
        </w:rPr>
        <w:t xml:space="preserve"> (right axis) are plotted as a function of the applied longitudinal magnetic field.  Error bars represent one standard deviation.</w:t>
      </w:r>
    </w:p>
    <w:p w:rsidR="008A2834" w:rsidRDefault="008A2834" w:rsidP="008A2834">
      <w:pPr>
        <w:jc w:val="center"/>
      </w:pPr>
    </w:p>
    <w:p w:rsidR="00F5515F" w:rsidRDefault="00F5515F"/>
    <w:p w:rsidR="00F5515F" w:rsidRDefault="00F5515F"/>
    <w:p w:rsidR="00F5515F" w:rsidRDefault="00F5515F"/>
    <w:p w:rsidR="00F5515F" w:rsidRDefault="00F5515F"/>
    <w:p w:rsidR="00F5515F" w:rsidRDefault="00F5515F"/>
    <w:p w:rsidR="00EE5FE3" w:rsidRPr="00141523" w:rsidRDefault="00EE5FE3">
      <w:pPr>
        <w:rPr>
          <w:b/>
        </w:rPr>
      </w:pPr>
      <w:r w:rsidRPr="00141523">
        <w:rPr>
          <w:b/>
        </w:rPr>
        <w:lastRenderedPageBreak/>
        <w:t>References:</w:t>
      </w:r>
    </w:p>
    <w:p w:rsidR="00EE5FE3" w:rsidRDefault="00EE5FE3">
      <w:r>
        <w:t xml:space="preserve">[1] </w:t>
      </w:r>
      <w:r w:rsidRPr="00EE5FE3">
        <w:t>H D Zhou</w:t>
      </w:r>
      <w:r>
        <w:t>,</w:t>
      </w:r>
      <w:r w:rsidRPr="00EE5FE3">
        <w:t xml:space="preserve"> C R Wiebe, A Harter, N S Dalal</w:t>
      </w:r>
      <w:r>
        <w:t>,</w:t>
      </w:r>
      <w:r w:rsidRPr="00EE5FE3">
        <w:t xml:space="preserve"> and J S Gardner</w:t>
      </w:r>
      <w:r>
        <w:t xml:space="preserve"> “</w:t>
      </w:r>
      <w:r w:rsidRPr="00EE5FE3">
        <w:t>Unconventional spin glass behavior in the cubic pyrochlore Mn2Sb2O7</w:t>
      </w:r>
      <w:r>
        <w:t xml:space="preserve">” </w:t>
      </w:r>
      <w:r w:rsidRPr="00EE5FE3">
        <w:t xml:space="preserve">J. Phys.: </w:t>
      </w:r>
      <w:proofErr w:type="spellStart"/>
      <w:r w:rsidRPr="00EE5FE3">
        <w:t>Condens</w:t>
      </w:r>
      <w:proofErr w:type="spellEnd"/>
      <w:r w:rsidRPr="00EE5FE3">
        <w:t>. Matter 20</w:t>
      </w:r>
      <w:r>
        <w:t>,</w:t>
      </w:r>
      <w:r w:rsidRPr="00EE5FE3">
        <w:t xml:space="preserve"> 325201</w:t>
      </w:r>
      <w:r>
        <w:t xml:space="preserve"> (2008).</w:t>
      </w:r>
    </w:p>
    <w:p w:rsidR="00EE5FE3" w:rsidRDefault="00EE5FE3" w:rsidP="00EE5FE3">
      <w:r>
        <w:t xml:space="preserve">[2] </w:t>
      </w:r>
      <w:r w:rsidRPr="00EE5FE3">
        <w:t xml:space="preserve">Johannes </w:t>
      </w:r>
      <w:proofErr w:type="spellStart"/>
      <w:proofErr w:type="gramStart"/>
      <w:r w:rsidRPr="00EE5FE3">
        <w:t>Kroder,a</w:t>
      </w:r>
      <w:proofErr w:type="spellEnd"/>
      <w:proofErr w:type="gramEnd"/>
      <w:r w:rsidRPr="00EE5FE3">
        <w:t xml:space="preserve">) Johannes </w:t>
      </w:r>
      <w:proofErr w:type="spellStart"/>
      <w:r w:rsidRPr="00EE5FE3">
        <w:t>Gooth</w:t>
      </w:r>
      <w:proofErr w:type="spellEnd"/>
      <w:r w:rsidRPr="00EE5FE3">
        <w:t xml:space="preserve">, Walter </w:t>
      </w:r>
      <w:proofErr w:type="spellStart"/>
      <w:r w:rsidRPr="00EE5FE3">
        <w:t>Schnelle</w:t>
      </w:r>
      <w:proofErr w:type="spellEnd"/>
      <w:r w:rsidRPr="00EE5FE3">
        <w:t xml:space="preserve">, Gerhard H. </w:t>
      </w:r>
      <w:proofErr w:type="spellStart"/>
      <w:r w:rsidRPr="00EE5FE3">
        <w:t>Fecher</w:t>
      </w:r>
      <w:proofErr w:type="spellEnd"/>
      <w:r w:rsidRPr="00EE5FE3">
        <w:t xml:space="preserve">, and Claudia </w:t>
      </w:r>
      <w:proofErr w:type="spellStart"/>
      <w:r w:rsidRPr="00EE5FE3">
        <w:t>Felser</w:t>
      </w:r>
      <w:proofErr w:type="spellEnd"/>
      <w:r>
        <w:t xml:space="preserve"> “Observation of spin glass behavior in chiral Mn</w:t>
      </w:r>
      <w:r w:rsidRPr="00EE5FE3">
        <w:rPr>
          <w:vertAlign w:val="subscript"/>
        </w:rPr>
        <w:t>48</w:t>
      </w:r>
      <w:r>
        <w:t>Fe</w:t>
      </w:r>
      <w:r w:rsidRPr="00EE5FE3">
        <w:rPr>
          <w:vertAlign w:val="subscript"/>
        </w:rPr>
        <w:t>34</w:t>
      </w:r>
      <w:r>
        <w:t>Si</w:t>
      </w:r>
      <w:r w:rsidRPr="00EE5FE3">
        <w:rPr>
          <w:vertAlign w:val="subscript"/>
        </w:rPr>
        <w:t>18</w:t>
      </w:r>
      <w:r>
        <w:t xml:space="preserve"> with a β-Mn related structure” </w:t>
      </w:r>
      <w:r w:rsidRPr="00EE5FE3">
        <w:t>AIP Advances 9, 055327 (2019)</w:t>
      </w:r>
      <w:r>
        <w:t>.</w:t>
      </w:r>
    </w:p>
    <w:p w:rsidR="00141523" w:rsidRDefault="00141523" w:rsidP="00EE5FE3">
      <w:r>
        <w:t xml:space="preserve">[3] J. A. </w:t>
      </w:r>
      <w:proofErr w:type="spellStart"/>
      <w:r w:rsidRPr="00141523">
        <w:t>Mydosh</w:t>
      </w:r>
      <w:proofErr w:type="spellEnd"/>
      <w:r w:rsidRPr="00141523">
        <w:t xml:space="preserve"> Spin Glasses: An Experimental Introduction</w:t>
      </w:r>
      <w:r>
        <w:t xml:space="preserve"> (1993).</w:t>
      </w:r>
    </w:p>
    <w:p w:rsidR="00F5515F" w:rsidRDefault="00F5515F"/>
    <w:sectPr w:rsidR="00F5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5F"/>
    <w:rsid w:val="0004395F"/>
    <w:rsid w:val="00141523"/>
    <w:rsid w:val="0017359B"/>
    <w:rsid w:val="00204C62"/>
    <w:rsid w:val="00780A4D"/>
    <w:rsid w:val="008A2834"/>
    <w:rsid w:val="00A26A67"/>
    <w:rsid w:val="00B03BBC"/>
    <w:rsid w:val="00C77665"/>
    <w:rsid w:val="00CD3353"/>
    <w:rsid w:val="00EC740A"/>
    <w:rsid w:val="00EE5FE3"/>
    <w:rsid w:val="00F309CF"/>
    <w:rsid w:val="00F4208F"/>
    <w:rsid w:val="00F5515F"/>
    <w:rsid w:val="00F7150A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DD70"/>
  <w15:chartTrackingRefBased/>
  <w15:docId w15:val="{29EC28D8-9F3B-4861-998A-7923A4A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8</cp:revision>
  <dcterms:created xsi:type="dcterms:W3CDTF">2022-03-27T07:14:00Z</dcterms:created>
  <dcterms:modified xsi:type="dcterms:W3CDTF">2022-03-29T05:35:00Z</dcterms:modified>
</cp:coreProperties>
</file>