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A2" w:rsidRPr="000F5C20" w:rsidRDefault="00276EA2" w:rsidP="00276EA2">
      <w:pPr>
        <w:autoSpaceDE w:val="0"/>
        <w:autoSpaceDN w:val="0"/>
        <w:adjustRightInd w:val="0"/>
        <w:jc w:val="left"/>
        <w:rPr>
          <w:rFonts w:ascii="Times New Roman" w:hAnsi="Times New Roman" w:cs="Times New Roman"/>
          <w:b/>
          <w:sz w:val="20"/>
          <w:szCs w:val="20"/>
        </w:rPr>
      </w:pPr>
      <w:r w:rsidRPr="000F5C20">
        <w:rPr>
          <w:rFonts w:ascii="Times New Roman" w:hAnsi="Times New Roman" w:cs="Times New Roman"/>
          <w:b/>
          <w:sz w:val="20"/>
          <w:szCs w:val="20"/>
        </w:rPr>
        <w:t>Supplemental Information</w:t>
      </w:r>
      <w:r w:rsidR="0000160D">
        <w:rPr>
          <w:rFonts w:ascii="Times New Roman" w:hAnsi="Times New Roman" w:cs="Times New Roman"/>
          <w:b/>
          <w:sz w:val="20"/>
          <w:szCs w:val="20"/>
        </w:rPr>
        <w:t xml:space="preserve"> </w:t>
      </w:r>
      <w:r w:rsidR="00053E63">
        <w:rPr>
          <w:rFonts w:ascii="Times New Roman" w:hAnsi="Times New Roman" w:cs="Times New Roman"/>
          <w:b/>
          <w:sz w:val="20"/>
          <w:szCs w:val="20"/>
        </w:rPr>
        <w:t>(SI)</w:t>
      </w:r>
    </w:p>
    <w:p w:rsidR="00276EA2" w:rsidRPr="000F5C20" w:rsidRDefault="00276EA2" w:rsidP="00276EA2">
      <w:pPr>
        <w:spacing w:line="520" w:lineRule="exact"/>
        <w:jc w:val="center"/>
        <w:rPr>
          <w:rFonts w:ascii="Times New Roman" w:hAnsi="Times New Roman" w:cs="Times New Roman"/>
          <w:b/>
          <w:sz w:val="20"/>
          <w:szCs w:val="20"/>
        </w:rPr>
      </w:pPr>
      <w:r w:rsidRPr="000F5C20">
        <w:rPr>
          <w:rFonts w:ascii="Times New Roman" w:hAnsi="Times New Roman" w:cs="Times New Roman"/>
          <w:b/>
          <w:sz w:val="20"/>
          <w:szCs w:val="20"/>
        </w:rPr>
        <w:t xml:space="preserve">Role and Mechanism of </w:t>
      </w:r>
      <w:proofErr w:type="spellStart"/>
      <w:r w:rsidRPr="000F5C20">
        <w:rPr>
          <w:rFonts w:ascii="Times New Roman" w:hAnsi="Times New Roman" w:cs="Times New Roman"/>
          <w:b/>
          <w:sz w:val="20"/>
          <w:szCs w:val="20"/>
        </w:rPr>
        <w:t>Cotrimoxazole</w:t>
      </w:r>
      <w:proofErr w:type="spellEnd"/>
      <w:r w:rsidRPr="000F5C20">
        <w:rPr>
          <w:rFonts w:ascii="Times New Roman" w:hAnsi="Times New Roman" w:cs="Times New Roman"/>
          <w:b/>
          <w:sz w:val="20"/>
          <w:szCs w:val="20"/>
        </w:rPr>
        <w:t xml:space="preserve"> Resistance to </w:t>
      </w:r>
      <w:proofErr w:type="spellStart"/>
      <w:r w:rsidRPr="000F5C20">
        <w:rPr>
          <w:rFonts w:ascii="Times New Roman" w:hAnsi="Times New Roman" w:cs="Times New Roman"/>
          <w:b/>
          <w:i/>
          <w:sz w:val="20"/>
          <w:szCs w:val="20"/>
        </w:rPr>
        <w:t>Talaromyces</w:t>
      </w:r>
      <w:proofErr w:type="spellEnd"/>
      <w:r w:rsidRPr="000F5C20">
        <w:rPr>
          <w:rFonts w:ascii="Times New Roman" w:hAnsi="Times New Roman" w:cs="Times New Roman"/>
          <w:b/>
          <w:i/>
          <w:sz w:val="20"/>
          <w:szCs w:val="20"/>
        </w:rPr>
        <w:t xml:space="preserve"> </w:t>
      </w:r>
      <w:proofErr w:type="spellStart"/>
      <w:r w:rsidRPr="000F5C20">
        <w:rPr>
          <w:rFonts w:ascii="Times New Roman" w:hAnsi="Times New Roman" w:cs="Times New Roman"/>
          <w:b/>
          <w:i/>
          <w:sz w:val="20"/>
          <w:szCs w:val="20"/>
        </w:rPr>
        <w:t>marneffei</w:t>
      </w:r>
      <w:proofErr w:type="spellEnd"/>
      <w:r w:rsidRPr="000F5C20">
        <w:rPr>
          <w:rFonts w:ascii="Times New Roman" w:hAnsi="Times New Roman" w:cs="Times New Roman"/>
          <w:b/>
          <w:i/>
          <w:sz w:val="20"/>
          <w:szCs w:val="20"/>
        </w:rPr>
        <w:t xml:space="preserve"> </w:t>
      </w:r>
      <w:r w:rsidRPr="000F5C20">
        <w:rPr>
          <w:rFonts w:ascii="Times New Roman" w:hAnsi="Times New Roman" w:cs="Times New Roman"/>
          <w:b/>
          <w:sz w:val="20"/>
          <w:szCs w:val="20"/>
        </w:rPr>
        <w:t>fungus in vitro</w:t>
      </w:r>
    </w:p>
    <w:p w:rsidR="00D715B9" w:rsidRPr="00A765AA" w:rsidRDefault="00D715B9" w:rsidP="00D715B9">
      <w:pPr>
        <w:spacing w:line="520" w:lineRule="exact"/>
        <w:rPr>
          <w:rFonts w:ascii="Times New Roman" w:hAnsi="Times New Roman" w:cs="Times New Roman"/>
          <w:sz w:val="20"/>
          <w:szCs w:val="20"/>
        </w:rPr>
      </w:pPr>
      <w:bookmarkStart w:id="0" w:name="OLE_LINK4"/>
      <w:proofErr w:type="spellStart"/>
      <w:r w:rsidRPr="00A765AA">
        <w:rPr>
          <w:rFonts w:ascii="Times New Roman" w:hAnsi="Times New Roman" w:cs="Times New Roman"/>
          <w:sz w:val="20"/>
          <w:szCs w:val="20"/>
        </w:rPr>
        <w:t>Jie</w:t>
      </w:r>
      <w:proofErr w:type="spellEnd"/>
      <w:r w:rsidRPr="00A765AA">
        <w:rPr>
          <w:rFonts w:ascii="Times New Roman" w:hAnsi="Times New Roman" w:cs="Times New Roman"/>
          <w:sz w:val="20"/>
          <w:szCs w:val="20"/>
        </w:rPr>
        <w:t xml:space="preserve"> Chen</w:t>
      </w:r>
      <w:r w:rsidR="00940010">
        <w:rPr>
          <w:rFonts w:ascii="Times New Roman" w:hAnsi="Times New Roman" w:cs="Times New Roman"/>
          <w:sz w:val="20"/>
          <w:szCs w:val="20"/>
          <w:vertAlign w:val="superscript"/>
        </w:rPr>
        <w:t>1,2,3</w:t>
      </w:r>
      <w:r w:rsidRPr="00A765AA">
        <w:rPr>
          <w:rFonts w:ascii="Times New Roman" w:hAnsi="Times New Roman" w:cs="Times New Roman"/>
          <w:sz w:val="20"/>
          <w:szCs w:val="20"/>
        </w:rPr>
        <w:t xml:space="preserve">, </w:t>
      </w:r>
      <w:proofErr w:type="spellStart"/>
      <w:r w:rsidRPr="00A765AA">
        <w:rPr>
          <w:rFonts w:ascii="Times New Roman" w:hAnsi="Times New Roman" w:cs="Times New Roman"/>
          <w:sz w:val="20"/>
          <w:szCs w:val="20"/>
        </w:rPr>
        <w:t>Rongfeng</w:t>
      </w:r>
      <w:proofErr w:type="spellEnd"/>
      <w:r w:rsidRPr="00A765AA">
        <w:rPr>
          <w:rFonts w:ascii="Times New Roman" w:hAnsi="Times New Roman" w:cs="Times New Roman"/>
          <w:sz w:val="20"/>
          <w:szCs w:val="20"/>
        </w:rPr>
        <w:t xml:space="preserve"> Chen</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w:t>
      </w:r>
      <w:r w:rsidRPr="008B2997">
        <w:rPr>
          <w:rFonts w:ascii="Times New Roman" w:hAnsi="Times New Roman" w:cs="Times New Roman"/>
          <w:sz w:val="20"/>
          <w:szCs w:val="20"/>
        </w:rPr>
        <w:t xml:space="preserve"> </w:t>
      </w:r>
      <w:proofErr w:type="spellStart"/>
      <w:r w:rsidRPr="00A765AA">
        <w:rPr>
          <w:rFonts w:ascii="Times New Roman" w:hAnsi="Times New Roman" w:cs="Times New Roman"/>
          <w:sz w:val="20"/>
          <w:szCs w:val="20"/>
        </w:rPr>
        <w:t>Wudi</w:t>
      </w:r>
      <w:proofErr w:type="spellEnd"/>
      <w:r w:rsidRPr="00A765AA">
        <w:rPr>
          <w:rFonts w:ascii="Times New Roman" w:hAnsi="Times New Roman" w:cs="Times New Roman"/>
          <w:sz w:val="20"/>
          <w:szCs w:val="20"/>
        </w:rPr>
        <w:t xml:space="preserve"> Wei</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 xml:space="preserve">, </w:t>
      </w:r>
      <w:proofErr w:type="spellStart"/>
      <w:r w:rsidRPr="008B2997">
        <w:rPr>
          <w:rFonts w:ascii="Times New Roman" w:hAnsi="Times New Roman" w:cs="Times New Roman"/>
          <w:sz w:val="20"/>
          <w:szCs w:val="20"/>
        </w:rPr>
        <w:t>Fengxiang</w:t>
      </w:r>
      <w:proofErr w:type="spellEnd"/>
      <w:r w:rsidRPr="008B2997">
        <w:rPr>
          <w:rFonts w:ascii="Times New Roman" w:hAnsi="Times New Roman" w:cs="Times New Roman"/>
          <w:sz w:val="20"/>
          <w:szCs w:val="20"/>
        </w:rPr>
        <w:t xml:space="preserve"> Qin</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w:t>
      </w:r>
      <w:r>
        <w:rPr>
          <w:rFonts w:ascii="Times New Roman" w:hAnsi="Times New Roman" w:cs="Times New Roman" w:hint="eastAsia"/>
          <w:sz w:val="20"/>
          <w:szCs w:val="20"/>
        </w:rPr>
        <w:t xml:space="preserve"> </w:t>
      </w:r>
      <w:proofErr w:type="spellStart"/>
      <w:r w:rsidRPr="00A765AA">
        <w:rPr>
          <w:rFonts w:ascii="Times New Roman" w:hAnsi="Times New Roman" w:cs="Times New Roman"/>
          <w:sz w:val="20"/>
          <w:szCs w:val="20"/>
        </w:rPr>
        <w:t>Xiu</w:t>
      </w:r>
      <w:proofErr w:type="spellEnd"/>
      <w:r w:rsidRPr="00A765AA">
        <w:rPr>
          <w:rFonts w:ascii="Times New Roman" w:hAnsi="Times New Roman" w:cs="Times New Roman"/>
          <w:sz w:val="20"/>
          <w:szCs w:val="20"/>
        </w:rPr>
        <w:t xml:space="preserve"> Chen</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Jinhao</w:t>
      </w:r>
      <w:proofErr w:type="spellEnd"/>
      <w:r>
        <w:rPr>
          <w:rFonts w:ascii="Times New Roman" w:hAnsi="Times New Roman" w:cs="Times New Roman"/>
          <w:sz w:val="20"/>
          <w:szCs w:val="20"/>
        </w:rPr>
        <w:t xml:space="preserve"> He</w:t>
      </w:r>
      <w:r w:rsidR="00692593">
        <w:rPr>
          <w:rFonts w:ascii="Times New Roman" w:hAnsi="Times New Roman" w:cs="Times New Roman"/>
          <w:sz w:val="20"/>
          <w:szCs w:val="20"/>
          <w:vertAlign w:val="superscript"/>
        </w:rPr>
        <w:t>1</w:t>
      </w:r>
      <w:r>
        <w:rPr>
          <w:rFonts w:ascii="Times New Roman" w:hAnsi="Times New Roman" w:cs="Times New Roman"/>
          <w:sz w:val="20"/>
          <w:szCs w:val="20"/>
        </w:rPr>
        <w:t>, Hong Zhang</w:t>
      </w:r>
      <w:r w:rsidR="00692593">
        <w:rPr>
          <w:rFonts w:ascii="Times New Roman" w:hAnsi="Times New Roman" w:cs="Times New Roman"/>
          <w:sz w:val="20"/>
          <w:szCs w:val="20"/>
          <w:vertAlign w:val="superscript"/>
        </w:rPr>
        <w:t>1</w:t>
      </w:r>
      <w:r>
        <w:rPr>
          <w:rFonts w:ascii="Times New Roman" w:hAnsi="Times New Roman" w:cs="Times New Roman"/>
          <w:sz w:val="20"/>
          <w:szCs w:val="20"/>
        </w:rPr>
        <w:t>, Gang Wang</w:t>
      </w:r>
      <w:r w:rsidRPr="00966084">
        <w:rPr>
          <w:rFonts w:ascii="Times New Roman" w:hAnsi="Times New Roman" w:cs="Times New Roman"/>
          <w:sz w:val="20"/>
          <w:szCs w:val="20"/>
          <w:vertAlign w:val="superscript"/>
        </w:rPr>
        <w:t>1,2</w:t>
      </w:r>
      <w:r>
        <w:rPr>
          <w:rFonts w:ascii="Times New Roman" w:hAnsi="Times New Roman" w:cs="Times New Roman"/>
          <w:sz w:val="20"/>
          <w:szCs w:val="20"/>
        </w:rPr>
        <w:t>,</w:t>
      </w:r>
      <w:r>
        <w:rPr>
          <w:rFonts w:ascii="Times New Roman" w:hAnsi="Times New Roman" w:cs="Times New Roman" w:hint="eastAsia"/>
          <w:sz w:val="20"/>
          <w:szCs w:val="20"/>
        </w:rPr>
        <w:t xml:space="preserve"> </w:t>
      </w:r>
      <w:proofErr w:type="spellStart"/>
      <w:r w:rsidRPr="00A765AA">
        <w:rPr>
          <w:rFonts w:ascii="Times New Roman" w:hAnsi="Times New Roman" w:cs="Times New Roman"/>
          <w:sz w:val="20"/>
          <w:szCs w:val="20"/>
        </w:rPr>
        <w:t>Minjuan</w:t>
      </w:r>
      <w:proofErr w:type="spellEnd"/>
      <w:r w:rsidRPr="00A765AA">
        <w:rPr>
          <w:rFonts w:ascii="Times New Roman" w:hAnsi="Times New Roman" w:cs="Times New Roman"/>
          <w:sz w:val="20"/>
          <w:szCs w:val="20"/>
        </w:rPr>
        <w:t xml:space="preserve"> Shi</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 xml:space="preserve">, </w:t>
      </w:r>
      <w:proofErr w:type="spellStart"/>
      <w:r w:rsidRPr="00A765AA">
        <w:rPr>
          <w:rFonts w:ascii="Times New Roman" w:hAnsi="Times New Roman" w:cs="Times New Roman"/>
          <w:sz w:val="20"/>
          <w:szCs w:val="20"/>
        </w:rPr>
        <w:t>Tongxue</w:t>
      </w:r>
      <w:proofErr w:type="spellEnd"/>
      <w:r w:rsidRPr="00A765AA">
        <w:rPr>
          <w:rFonts w:ascii="Times New Roman" w:hAnsi="Times New Roman" w:cs="Times New Roman"/>
          <w:sz w:val="20"/>
          <w:szCs w:val="20"/>
        </w:rPr>
        <w:t xml:space="preserve"> Qin</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 xml:space="preserve">, </w:t>
      </w:r>
      <w:proofErr w:type="spellStart"/>
      <w:r w:rsidRPr="00A765AA">
        <w:rPr>
          <w:rFonts w:ascii="Times New Roman" w:hAnsi="Times New Roman" w:cs="Times New Roman"/>
          <w:sz w:val="20"/>
          <w:szCs w:val="20"/>
        </w:rPr>
        <w:t>Yinlu</w:t>
      </w:r>
      <w:proofErr w:type="spellEnd"/>
      <w:r w:rsidRPr="00A765AA">
        <w:rPr>
          <w:rFonts w:ascii="Times New Roman" w:hAnsi="Times New Roman" w:cs="Times New Roman"/>
          <w:sz w:val="20"/>
          <w:szCs w:val="20"/>
        </w:rPr>
        <w:t xml:space="preserve"> Liao</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 xml:space="preserve">, </w:t>
      </w:r>
      <w:proofErr w:type="spellStart"/>
      <w:r w:rsidRPr="00A765AA">
        <w:rPr>
          <w:rFonts w:ascii="Times New Roman" w:hAnsi="Times New Roman" w:cs="Times New Roman"/>
          <w:sz w:val="20"/>
          <w:szCs w:val="20"/>
        </w:rPr>
        <w:t>Yuting</w:t>
      </w:r>
      <w:proofErr w:type="spellEnd"/>
      <w:r w:rsidRPr="00A765AA">
        <w:rPr>
          <w:rFonts w:ascii="Times New Roman" w:hAnsi="Times New Roman" w:cs="Times New Roman"/>
          <w:sz w:val="20"/>
          <w:szCs w:val="20"/>
        </w:rPr>
        <w:t xml:space="preserve"> Wu</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 xml:space="preserve">, </w:t>
      </w:r>
      <w:proofErr w:type="spellStart"/>
      <w:r w:rsidRPr="00A765AA">
        <w:rPr>
          <w:rFonts w:ascii="Times New Roman" w:hAnsi="Times New Roman" w:cs="Times New Roman"/>
          <w:sz w:val="20"/>
          <w:szCs w:val="20"/>
        </w:rPr>
        <w:t>Beibei</w:t>
      </w:r>
      <w:proofErr w:type="spellEnd"/>
      <w:r w:rsidRPr="00A765AA">
        <w:rPr>
          <w:rFonts w:ascii="Times New Roman" w:hAnsi="Times New Roman" w:cs="Times New Roman"/>
          <w:sz w:val="20"/>
          <w:szCs w:val="20"/>
        </w:rPr>
        <w:t xml:space="preserve"> Lu</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 Xing Tao</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 Li Ye</w:t>
      </w:r>
      <w:r w:rsidRPr="00A765AA">
        <w:rPr>
          <w:rFonts w:ascii="Times New Roman" w:hAnsi="Times New Roman" w:cs="Times New Roman"/>
          <w:sz w:val="20"/>
          <w:szCs w:val="20"/>
          <w:vertAlign w:val="superscript"/>
        </w:rPr>
        <w:t>1,2#</w:t>
      </w:r>
      <w:r w:rsidRPr="00A765AA">
        <w:rPr>
          <w:rFonts w:ascii="Times New Roman" w:hAnsi="Times New Roman" w:cs="Times New Roman"/>
          <w:sz w:val="20"/>
          <w:szCs w:val="20"/>
        </w:rPr>
        <w:t xml:space="preserve">, </w:t>
      </w:r>
      <w:proofErr w:type="spellStart"/>
      <w:r w:rsidR="003923A5" w:rsidRPr="00A765AA">
        <w:rPr>
          <w:rFonts w:ascii="Times New Roman" w:hAnsi="Times New Roman" w:cs="Times New Roman"/>
          <w:sz w:val="20"/>
          <w:szCs w:val="20"/>
        </w:rPr>
        <w:t>Hao</w:t>
      </w:r>
      <w:proofErr w:type="spellEnd"/>
      <w:r w:rsidR="003923A5" w:rsidRPr="00A765AA">
        <w:rPr>
          <w:rFonts w:ascii="Times New Roman" w:hAnsi="Times New Roman" w:cs="Times New Roman"/>
          <w:sz w:val="20"/>
          <w:szCs w:val="20"/>
        </w:rPr>
        <w:t xml:space="preserve"> Liang</w:t>
      </w:r>
      <w:r w:rsidR="003923A5" w:rsidRPr="00A765AA">
        <w:rPr>
          <w:rFonts w:ascii="Times New Roman" w:hAnsi="Times New Roman" w:cs="Times New Roman"/>
          <w:sz w:val="20"/>
          <w:szCs w:val="20"/>
          <w:vertAlign w:val="superscript"/>
        </w:rPr>
        <w:t>1,2#</w:t>
      </w:r>
      <w:r w:rsidR="003923A5" w:rsidRPr="00A765AA">
        <w:rPr>
          <w:rFonts w:ascii="Times New Roman" w:hAnsi="Times New Roman" w:cs="Times New Roman"/>
          <w:sz w:val="20"/>
          <w:szCs w:val="20"/>
        </w:rPr>
        <w:t>,</w:t>
      </w:r>
      <w:r w:rsidR="003923A5">
        <w:rPr>
          <w:rFonts w:ascii="Times New Roman" w:hAnsi="Times New Roman" w:cs="Times New Roman" w:hint="eastAsia"/>
          <w:sz w:val="20"/>
          <w:szCs w:val="20"/>
        </w:rPr>
        <w:t xml:space="preserve"> </w:t>
      </w:r>
      <w:proofErr w:type="spellStart"/>
      <w:r w:rsidRPr="00A765AA">
        <w:rPr>
          <w:rFonts w:ascii="Times New Roman" w:hAnsi="Times New Roman" w:cs="Times New Roman"/>
          <w:sz w:val="20"/>
          <w:szCs w:val="20"/>
        </w:rPr>
        <w:t>Junjun</w:t>
      </w:r>
      <w:proofErr w:type="spellEnd"/>
      <w:r w:rsidRPr="00A765AA">
        <w:rPr>
          <w:rFonts w:ascii="Times New Roman" w:hAnsi="Times New Roman" w:cs="Times New Roman"/>
          <w:sz w:val="20"/>
          <w:szCs w:val="20"/>
        </w:rPr>
        <w:t xml:space="preserve"> Jiang</w:t>
      </w:r>
      <w:r w:rsidRPr="00A765AA">
        <w:rPr>
          <w:rFonts w:ascii="Times New Roman" w:hAnsi="Times New Roman" w:cs="Times New Roman"/>
          <w:sz w:val="20"/>
          <w:szCs w:val="20"/>
          <w:vertAlign w:val="superscript"/>
        </w:rPr>
        <w:t>1,2#</w:t>
      </w:r>
    </w:p>
    <w:bookmarkEnd w:id="0"/>
    <w:p w:rsidR="00D715B9" w:rsidRPr="00A765AA" w:rsidRDefault="00D715B9" w:rsidP="00D715B9">
      <w:pPr>
        <w:spacing w:line="520" w:lineRule="exact"/>
        <w:rPr>
          <w:rFonts w:ascii="Times New Roman" w:hAnsi="Times New Roman" w:cs="Times New Roman"/>
          <w:sz w:val="20"/>
          <w:szCs w:val="20"/>
        </w:rPr>
      </w:pPr>
    </w:p>
    <w:p w:rsidR="00212DCB" w:rsidRPr="00A765AA" w:rsidRDefault="00212DCB" w:rsidP="00212DCB">
      <w:pPr>
        <w:spacing w:line="400" w:lineRule="exact"/>
        <w:rPr>
          <w:rFonts w:ascii="Times New Roman" w:hAnsi="Times New Roman" w:cs="Times New Roman"/>
          <w:sz w:val="20"/>
          <w:szCs w:val="20"/>
        </w:rPr>
      </w:pPr>
      <w:r>
        <w:rPr>
          <w:rFonts w:ascii="Times New Roman" w:hAnsi="Times New Roman" w:cs="Times New Roman"/>
          <w:sz w:val="20"/>
          <w:szCs w:val="20"/>
        </w:rPr>
        <w:t>1</w:t>
      </w:r>
      <w:r w:rsidRPr="00A765AA">
        <w:rPr>
          <w:rFonts w:ascii="Times New Roman" w:hAnsi="Times New Roman" w:cs="Times New Roman"/>
          <w:sz w:val="20"/>
          <w:szCs w:val="20"/>
        </w:rPr>
        <w:t>.Guangxi Key Laboratory of AIDS Prevention and Treatment, School of Public Health, Guangxi Medical University, Nanning 530021, Guangxi, China;</w:t>
      </w:r>
    </w:p>
    <w:p w:rsidR="00D715B9" w:rsidRPr="00A765AA" w:rsidRDefault="00212DCB" w:rsidP="00D715B9">
      <w:pPr>
        <w:spacing w:line="400" w:lineRule="exact"/>
        <w:rPr>
          <w:rFonts w:ascii="Times New Roman" w:hAnsi="Times New Roman" w:cs="Times New Roman"/>
          <w:sz w:val="20"/>
          <w:szCs w:val="20"/>
        </w:rPr>
      </w:pPr>
      <w:r>
        <w:rPr>
          <w:rFonts w:ascii="Times New Roman" w:hAnsi="Times New Roman" w:cs="Times New Roman"/>
          <w:sz w:val="20"/>
          <w:szCs w:val="20"/>
        </w:rPr>
        <w:t>2</w:t>
      </w:r>
      <w:r w:rsidR="00D715B9" w:rsidRPr="00A765AA">
        <w:rPr>
          <w:rFonts w:ascii="Times New Roman" w:hAnsi="Times New Roman" w:cs="Times New Roman"/>
          <w:sz w:val="20"/>
          <w:szCs w:val="20"/>
        </w:rPr>
        <w:t>.Guangxi-ASEAN Collaborative Innovation Center for Major Disease Prevention and Treatment, Life Sciences Institute, Guangxi Medical University, Nanning 530021, Guangxi, China;</w:t>
      </w:r>
    </w:p>
    <w:p w:rsidR="00D715B9" w:rsidRDefault="006341AD" w:rsidP="00D715B9">
      <w:pPr>
        <w:spacing w:line="400" w:lineRule="exact"/>
        <w:rPr>
          <w:rFonts w:ascii="Times New Roman" w:hAnsi="Times New Roman" w:cs="Times New Roman"/>
          <w:sz w:val="20"/>
          <w:szCs w:val="20"/>
        </w:rPr>
      </w:pPr>
      <w:r>
        <w:rPr>
          <w:rFonts w:ascii="Times New Roman" w:hAnsi="Times New Roman" w:cs="Times New Roman"/>
          <w:b/>
          <w:noProof/>
          <w:sz w:val="20"/>
          <w:szCs w:val="20"/>
        </w:rPr>
        <w:drawing>
          <wp:anchor distT="0" distB="0" distL="114300" distR="114300" simplePos="0" relativeHeight="251661312" behindDoc="0" locked="0" layoutInCell="1" allowOverlap="1">
            <wp:simplePos x="0" y="0"/>
            <wp:positionH relativeFrom="column">
              <wp:posOffset>13970</wp:posOffset>
            </wp:positionH>
            <wp:positionV relativeFrom="paragraph">
              <wp:posOffset>733151</wp:posOffset>
            </wp:positionV>
            <wp:extent cx="5325745" cy="4453890"/>
            <wp:effectExtent l="0" t="0" r="8255" b="38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细胞活性补充.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5745" cy="445389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D715B9" w:rsidRPr="00A765AA">
        <w:rPr>
          <w:rFonts w:ascii="Times New Roman" w:hAnsi="Times New Roman" w:cs="Times New Roman"/>
          <w:sz w:val="20"/>
          <w:szCs w:val="20"/>
        </w:rPr>
        <w:t>3.Guangxi</w:t>
      </w:r>
      <w:proofErr w:type="gramEnd"/>
      <w:r w:rsidR="00D715B9" w:rsidRPr="00A765AA">
        <w:rPr>
          <w:rFonts w:ascii="Times New Roman" w:hAnsi="Times New Roman" w:cs="Times New Roman"/>
          <w:sz w:val="20"/>
          <w:szCs w:val="20"/>
        </w:rPr>
        <w:t xml:space="preserve"> Collaborative Innovation Centre of Regenerative Medicine and Medical </w:t>
      </w:r>
      <w:proofErr w:type="spellStart"/>
      <w:r w:rsidR="00D715B9" w:rsidRPr="00A765AA">
        <w:rPr>
          <w:rFonts w:ascii="Times New Roman" w:hAnsi="Times New Roman" w:cs="Times New Roman"/>
          <w:sz w:val="20"/>
          <w:szCs w:val="20"/>
        </w:rPr>
        <w:t>BioResource</w:t>
      </w:r>
      <w:proofErr w:type="spellEnd"/>
      <w:r w:rsidR="00D715B9" w:rsidRPr="00A765AA">
        <w:rPr>
          <w:rFonts w:ascii="Times New Roman" w:hAnsi="Times New Roman" w:cs="Times New Roman"/>
          <w:sz w:val="20"/>
          <w:szCs w:val="20"/>
        </w:rPr>
        <w:t xml:space="preserve"> Development and Application, Guangxi Medical University, Nanning, Guangxi 530021, China</w:t>
      </w:r>
    </w:p>
    <w:p w:rsidR="00DA6B82" w:rsidRPr="006341AD" w:rsidRDefault="00276EA2" w:rsidP="00D715B9">
      <w:pPr>
        <w:spacing w:line="360" w:lineRule="exact"/>
        <w:rPr>
          <w:rFonts w:ascii="Times New Roman" w:hAnsi="Times New Roman" w:cs="Times New Roman"/>
          <w:b/>
          <w:sz w:val="20"/>
          <w:szCs w:val="20"/>
        </w:rPr>
      </w:pPr>
      <w:r w:rsidRPr="000F5C20">
        <w:rPr>
          <w:rFonts w:ascii="Times New Roman" w:hAnsi="Times New Roman" w:cs="Times New Roman"/>
          <w:b/>
          <w:sz w:val="20"/>
          <w:szCs w:val="20"/>
        </w:rPr>
        <w:t>Fig 1.</w:t>
      </w:r>
      <w:r w:rsidRPr="000F5C20">
        <w:rPr>
          <w:rFonts w:ascii="Times New Roman" w:hAnsi="Times New Roman" w:cs="Times New Roman"/>
          <w:sz w:val="20"/>
          <w:szCs w:val="20"/>
        </w:rPr>
        <w:t xml:space="preserve"> Percentage of cell viability of THP-1 macrophages under different concentrations of TMP/SMX, SMX, and TMP.</w:t>
      </w:r>
      <w:r w:rsidRPr="000F5C20">
        <w:rPr>
          <w:rFonts w:ascii="Times New Roman" w:hAnsi="Times New Roman" w:cs="Times New Roman"/>
          <w:kern w:val="0"/>
          <w:sz w:val="20"/>
          <w:szCs w:val="20"/>
        </w:rPr>
        <w:t xml:space="preserve"> A</w:t>
      </w:r>
      <w:r w:rsidRPr="000F5C20">
        <w:rPr>
          <w:rFonts w:ascii="Times New Roman" w:hAnsi="Times New Roman" w:cs="Times New Roman"/>
          <w:noProof/>
          <w:kern w:val="0"/>
          <w:sz w:val="20"/>
          <w:szCs w:val="20"/>
        </w:rPr>
        <w:t>ll data were shown as mean ± SD of the results from at least three independent experiments</w:t>
      </w:r>
      <w:r w:rsidRPr="000F5C20">
        <w:rPr>
          <w:rFonts w:ascii="Times New Roman" w:hAnsi="Times New Roman" w:cs="Times New Roman"/>
          <w:kern w:val="0"/>
          <w:sz w:val="20"/>
          <w:szCs w:val="20"/>
        </w:rPr>
        <w:t>.</w:t>
      </w:r>
    </w:p>
    <w:p w:rsidR="00DA6B82" w:rsidRDefault="00DA6B82" w:rsidP="00276EA2">
      <w:pPr>
        <w:autoSpaceDE w:val="0"/>
        <w:autoSpaceDN w:val="0"/>
        <w:adjustRightInd w:val="0"/>
        <w:jc w:val="left"/>
        <w:rPr>
          <w:rFonts w:ascii="Times New Roman" w:hAnsi="Times New Roman" w:cs="Times New Roman"/>
          <w:b/>
          <w:noProof/>
          <w:sz w:val="20"/>
          <w:szCs w:val="20"/>
        </w:rPr>
      </w:pPr>
    </w:p>
    <w:p w:rsidR="00276EA2" w:rsidRPr="00F107B5" w:rsidRDefault="006341AD" w:rsidP="00276EA2">
      <w:pPr>
        <w:spacing w:line="360" w:lineRule="exact"/>
        <w:rPr>
          <w:rFonts w:ascii="Times New Roman" w:hAnsi="Times New Roman" w:cs="Times New Roman"/>
          <w:b/>
          <w:sz w:val="20"/>
          <w:szCs w:val="20"/>
        </w:rPr>
      </w:pPr>
      <w:r>
        <w:rPr>
          <w:rFonts w:ascii="Times New Roman" w:hAnsi="Times New Roman" w:cs="Times New Roman"/>
          <w:b/>
          <w:noProof/>
          <w:sz w:val="20"/>
          <w:szCs w:val="20"/>
        </w:rPr>
        <w:lastRenderedPageBreak/>
        <w:drawing>
          <wp:anchor distT="0" distB="0" distL="114300" distR="114300" simplePos="0" relativeHeight="251660288" behindDoc="0" locked="0" layoutInCell="1" allowOverlap="1">
            <wp:simplePos x="0" y="0"/>
            <wp:positionH relativeFrom="column">
              <wp:posOffset>4445</wp:posOffset>
            </wp:positionH>
            <wp:positionV relativeFrom="paragraph">
              <wp:posOffset>40064</wp:posOffset>
            </wp:positionV>
            <wp:extent cx="5760000" cy="700200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补充图.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0" cy="7002000"/>
                    </a:xfrm>
                    <a:prstGeom prst="rect">
                      <a:avLst/>
                    </a:prstGeom>
                  </pic:spPr>
                </pic:pic>
              </a:graphicData>
            </a:graphic>
            <wp14:sizeRelH relativeFrom="margin">
              <wp14:pctWidth>0</wp14:pctWidth>
            </wp14:sizeRelH>
            <wp14:sizeRelV relativeFrom="margin">
              <wp14:pctHeight>0</wp14:pctHeight>
            </wp14:sizeRelV>
          </wp:anchor>
        </w:drawing>
      </w:r>
      <w:r w:rsidR="00276EA2" w:rsidRPr="000F5C20">
        <w:rPr>
          <w:rFonts w:ascii="Times New Roman" w:hAnsi="Times New Roman" w:cs="Times New Roman"/>
          <w:b/>
          <w:sz w:val="20"/>
          <w:szCs w:val="20"/>
        </w:rPr>
        <w:t xml:space="preserve">Fig.2 </w:t>
      </w:r>
      <w:r w:rsidR="00276EA2" w:rsidRPr="000F5C20">
        <w:rPr>
          <w:rFonts w:ascii="Times New Roman" w:hAnsi="Times New Roman" w:cs="Times New Roman"/>
          <w:sz w:val="20"/>
          <w:szCs w:val="20"/>
        </w:rPr>
        <w:t xml:space="preserve">Dectin-1 and downstream IL-6, IL-10, IL-23A, CXCL8 and TNF-α mRNA expression levels in THP-1 macrophages infected with </w:t>
      </w:r>
      <w:proofErr w:type="spellStart"/>
      <w:r w:rsidR="00276EA2" w:rsidRPr="000F5C20">
        <w:rPr>
          <w:rFonts w:ascii="Times New Roman" w:hAnsi="Times New Roman" w:cs="Times New Roman"/>
          <w:i/>
          <w:sz w:val="20"/>
          <w:szCs w:val="20"/>
        </w:rPr>
        <w:t>T.marneffei</w:t>
      </w:r>
      <w:proofErr w:type="spellEnd"/>
      <w:r w:rsidR="00276EA2" w:rsidRPr="000F5C20">
        <w:rPr>
          <w:rFonts w:ascii="Times New Roman" w:hAnsi="Times New Roman" w:cs="Times New Roman"/>
          <w:sz w:val="20"/>
          <w:szCs w:val="20"/>
        </w:rPr>
        <w:t xml:space="preserve"> spores treated with TMP/SMX or without were analyzed by quantitative PCR at different concentration of TMP/SMX. All the levels of mRNA expression were normalized to GAPDH and all data were showed as mean ± SD of results from at least three independent experiments (*, p&lt;0.05, **, p&lt;0.01, </w:t>
      </w:r>
      <w:r w:rsidR="00276EA2" w:rsidRPr="000F5C20">
        <w:rPr>
          <w:rFonts w:ascii="Times New Roman" w:hAnsi="Times New Roman" w:cs="Times New Roman"/>
          <w:noProof/>
          <w:kern w:val="0"/>
          <w:sz w:val="20"/>
          <w:szCs w:val="20"/>
        </w:rPr>
        <w:t>***, p&lt;0.001, ****, p&lt;0.0001, n.s, no significant difference, by Student’s t-test)</w:t>
      </w:r>
    </w:p>
    <w:p w:rsidR="00276EA2" w:rsidRPr="000F5C20" w:rsidRDefault="00276EA2" w:rsidP="00276EA2">
      <w:pPr>
        <w:autoSpaceDE w:val="0"/>
        <w:autoSpaceDN w:val="0"/>
        <w:adjustRightInd w:val="0"/>
        <w:jc w:val="left"/>
        <w:rPr>
          <w:rFonts w:ascii="Times New Roman" w:hAnsi="Times New Roman" w:cs="Times New Roman"/>
          <w:b/>
          <w:sz w:val="20"/>
          <w:szCs w:val="20"/>
        </w:rPr>
      </w:pPr>
    </w:p>
    <w:p w:rsidR="000F5C20" w:rsidRDefault="000F5C20" w:rsidP="00276EA2">
      <w:pPr>
        <w:autoSpaceDE w:val="0"/>
        <w:autoSpaceDN w:val="0"/>
        <w:adjustRightInd w:val="0"/>
        <w:spacing w:line="360" w:lineRule="exact"/>
        <w:jc w:val="left"/>
        <w:rPr>
          <w:rFonts w:ascii="Times New Roman" w:hAnsi="Times New Roman" w:cs="Times New Roman"/>
          <w:b/>
          <w:sz w:val="20"/>
          <w:szCs w:val="20"/>
        </w:rPr>
      </w:pPr>
    </w:p>
    <w:p w:rsidR="00F107B5" w:rsidRDefault="00F107B5" w:rsidP="00276EA2">
      <w:pPr>
        <w:autoSpaceDE w:val="0"/>
        <w:autoSpaceDN w:val="0"/>
        <w:adjustRightInd w:val="0"/>
        <w:spacing w:line="360" w:lineRule="exact"/>
        <w:jc w:val="left"/>
        <w:rPr>
          <w:rFonts w:ascii="Times New Roman" w:hAnsi="Times New Roman" w:cs="Times New Roman"/>
          <w:b/>
          <w:sz w:val="20"/>
          <w:szCs w:val="20"/>
        </w:rPr>
      </w:pPr>
    </w:p>
    <w:p w:rsidR="00276EA2" w:rsidRPr="002C492F" w:rsidRDefault="00276EA2" w:rsidP="00276EA2">
      <w:pPr>
        <w:autoSpaceDE w:val="0"/>
        <w:autoSpaceDN w:val="0"/>
        <w:adjustRightInd w:val="0"/>
        <w:spacing w:line="360" w:lineRule="exact"/>
        <w:jc w:val="left"/>
        <w:rPr>
          <w:rFonts w:ascii="Times New Roman" w:hAnsi="Times New Roman" w:cs="Times New Roman"/>
          <w:b/>
          <w:sz w:val="20"/>
          <w:szCs w:val="20"/>
        </w:rPr>
      </w:pPr>
      <w:r w:rsidRPr="002C492F">
        <w:rPr>
          <w:rFonts w:ascii="Times New Roman" w:hAnsi="Times New Roman" w:cs="Times New Roman"/>
          <w:b/>
          <w:sz w:val="20"/>
          <w:szCs w:val="20"/>
        </w:rPr>
        <w:lastRenderedPageBreak/>
        <w:t xml:space="preserve">Supplemental Figure </w:t>
      </w:r>
      <w:proofErr w:type="spellStart"/>
      <w:r w:rsidRPr="002C492F">
        <w:rPr>
          <w:rFonts w:ascii="Times New Roman" w:hAnsi="Times New Roman" w:cs="Times New Roman"/>
          <w:b/>
          <w:sz w:val="20"/>
          <w:szCs w:val="20"/>
        </w:rPr>
        <w:t>Lengends</w:t>
      </w:r>
      <w:proofErr w:type="spellEnd"/>
    </w:p>
    <w:p w:rsidR="00276EA2" w:rsidRPr="002C492F" w:rsidRDefault="00276EA2" w:rsidP="00276EA2">
      <w:pPr>
        <w:autoSpaceDE w:val="0"/>
        <w:autoSpaceDN w:val="0"/>
        <w:adjustRightInd w:val="0"/>
        <w:spacing w:line="360" w:lineRule="exact"/>
        <w:jc w:val="left"/>
        <w:rPr>
          <w:rFonts w:ascii="Times New Roman" w:hAnsi="Times New Roman" w:cs="Times New Roman"/>
          <w:b/>
          <w:sz w:val="20"/>
          <w:szCs w:val="20"/>
        </w:rPr>
      </w:pPr>
      <w:r w:rsidRPr="002C492F">
        <w:rPr>
          <w:rFonts w:ascii="Times New Roman" w:hAnsi="Times New Roman" w:cs="Times New Roman"/>
          <w:b/>
          <w:sz w:val="20"/>
          <w:szCs w:val="20"/>
        </w:rPr>
        <w:t>Figure S1 (Related to Figure 1).</w:t>
      </w:r>
    </w:p>
    <w:p w:rsidR="00276EA2" w:rsidRPr="002C492F" w:rsidRDefault="00276EA2" w:rsidP="00276EA2">
      <w:pPr>
        <w:autoSpaceDE w:val="0"/>
        <w:autoSpaceDN w:val="0"/>
        <w:adjustRightInd w:val="0"/>
        <w:spacing w:line="360" w:lineRule="exact"/>
        <w:rPr>
          <w:rFonts w:ascii="Times New Roman" w:hAnsi="Times New Roman" w:cs="Times New Roman"/>
          <w:color w:val="000000" w:themeColor="text1"/>
          <w:sz w:val="20"/>
          <w:szCs w:val="20"/>
        </w:rPr>
      </w:pPr>
      <w:r w:rsidRPr="002C492F">
        <w:rPr>
          <w:rFonts w:ascii="Times New Roman" w:hAnsi="Times New Roman" w:cs="Times New Roman"/>
          <w:sz w:val="20"/>
          <w:szCs w:val="20"/>
        </w:rPr>
        <w:t>Human THP-1 macrophages were seeded at 1×10</w:t>
      </w:r>
      <w:r w:rsidRPr="002C492F">
        <w:rPr>
          <w:rFonts w:ascii="Times New Roman" w:hAnsi="Times New Roman" w:cs="Times New Roman"/>
          <w:sz w:val="20"/>
          <w:szCs w:val="20"/>
          <w:vertAlign w:val="superscript"/>
        </w:rPr>
        <w:t>4</w:t>
      </w:r>
      <w:r w:rsidRPr="002C492F">
        <w:rPr>
          <w:rFonts w:ascii="Times New Roman" w:hAnsi="Times New Roman" w:cs="Times New Roman"/>
          <w:sz w:val="20"/>
          <w:szCs w:val="20"/>
        </w:rPr>
        <w:t xml:space="preserve"> per well on one 96-well plate, establish experimental group, negative control group and blank control group, among which blank control group was not seeded THP-1 macrophages, then placing the plate in a humid atmosphere at 37℃, containing 5%CO</w:t>
      </w:r>
      <w:r w:rsidRPr="002C492F">
        <w:rPr>
          <w:rFonts w:ascii="Times New Roman" w:hAnsi="Times New Roman" w:cs="Times New Roman"/>
          <w:sz w:val="20"/>
          <w:szCs w:val="20"/>
          <w:vertAlign w:val="subscript"/>
        </w:rPr>
        <w:t>2</w:t>
      </w:r>
      <w:r w:rsidRPr="002C492F">
        <w:rPr>
          <w:rFonts w:ascii="Times New Roman" w:hAnsi="Times New Roman" w:cs="Times New Roman"/>
          <w:sz w:val="20"/>
          <w:szCs w:val="20"/>
        </w:rPr>
        <w:t xml:space="preserve"> for 48h. After stimulating to macrophages for 48h, DMEM medium was removed, adding 10μl TMP/SMX, SMX and TMP to experimental group respectively and 90μl DMEM medium in experimental group. Adding 100μl DMEM to negative control group and blank control group, then placing the plate in 37℃, 5% CO</w:t>
      </w:r>
      <w:r w:rsidRPr="002C492F">
        <w:rPr>
          <w:rFonts w:ascii="Times New Roman" w:hAnsi="Times New Roman" w:cs="Times New Roman"/>
          <w:sz w:val="20"/>
          <w:szCs w:val="20"/>
          <w:vertAlign w:val="subscript"/>
        </w:rPr>
        <w:t>2</w:t>
      </w:r>
      <w:r w:rsidRPr="002C492F">
        <w:rPr>
          <w:rFonts w:ascii="Times New Roman" w:hAnsi="Times New Roman" w:cs="Times New Roman"/>
          <w:sz w:val="20"/>
          <w:szCs w:val="20"/>
        </w:rPr>
        <w:t xml:space="preserve"> atmosphere for 48h. After 48h incubation, adding 20μl </w:t>
      </w:r>
      <w:proofErr w:type="spellStart"/>
      <w:r w:rsidRPr="002C492F">
        <w:rPr>
          <w:rFonts w:ascii="Times New Roman" w:hAnsi="Times New Roman" w:cs="Times New Roman"/>
          <w:kern w:val="0"/>
          <w:sz w:val="20"/>
          <w:szCs w:val="20"/>
        </w:rPr>
        <w:t>CellTiter-Glo</w:t>
      </w:r>
      <w:proofErr w:type="spellEnd"/>
      <w:r w:rsidRPr="002C492F">
        <w:rPr>
          <w:rFonts w:ascii="Times New Roman" w:hAnsi="Times New Roman" w:cs="Times New Roman"/>
          <w:kern w:val="0"/>
          <w:sz w:val="20"/>
          <w:szCs w:val="20"/>
        </w:rPr>
        <w:t>® Luminescent Cell Viability Assay to each well on 96-well plate to detect cell viability respectively.</w:t>
      </w:r>
      <w:r w:rsidRPr="002C492F">
        <w:rPr>
          <w:rFonts w:ascii="Times New Roman" w:hAnsi="Times New Roman" w:cs="Times New Roman"/>
          <w:color w:val="000000" w:themeColor="text1"/>
          <w:sz w:val="20"/>
          <w:szCs w:val="20"/>
        </w:rPr>
        <w:t xml:space="preserve"> The 96-well plate was oscillating in Microporous plate thermostatic oscillator for 3 minutes, then incubating at 37℃ for 10 minutes. </w:t>
      </w:r>
      <w:proofErr w:type="spellStart"/>
      <w:r w:rsidRPr="002C492F">
        <w:rPr>
          <w:rFonts w:ascii="Times New Roman" w:hAnsi="Times New Roman" w:cs="Times New Roman"/>
          <w:color w:val="000000" w:themeColor="text1"/>
          <w:sz w:val="20"/>
          <w:szCs w:val="20"/>
        </w:rPr>
        <w:t>BioTek</w:t>
      </w:r>
      <w:proofErr w:type="spellEnd"/>
      <w:r w:rsidRPr="002C492F">
        <w:rPr>
          <w:rFonts w:ascii="Times New Roman" w:hAnsi="Times New Roman" w:cs="Times New Roman"/>
          <w:color w:val="000000" w:themeColor="text1"/>
          <w:sz w:val="20"/>
          <w:szCs w:val="20"/>
        </w:rPr>
        <w:t xml:space="preserve"> Multifunctional enzyme labeling instrument was used to measure the absorbance (OD) of each well at 450nm. Calculate the cell viability value of TMP/SMX,SMX and TMP according to the following formula: A=mean OD value of negative control- mean OD value of blank control, B=mean OD value of each compound well in the experimental group</w:t>
      </w:r>
      <w:r w:rsidRPr="002C492F">
        <w:rPr>
          <w:rFonts w:ascii="Times New Roman" w:hAnsi="Times New Roman" w:cs="Times New Roman"/>
          <w:color w:val="000000" w:themeColor="text1"/>
          <w:sz w:val="20"/>
          <w:szCs w:val="20"/>
        </w:rPr>
        <w:t>－</w:t>
      </w:r>
      <w:r w:rsidRPr="002C492F">
        <w:rPr>
          <w:rFonts w:ascii="Times New Roman" w:hAnsi="Times New Roman" w:cs="Times New Roman"/>
          <w:color w:val="000000" w:themeColor="text1"/>
          <w:sz w:val="20"/>
          <w:szCs w:val="20"/>
        </w:rPr>
        <w:t>mean OD value of blank control, C=B/A×100%,then the cell viability value of each well in the experimental group(%).</w:t>
      </w:r>
      <w:r w:rsidRPr="002C492F">
        <w:rPr>
          <w:rFonts w:ascii="Times New Roman" w:hAnsi="Times New Roman" w:cs="Times New Roman"/>
          <w:kern w:val="0"/>
          <w:sz w:val="20"/>
          <w:szCs w:val="20"/>
        </w:rPr>
        <w:t>The cell viability of human THP-1 macrophages under different concentrations of TMP/SMX, SMX and TMP were shown as cell viability percentage curve respectively. The cell viability value above 80% means the concentration of TMP/SMX, SMX and TMP causes little toxicity to THP-1 macrophages while the percentage below 80% means the concentration of drugs causes significant toxicity toTHP-1 macrophages.</w:t>
      </w:r>
      <w:r w:rsidRPr="002C492F">
        <w:rPr>
          <w:rFonts w:ascii="Times New Roman" w:hAnsi="Times New Roman" w:cs="Times New Roman"/>
          <w:noProof/>
          <w:kern w:val="0"/>
          <w:sz w:val="20"/>
          <w:szCs w:val="20"/>
        </w:rPr>
        <w:t xml:space="preserve"> All data were shown as mean ± SD of the results from at least three independent experiments</w:t>
      </w:r>
      <w:r w:rsidRPr="002C492F">
        <w:rPr>
          <w:rFonts w:ascii="Times New Roman" w:hAnsi="Times New Roman" w:cs="Times New Roman"/>
          <w:kern w:val="0"/>
          <w:sz w:val="20"/>
          <w:szCs w:val="20"/>
        </w:rPr>
        <w:t>.</w:t>
      </w:r>
    </w:p>
    <w:p w:rsidR="002C492F" w:rsidRPr="002C492F" w:rsidRDefault="002C492F" w:rsidP="00276EA2">
      <w:pPr>
        <w:spacing w:line="360" w:lineRule="exact"/>
        <w:rPr>
          <w:rFonts w:ascii="Times New Roman" w:hAnsi="Times New Roman" w:cs="Times New Roman"/>
          <w:b/>
          <w:kern w:val="0"/>
          <w:sz w:val="20"/>
          <w:szCs w:val="20"/>
        </w:rPr>
      </w:pPr>
    </w:p>
    <w:p w:rsidR="00276EA2" w:rsidRPr="002C492F" w:rsidRDefault="00276EA2" w:rsidP="00276EA2">
      <w:pPr>
        <w:spacing w:line="360" w:lineRule="exact"/>
        <w:rPr>
          <w:rFonts w:ascii="Times New Roman" w:hAnsi="Times New Roman" w:cs="Times New Roman"/>
          <w:b/>
          <w:kern w:val="0"/>
          <w:sz w:val="20"/>
          <w:szCs w:val="20"/>
        </w:rPr>
      </w:pPr>
      <w:r w:rsidRPr="002C492F">
        <w:rPr>
          <w:rFonts w:ascii="Times New Roman" w:hAnsi="Times New Roman" w:cs="Times New Roman"/>
          <w:b/>
          <w:kern w:val="0"/>
          <w:sz w:val="20"/>
          <w:szCs w:val="20"/>
        </w:rPr>
        <w:t>Figure S2 (Related to Figure 2).</w:t>
      </w:r>
    </w:p>
    <w:p w:rsidR="00276EA2" w:rsidRPr="002C492F" w:rsidRDefault="00276EA2" w:rsidP="00276EA2">
      <w:pPr>
        <w:spacing w:line="360" w:lineRule="exact"/>
        <w:rPr>
          <w:rFonts w:ascii="Times New Roman" w:hAnsi="Times New Roman" w:cs="Times New Roman"/>
          <w:sz w:val="20"/>
          <w:szCs w:val="20"/>
        </w:rPr>
      </w:pPr>
      <w:r w:rsidRPr="002C492F">
        <w:rPr>
          <w:rFonts w:ascii="Times New Roman" w:hAnsi="Times New Roman" w:cs="Times New Roman"/>
          <w:sz w:val="20"/>
          <w:szCs w:val="20"/>
        </w:rPr>
        <w:t xml:space="preserve">Dectin-1 signaling pathway plays an important role in the role and mechanism of </w:t>
      </w:r>
      <w:proofErr w:type="spellStart"/>
      <w:r w:rsidRPr="002C492F">
        <w:rPr>
          <w:rFonts w:ascii="Times New Roman" w:hAnsi="Times New Roman" w:cs="Times New Roman"/>
          <w:sz w:val="20"/>
          <w:szCs w:val="20"/>
        </w:rPr>
        <w:t>cotrimoxazole</w:t>
      </w:r>
      <w:proofErr w:type="spellEnd"/>
      <w:r w:rsidRPr="002C492F">
        <w:rPr>
          <w:rFonts w:ascii="Times New Roman" w:hAnsi="Times New Roman" w:cs="Times New Roman"/>
          <w:sz w:val="20"/>
          <w:szCs w:val="20"/>
        </w:rPr>
        <w:t xml:space="preserve"> resistance towards </w:t>
      </w:r>
      <w:proofErr w:type="spellStart"/>
      <w:r w:rsidRPr="002C492F">
        <w:rPr>
          <w:rFonts w:ascii="Times New Roman" w:hAnsi="Times New Roman" w:cs="Times New Roman"/>
          <w:i/>
          <w:sz w:val="20"/>
          <w:szCs w:val="20"/>
        </w:rPr>
        <w:t>T.marneffei</w:t>
      </w:r>
      <w:proofErr w:type="spellEnd"/>
      <w:r w:rsidRPr="002C492F">
        <w:rPr>
          <w:rFonts w:ascii="Times New Roman" w:hAnsi="Times New Roman" w:cs="Times New Roman"/>
          <w:i/>
          <w:sz w:val="20"/>
          <w:szCs w:val="20"/>
        </w:rPr>
        <w:t xml:space="preserve"> </w:t>
      </w:r>
      <w:r w:rsidRPr="002C492F">
        <w:rPr>
          <w:rFonts w:ascii="Times New Roman" w:hAnsi="Times New Roman" w:cs="Times New Roman"/>
          <w:sz w:val="20"/>
          <w:szCs w:val="20"/>
        </w:rPr>
        <w:t xml:space="preserve">spores infected into THP-1 macrophages. THP-1 macrophages were infected with </w:t>
      </w:r>
      <w:proofErr w:type="spellStart"/>
      <w:r w:rsidRPr="002C492F">
        <w:rPr>
          <w:rFonts w:ascii="Times New Roman" w:hAnsi="Times New Roman" w:cs="Times New Roman"/>
          <w:i/>
          <w:sz w:val="20"/>
          <w:szCs w:val="20"/>
        </w:rPr>
        <w:t>T.marneffei</w:t>
      </w:r>
      <w:proofErr w:type="spellEnd"/>
      <w:r w:rsidRPr="002C492F">
        <w:rPr>
          <w:rFonts w:ascii="Times New Roman" w:hAnsi="Times New Roman" w:cs="Times New Roman"/>
          <w:i/>
          <w:sz w:val="20"/>
          <w:szCs w:val="20"/>
        </w:rPr>
        <w:t xml:space="preserve"> </w:t>
      </w:r>
      <w:r w:rsidRPr="002C492F">
        <w:rPr>
          <w:rFonts w:ascii="Times New Roman" w:hAnsi="Times New Roman" w:cs="Times New Roman"/>
          <w:sz w:val="20"/>
          <w:szCs w:val="20"/>
        </w:rPr>
        <w:t>spores (MOI=5:1, fungi to cell) for 6-12h. Levels of Dectin-1, IL-6, IL-10, IL-23A, CXCL8, TNF-α was measured by RT-qPCR respectively. Dectin-1 and pro-</w:t>
      </w:r>
      <w:proofErr w:type="spellStart"/>
      <w:r w:rsidRPr="002C492F">
        <w:rPr>
          <w:rFonts w:ascii="Times New Roman" w:hAnsi="Times New Roman" w:cs="Times New Roman"/>
          <w:i/>
          <w:sz w:val="20"/>
          <w:szCs w:val="20"/>
        </w:rPr>
        <w:t>T.marneffei</w:t>
      </w:r>
      <w:proofErr w:type="spellEnd"/>
      <w:r w:rsidRPr="002C492F">
        <w:rPr>
          <w:rFonts w:ascii="Times New Roman" w:hAnsi="Times New Roman" w:cs="Times New Roman"/>
          <w:i/>
          <w:sz w:val="20"/>
          <w:szCs w:val="20"/>
        </w:rPr>
        <w:t xml:space="preserve"> </w:t>
      </w:r>
      <w:r w:rsidRPr="002C492F">
        <w:rPr>
          <w:rFonts w:ascii="Times New Roman" w:hAnsi="Times New Roman" w:cs="Times New Roman"/>
          <w:sz w:val="20"/>
          <w:szCs w:val="20"/>
        </w:rPr>
        <w:t xml:space="preserve">inflammatory cytokines IL-6, IL-10, IL-23A in Dectin-1 mediated pathway were up-regulated following </w:t>
      </w:r>
      <w:proofErr w:type="spellStart"/>
      <w:r w:rsidRPr="002C492F">
        <w:rPr>
          <w:rFonts w:ascii="Times New Roman" w:hAnsi="Times New Roman" w:cs="Times New Roman"/>
          <w:i/>
          <w:sz w:val="20"/>
          <w:szCs w:val="20"/>
        </w:rPr>
        <w:t>T.marneffei</w:t>
      </w:r>
      <w:proofErr w:type="spellEnd"/>
      <w:r w:rsidRPr="002C492F">
        <w:rPr>
          <w:rFonts w:ascii="Times New Roman" w:hAnsi="Times New Roman" w:cs="Times New Roman"/>
          <w:sz w:val="20"/>
          <w:szCs w:val="20"/>
        </w:rPr>
        <w:t xml:space="preserve"> infection in vitro, while the levels of anti-</w:t>
      </w:r>
      <w:proofErr w:type="spellStart"/>
      <w:r w:rsidRPr="002C492F">
        <w:rPr>
          <w:rFonts w:ascii="Times New Roman" w:hAnsi="Times New Roman" w:cs="Times New Roman"/>
          <w:i/>
          <w:sz w:val="20"/>
          <w:szCs w:val="20"/>
        </w:rPr>
        <w:t>T.marneffei</w:t>
      </w:r>
      <w:proofErr w:type="spellEnd"/>
      <w:r w:rsidRPr="002C492F">
        <w:rPr>
          <w:rFonts w:ascii="Times New Roman" w:hAnsi="Times New Roman" w:cs="Times New Roman"/>
          <w:sz w:val="20"/>
          <w:szCs w:val="20"/>
        </w:rPr>
        <w:t xml:space="preserve"> inflammatory cytokines CXCL8 and TNF-α were down-regulated. But the levels of Dectin-1, IL-6, IL-10, </w:t>
      </w:r>
      <w:proofErr w:type="gramStart"/>
      <w:r w:rsidRPr="002C492F">
        <w:rPr>
          <w:rFonts w:ascii="Times New Roman" w:hAnsi="Times New Roman" w:cs="Times New Roman"/>
          <w:sz w:val="20"/>
          <w:szCs w:val="20"/>
        </w:rPr>
        <w:t>IL</w:t>
      </w:r>
      <w:proofErr w:type="gramEnd"/>
      <w:r w:rsidRPr="002C492F">
        <w:rPr>
          <w:rFonts w:ascii="Times New Roman" w:hAnsi="Times New Roman" w:cs="Times New Roman"/>
          <w:sz w:val="20"/>
          <w:szCs w:val="20"/>
        </w:rPr>
        <w:t>-23A were down-regulated after adding TMP/SMX to TM-infected macrophages for 24h, and the levels of CXCL8 and TNF-α were up-regulated after adding TMP/SMX to TM-infected macrophages for 24h. (a) Adding 32/160μg/ml TMP/SMX to TM-infected macrophages for 24h. (b) Adding 36/180μg/ml TMP/SMX to TM-infected macrophages for 24h. (c) Adding 40/200μg/ml TMP/SMX to TM-infected macrophages for 24h. (d) Adding 48/240μg/ml TMP/SMX to TM-infected macrophages for 24h. (e) Adding 56/</w:t>
      </w:r>
      <w:bookmarkStart w:id="1" w:name="_GoBack"/>
      <w:bookmarkEnd w:id="1"/>
      <w:r w:rsidRPr="002C492F">
        <w:rPr>
          <w:rFonts w:ascii="Times New Roman" w:hAnsi="Times New Roman" w:cs="Times New Roman"/>
          <w:sz w:val="20"/>
          <w:szCs w:val="20"/>
        </w:rPr>
        <w:t xml:space="preserve">280μg/ml TMP/SMX to TM-infected macrophages for 24h. (f) Adding 60/300μg/ml TMP/SMX to TM-infected macrophages for 24h. All the levels of mRNA expression were normalized to GAPDH and all data were showed as mean ± SD of results from at least three independent experiments (*, p&lt;0.05, **, p&lt;0.01, </w:t>
      </w:r>
      <w:r w:rsidRPr="002C492F">
        <w:rPr>
          <w:rFonts w:ascii="Times New Roman" w:hAnsi="Times New Roman" w:cs="Times New Roman"/>
          <w:noProof/>
          <w:kern w:val="0"/>
          <w:sz w:val="20"/>
          <w:szCs w:val="20"/>
        </w:rPr>
        <w:t>***, p&lt;0.001, ****, p&lt;0.0001, n.s, no significant difference, by Student’s t-test)</w:t>
      </w:r>
    </w:p>
    <w:p w:rsidR="00884C9E" w:rsidRPr="000F5C20" w:rsidRDefault="00303E9D">
      <w:pPr>
        <w:rPr>
          <w:rFonts w:ascii="Times New Roman" w:hAnsi="Times New Roman" w:cs="Times New Roman"/>
          <w:sz w:val="20"/>
          <w:szCs w:val="20"/>
        </w:rPr>
      </w:pPr>
    </w:p>
    <w:sectPr w:rsidR="00884C9E" w:rsidRPr="000F5C20" w:rsidSect="00276EA2">
      <w:footerReference w:type="default" r:id="rId8"/>
      <w:pgSz w:w="11906" w:h="16838" w:code="9"/>
      <w:pgMar w:top="1418" w:right="1418" w:bottom="1418" w:left="1418" w:header="964"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9D" w:rsidRDefault="00303E9D" w:rsidP="000F5C20">
      <w:r>
        <w:separator/>
      </w:r>
    </w:p>
  </w:endnote>
  <w:endnote w:type="continuationSeparator" w:id="0">
    <w:p w:rsidR="00303E9D" w:rsidRDefault="00303E9D" w:rsidP="000F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7976"/>
      <w:docPartObj>
        <w:docPartGallery w:val="Page Numbers (Bottom of Page)"/>
        <w:docPartUnique/>
      </w:docPartObj>
    </w:sdtPr>
    <w:sdtEndPr>
      <w:rPr>
        <w:rFonts w:ascii="Times New Roman" w:hAnsi="Times New Roman" w:cs="Times New Roman"/>
        <w:sz w:val="21"/>
        <w:szCs w:val="21"/>
      </w:rPr>
    </w:sdtEndPr>
    <w:sdtContent>
      <w:p w:rsidR="00630070" w:rsidRPr="00630070" w:rsidRDefault="00630070">
        <w:pPr>
          <w:pStyle w:val="a4"/>
          <w:jc w:val="center"/>
          <w:rPr>
            <w:rFonts w:ascii="Times New Roman" w:hAnsi="Times New Roman" w:cs="Times New Roman"/>
            <w:sz w:val="21"/>
            <w:szCs w:val="21"/>
          </w:rPr>
        </w:pPr>
        <w:r w:rsidRPr="00630070">
          <w:rPr>
            <w:rFonts w:ascii="Times New Roman" w:hAnsi="Times New Roman" w:cs="Times New Roman"/>
            <w:sz w:val="21"/>
            <w:szCs w:val="21"/>
          </w:rPr>
          <w:fldChar w:fldCharType="begin"/>
        </w:r>
        <w:r w:rsidRPr="00630070">
          <w:rPr>
            <w:rFonts w:ascii="Times New Roman" w:hAnsi="Times New Roman" w:cs="Times New Roman"/>
            <w:sz w:val="21"/>
            <w:szCs w:val="21"/>
          </w:rPr>
          <w:instrText>PAGE   \* MERGEFORMAT</w:instrText>
        </w:r>
        <w:r w:rsidRPr="00630070">
          <w:rPr>
            <w:rFonts w:ascii="Times New Roman" w:hAnsi="Times New Roman" w:cs="Times New Roman"/>
            <w:sz w:val="21"/>
            <w:szCs w:val="21"/>
          </w:rPr>
          <w:fldChar w:fldCharType="separate"/>
        </w:r>
        <w:r w:rsidR="006341AD" w:rsidRPr="006341AD">
          <w:rPr>
            <w:rFonts w:ascii="Times New Roman" w:hAnsi="Times New Roman" w:cs="Times New Roman"/>
            <w:noProof/>
            <w:sz w:val="21"/>
            <w:szCs w:val="21"/>
            <w:lang w:val="zh-CN"/>
          </w:rPr>
          <w:t>3</w:t>
        </w:r>
        <w:r w:rsidRPr="00630070">
          <w:rPr>
            <w:rFonts w:ascii="Times New Roman" w:hAnsi="Times New Roman" w:cs="Times New Roman"/>
            <w:sz w:val="21"/>
            <w:szCs w:val="21"/>
          </w:rPr>
          <w:fldChar w:fldCharType="end"/>
        </w:r>
      </w:p>
    </w:sdtContent>
  </w:sdt>
  <w:p w:rsidR="00630070" w:rsidRDefault="006300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9D" w:rsidRDefault="00303E9D" w:rsidP="000F5C20">
      <w:r>
        <w:separator/>
      </w:r>
    </w:p>
  </w:footnote>
  <w:footnote w:type="continuationSeparator" w:id="0">
    <w:p w:rsidR="00303E9D" w:rsidRDefault="00303E9D" w:rsidP="000F5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A2"/>
    <w:rsid w:val="0000160D"/>
    <w:rsid w:val="00053E63"/>
    <w:rsid w:val="000D70BC"/>
    <w:rsid w:val="000F5C20"/>
    <w:rsid w:val="00212DCB"/>
    <w:rsid w:val="00227196"/>
    <w:rsid w:val="00276EA2"/>
    <w:rsid w:val="002C492F"/>
    <w:rsid w:val="00303E9D"/>
    <w:rsid w:val="003923A5"/>
    <w:rsid w:val="003D1141"/>
    <w:rsid w:val="005260EE"/>
    <w:rsid w:val="00615F35"/>
    <w:rsid w:val="00630070"/>
    <w:rsid w:val="006341AD"/>
    <w:rsid w:val="00692593"/>
    <w:rsid w:val="0072484B"/>
    <w:rsid w:val="007D1A6C"/>
    <w:rsid w:val="00940010"/>
    <w:rsid w:val="00A33566"/>
    <w:rsid w:val="00BD2810"/>
    <w:rsid w:val="00D60FFC"/>
    <w:rsid w:val="00D715B9"/>
    <w:rsid w:val="00DA6B82"/>
    <w:rsid w:val="00EA79C8"/>
    <w:rsid w:val="00F107B5"/>
    <w:rsid w:val="00F6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257A27-BF5B-4653-AF2C-D8F48A19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5C20"/>
    <w:rPr>
      <w:sz w:val="18"/>
      <w:szCs w:val="18"/>
    </w:rPr>
  </w:style>
  <w:style w:type="paragraph" w:styleId="a4">
    <w:name w:val="footer"/>
    <w:basedOn w:val="a"/>
    <w:link w:val="Char0"/>
    <w:uiPriority w:val="99"/>
    <w:unhideWhenUsed/>
    <w:rsid w:val="000F5C20"/>
    <w:pPr>
      <w:tabs>
        <w:tab w:val="center" w:pos="4153"/>
        <w:tab w:val="right" w:pos="8306"/>
      </w:tabs>
      <w:snapToGrid w:val="0"/>
      <w:jc w:val="left"/>
    </w:pPr>
    <w:rPr>
      <w:sz w:val="18"/>
      <w:szCs w:val="18"/>
    </w:rPr>
  </w:style>
  <w:style w:type="character" w:customStyle="1" w:styleId="Char0">
    <w:name w:val="页脚 Char"/>
    <w:basedOn w:val="a0"/>
    <w:link w:val="a4"/>
    <w:uiPriority w:val="99"/>
    <w:rsid w:val="000F5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洁 陈</dc:creator>
  <cp:keywords/>
  <dc:description/>
  <cp:lastModifiedBy>洁 陈</cp:lastModifiedBy>
  <cp:revision>63</cp:revision>
  <dcterms:created xsi:type="dcterms:W3CDTF">2022-04-09T05:02:00Z</dcterms:created>
  <dcterms:modified xsi:type="dcterms:W3CDTF">2022-04-11T16:47:00Z</dcterms:modified>
</cp:coreProperties>
</file>