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DFA4" w14:textId="7F7A32F4" w:rsidR="005F5B49" w:rsidRDefault="005F5B49" w:rsidP="00372C9C">
      <w:pPr>
        <w:spacing w:line="360" w:lineRule="auto"/>
        <w:rPr>
          <w:rFonts w:ascii="Times New Roman" w:hAnsi="Times New Roman"/>
          <w:b/>
          <w:color w:val="000000" w:themeColor="text1"/>
          <w:sz w:val="22"/>
        </w:rPr>
      </w:pPr>
      <w:bookmarkStart w:id="0" w:name="_Hlk56495086"/>
      <w:r>
        <w:rPr>
          <w:rFonts w:ascii="Times New Roman" w:hAnsi="Times New Roman" w:hint="eastAsia"/>
          <w:b/>
          <w:color w:val="000000" w:themeColor="text1"/>
          <w:sz w:val="22"/>
        </w:rPr>
        <w:t>Method</w:t>
      </w:r>
      <w:r>
        <w:rPr>
          <w:rFonts w:ascii="Times New Roman" w:hAnsi="Times New Roman"/>
          <w:b/>
          <w:color w:val="000000" w:themeColor="text1"/>
          <w:sz w:val="22"/>
        </w:rPr>
        <w:t xml:space="preserve"> S1</w:t>
      </w:r>
    </w:p>
    <w:p w14:paraId="64CD9C9F" w14:textId="7BF22EEB" w:rsidR="00487C7E" w:rsidRPr="001D4232" w:rsidRDefault="001D4232" w:rsidP="00372C9C">
      <w:pPr>
        <w:spacing w:line="360" w:lineRule="auto"/>
        <w:rPr>
          <w:rFonts w:ascii="Times New Roman" w:hAnsi="Times New Roman"/>
          <w:b/>
          <w:color w:val="000000" w:themeColor="text1"/>
          <w:sz w:val="22"/>
        </w:rPr>
      </w:pPr>
      <w:r w:rsidRPr="001D4232">
        <w:rPr>
          <w:rFonts w:ascii="Times New Roman" w:hAnsi="Times New Roman"/>
          <w:b/>
          <w:color w:val="000000" w:themeColor="text1"/>
          <w:sz w:val="22"/>
        </w:rPr>
        <w:t>Anthocyanin</w:t>
      </w:r>
      <w:r w:rsidR="00487C7E" w:rsidRPr="001D4232">
        <w:rPr>
          <w:rFonts w:ascii="Times New Roman" w:hAnsi="Times New Roman"/>
          <w:b/>
          <w:color w:val="000000" w:themeColor="text1"/>
          <w:sz w:val="22"/>
        </w:rPr>
        <w:t xml:space="preserve"> metabolite profiling</w:t>
      </w:r>
    </w:p>
    <w:bookmarkEnd w:id="0"/>
    <w:p w14:paraId="30708B9B" w14:textId="7D8EA070" w:rsidR="001D4232" w:rsidRPr="001D4232" w:rsidRDefault="001D4232" w:rsidP="00372C9C">
      <w:pPr>
        <w:spacing w:line="360" w:lineRule="auto"/>
        <w:ind w:firstLine="440"/>
        <w:rPr>
          <w:rFonts w:ascii="Times New Roman" w:hAnsi="Times New Roman"/>
          <w:sz w:val="22"/>
        </w:rPr>
      </w:pPr>
      <w:r w:rsidRPr="001D4232">
        <w:rPr>
          <w:rFonts w:ascii="Times New Roman" w:hAnsi="Times New Roman"/>
          <w:sz w:val="22"/>
        </w:rPr>
        <w:t xml:space="preserve">The relative quantities of flavonoid metabolites in </w:t>
      </w:r>
      <w:r w:rsidRPr="001D4232">
        <w:rPr>
          <w:rFonts w:ascii="Times New Roman" w:hAnsi="Times New Roman"/>
          <w:i/>
          <w:iCs/>
          <w:sz w:val="22"/>
        </w:rPr>
        <w:t>Brassica</w:t>
      </w:r>
      <w:r w:rsidRPr="001D4232">
        <w:rPr>
          <w:rFonts w:ascii="Times New Roman" w:hAnsi="Times New Roman"/>
          <w:sz w:val="22"/>
        </w:rPr>
        <w:t xml:space="preserve"> </w:t>
      </w:r>
      <w:r w:rsidRPr="001D4232">
        <w:rPr>
          <w:rFonts w:ascii="Times New Roman" w:hAnsi="Times New Roman"/>
          <w:i/>
          <w:iCs/>
          <w:sz w:val="22"/>
        </w:rPr>
        <w:t>juncea</w:t>
      </w:r>
      <w:r w:rsidRPr="001D4232">
        <w:rPr>
          <w:rFonts w:ascii="Times New Roman" w:hAnsi="Times New Roman"/>
          <w:sz w:val="22"/>
        </w:rPr>
        <w:t xml:space="preserve"> leaves samples were analyzed with a liquid chromatography-electrospray ionization-tandem mass spectrometry (LC-ESI-MS/MS) system by </w:t>
      </w:r>
      <w:proofErr w:type="spellStart"/>
      <w:r w:rsidRPr="001D4232">
        <w:rPr>
          <w:rFonts w:ascii="Times New Roman" w:hAnsi="Times New Roman"/>
          <w:sz w:val="22"/>
        </w:rPr>
        <w:t>MetWare</w:t>
      </w:r>
      <w:proofErr w:type="spellEnd"/>
      <w:r w:rsidRPr="001D4232">
        <w:rPr>
          <w:rFonts w:ascii="Times New Roman" w:hAnsi="Times New Roman"/>
          <w:sz w:val="22"/>
        </w:rPr>
        <w:t xml:space="preserve"> (Wuhan, China). The liquid chromatography–electrospray ionization-tandem mass spectrometry (LC-ESI-MS/MS) system was used for the relative quantification of anthocyanin metabolites in </w:t>
      </w:r>
      <w:r w:rsidRPr="001D4232">
        <w:rPr>
          <w:rFonts w:ascii="Times New Roman" w:hAnsi="Times New Roman"/>
          <w:i/>
          <w:iCs/>
          <w:sz w:val="22"/>
        </w:rPr>
        <w:t>Brassica</w:t>
      </w:r>
      <w:r w:rsidRPr="001D4232">
        <w:rPr>
          <w:rFonts w:ascii="Times New Roman" w:hAnsi="Times New Roman"/>
          <w:sz w:val="22"/>
        </w:rPr>
        <w:t xml:space="preserve"> </w:t>
      </w:r>
      <w:r w:rsidRPr="001D4232">
        <w:rPr>
          <w:rFonts w:ascii="Times New Roman" w:hAnsi="Times New Roman"/>
          <w:i/>
          <w:iCs/>
          <w:sz w:val="22"/>
        </w:rPr>
        <w:t>juncea</w:t>
      </w:r>
      <w:r w:rsidRPr="001D4232">
        <w:rPr>
          <w:rFonts w:ascii="Times New Roman" w:hAnsi="Times New Roman"/>
          <w:sz w:val="22"/>
        </w:rPr>
        <w:t xml:space="preserve"> leaves samples. The </w:t>
      </w:r>
      <w:r w:rsidRPr="001D4232">
        <w:rPr>
          <w:rFonts w:ascii="Times New Roman" w:hAnsi="Times New Roman"/>
          <w:i/>
          <w:iCs/>
          <w:sz w:val="22"/>
        </w:rPr>
        <w:t>Brassica</w:t>
      </w:r>
      <w:r w:rsidRPr="001D4232">
        <w:rPr>
          <w:rFonts w:ascii="Times New Roman" w:hAnsi="Times New Roman"/>
          <w:sz w:val="22"/>
        </w:rPr>
        <w:t xml:space="preserve"> </w:t>
      </w:r>
      <w:r w:rsidRPr="001D4232">
        <w:rPr>
          <w:rFonts w:ascii="Times New Roman" w:hAnsi="Times New Roman"/>
          <w:i/>
          <w:iCs/>
          <w:sz w:val="22"/>
        </w:rPr>
        <w:t>juncea</w:t>
      </w:r>
      <w:r w:rsidRPr="001D4232">
        <w:rPr>
          <w:rFonts w:ascii="Times New Roman" w:hAnsi="Times New Roman"/>
          <w:sz w:val="22"/>
        </w:rPr>
        <w:t xml:space="preserve"> leaves samples (0.1 g powder) were treated with 1.0 mL 70% aqueous methanol overnight at 4 ℃. After a centrifugation at 10,000 × g for 10 min, the supernatants were collected (CNWBOND Carbon-GCB SPE Cartridge, 250 mg, 3 mL; ANPEL, Shanghai, China), filtered (SCAA-104, 0.22 μm pores; ANPEL), and analyzed with an LC-ESI-MS/MS system comprising the Shim-pack UFLC CBM30A system (Shimadzu) and the 6500 Q TRAP system (Applied Biosystems). The analytical conditions were as follows: LC: column, Waters ACQUITY UPLC HSS T3 C18 (1.8 µm, 2.1 mm × 100 mm); solvent system, water (0.04% acetic acid):acetonitrile (0.04% acetic acid); gradient program, 100:0 (v/v) at 0 min, 5:95 (v/v) at 11.0 min, 5:95 (v/v) at 12.0 min, 95:5 (v/v) at 12.1 min, and 95:5 (v/v) at 15.0 min; flow rate, 0.40 mL/min; temperature, 40 °C; injection volume: 2 </w:t>
      </w:r>
      <w:proofErr w:type="spellStart"/>
      <w:r w:rsidRPr="001D4232">
        <w:rPr>
          <w:rFonts w:ascii="Times New Roman" w:hAnsi="Times New Roman"/>
          <w:sz w:val="22"/>
        </w:rPr>
        <w:t>μL</w:t>
      </w:r>
      <w:proofErr w:type="spellEnd"/>
      <w:r w:rsidRPr="001D4232">
        <w:rPr>
          <w:rFonts w:ascii="Times New Roman" w:hAnsi="Times New Roman"/>
          <w:sz w:val="22"/>
        </w:rPr>
        <w:t xml:space="preserve">. The effluent was analyzed with an ESI-triple quadrupole-linear ion trap (Q TRAP) system. The LIT and triple quadrupole (QQQ) scans were acquired on a 6500 Q TRAP LC-MS/MS system equipped with an ESI Turbo Ion-Spray interface. The system was operated in the positive ion mode and controlled with the Analyst 1.6.3 program (AB </w:t>
      </w:r>
      <w:proofErr w:type="spellStart"/>
      <w:r w:rsidRPr="001D4232">
        <w:rPr>
          <w:rFonts w:ascii="Times New Roman" w:hAnsi="Times New Roman"/>
          <w:sz w:val="22"/>
        </w:rPr>
        <w:t>Sciex</w:t>
      </w:r>
      <w:proofErr w:type="spellEnd"/>
      <w:r w:rsidRPr="001D4232">
        <w:rPr>
          <w:rFonts w:ascii="Times New Roman" w:hAnsi="Times New Roman"/>
          <w:sz w:val="22"/>
        </w:rPr>
        <w:t xml:space="preserve">). Instrument tuning and mass calibration were completed with 10 and 100 </w:t>
      </w:r>
      <w:proofErr w:type="spellStart"/>
      <w:r w:rsidRPr="001D4232">
        <w:rPr>
          <w:rFonts w:ascii="Times New Roman" w:hAnsi="Times New Roman"/>
          <w:sz w:val="22"/>
        </w:rPr>
        <w:t>μmol</w:t>
      </w:r>
      <w:proofErr w:type="spellEnd"/>
      <w:r w:rsidRPr="001D4232">
        <w:rPr>
          <w:rFonts w:ascii="Times New Roman" w:hAnsi="Times New Roman"/>
          <w:sz w:val="22"/>
        </w:rPr>
        <w:t>/L polypropylene glycol solutions in QQQ and LIT modes, respectively. The QQQ scans were acquired as MRM experiments with the collision gas (nitrogen) set to 5 psi. The DP and CE were optimized for individual MRM transitions. A specific set of MRM transitions was monitored for each period according to the metabolites eluted within the period. Differentially accumulated metabolites were identified in each sample pair [fold-change ≥ 2 or ≤ 0.5, variable importance ≥ 1].</w:t>
      </w:r>
    </w:p>
    <w:p w14:paraId="0316F5DC" w14:textId="77777777" w:rsidR="00E43575" w:rsidRPr="001D4232" w:rsidRDefault="00E43575" w:rsidP="00372C9C">
      <w:pPr>
        <w:spacing w:line="360" w:lineRule="auto"/>
        <w:rPr>
          <w:rFonts w:ascii="Times New Roman" w:hAnsi="Times New Roman"/>
          <w:sz w:val="22"/>
        </w:rPr>
      </w:pPr>
    </w:p>
    <w:sectPr w:rsidR="00E43575" w:rsidRPr="001D4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19D88" w14:textId="77777777" w:rsidR="00A14D8D" w:rsidRDefault="00A14D8D" w:rsidP="00487C7E">
      <w:r>
        <w:separator/>
      </w:r>
    </w:p>
  </w:endnote>
  <w:endnote w:type="continuationSeparator" w:id="0">
    <w:p w14:paraId="71F474F3" w14:textId="77777777" w:rsidR="00A14D8D" w:rsidRDefault="00A14D8D" w:rsidP="004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937E7" w14:textId="77777777" w:rsidR="00A14D8D" w:rsidRDefault="00A14D8D" w:rsidP="00487C7E">
      <w:r>
        <w:separator/>
      </w:r>
    </w:p>
  </w:footnote>
  <w:footnote w:type="continuationSeparator" w:id="0">
    <w:p w14:paraId="571B8A75" w14:textId="77777777" w:rsidR="00A14D8D" w:rsidRDefault="00A14D8D" w:rsidP="00487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F6"/>
    <w:rsid w:val="001D4232"/>
    <w:rsid w:val="002B4231"/>
    <w:rsid w:val="00372C9C"/>
    <w:rsid w:val="00487C7E"/>
    <w:rsid w:val="005F5B49"/>
    <w:rsid w:val="006F6D1B"/>
    <w:rsid w:val="008A0598"/>
    <w:rsid w:val="00A14D8D"/>
    <w:rsid w:val="00B40537"/>
    <w:rsid w:val="00E43575"/>
    <w:rsid w:val="00E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90382"/>
  <w15:chartTrackingRefBased/>
  <w15:docId w15:val="{10FEF25C-4E84-4FCC-8A3A-E55715F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C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C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C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C7E"/>
    <w:rPr>
      <w:sz w:val="18"/>
      <w:szCs w:val="18"/>
    </w:rPr>
  </w:style>
  <w:style w:type="character" w:customStyle="1" w:styleId="fontstyle01">
    <w:name w:val="fontstyle01"/>
    <w:basedOn w:val="a0"/>
    <w:rsid w:val="00487C7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Yuanweilei</dc:creator>
  <cp:keywords/>
  <dc:description/>
  <cp:lastModifiedBy>光辉 安</cp:lastModifiedBy>
  <cp:revision>5</cp:revision>
  <dcterms:created xsi:type="dcterms:W3CDTF">2019-06-10T02:24:00Z</dcterms:created>
  <dcterms:modified xsi:type="dcterms:W3CDTF">2020-11-21T04:24:00Z</dcterms:modified>
</cp:coreProperties>
</file>