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F8E4" w14:textId="1D581F88" w:rsidR="000016A0" w:rsidRPr="005E7005" w:rsidRDefault="00862BB9" w:rsidP="00126530">
      <w:pPr>
        <w:spacing w:line="276" w:lineRule="auto"/>
        <w:jc w:val="center"/>
        <w:rPr>
          <w:rFonts w:ascii="Arial" w:hAnsi="Arial" w:cs="Arial"/>
          <w:b/>
          <w:sz w:val="20"/>
          <w:szCs w:val="20"/>
          <w:u w:val="single"/>
        </w:rPr>
      </w:pPr>
      <w:r w:rsidRPr="005E7005">
        <w:rPr>
          <w:rFonts w:ascii="Arial" w:hAnsi="Arial" w:cs="Arial"/>
          <w:b/>
          <w:sz w:val="20"/>
          <w:szCs w:val="20"/>
          <w:u w:val="single"/>
        </w:rPr>
        <w:t>S</w:t>
      </w:r>
      <w:r w:rsidR="006F6F0C">
        <w:rPr>
          <w:rFonts w:ascii="Arial" w:hAnsi="Arial" w:cs="Arial"/>
          <w:b/>
          <w:sz w:val="20"/>
          <w:szCs w:val="20"/>
          <w:u w:val="single"/>
        </w:rPr>
        <w:t xml:space="preserve">upplementary Information </w:t>
      </w:r>
      <w:bookmarkStart w:id="0" w:name="_GoBack"/>
      <w:bookmarkEnd w:id="0"/>
      <w:r w:rsidR="00D84B46" w:rsidRPr="005E7005">
        <w:rPr>
          <w:rFonts w:ascii="Arial" w:hAnsi="Arial" w:cs="Arial"/>
          <w:b/>
          <w:sz w:val="20"/>
          <w:szCs w:val="20"/>
          <w:u w:val="single"/>
        </w:rPr>
        <w:t xml:space="preserve">for </w:t>
      </w:r>
    </w:p>
    <w:p w14:paraId="48BAA34E" w14:textId="0615D701" w:rsidR="009940E6" w:rsidRPr="005E7005" w:rsidRDefault="00B32636" w:rsidP="00126530">
      <w:pPr>
        <w:spacing w:line="276" w:lineRule="auto"/>
        <w:jc w:val="center"/>
        <w:rPr>
          <w:rFonts w:ascii="Arial" w:hAnsi="Arial" w:cs="Arial"/>
          <w:b/>
          <w:sz w:val="20"/>
          <w:szCs w:val="20"/>
        </w:rPr>
      </w:pPr>
      <w:r w:rsidRPr="00B32636">
        <w:rPr>
          <w:rFonts w:ascii="Arial" w:hAnsi="Arial" w:cs="Arial"/>
          <w:b/>
          <w:sz w:val="20"/>
          <w:szCs w:val="20"/>
        </w:rPr>
        <w:t xml:space="preserve">Neolithic </w:t>
      </w:r>
      <w:proofErr w:type="spellStart"/>
      <w:r w:rsidRPr="00B32636">
        <w:rPr>
          <w:rFonts w:ascii="Arial" w:hAnsi="Arial" w:cs="Arial"/>
          <w:b/>
          <w:sz w:val="20"/>
          <w:szCs w:val="20"/>
        </w:rPr>
        <w:t>hydroclimatic</w:t>
      </w:r>
      <w:proofErr w:type="spellEnd"/>
      <w:r w:rsidRPr="00B32636">
        <w:rPr>
          <w:rFonts w:ascii="Arial" w:hAnsi="Arial" w:cs="Arial"/>
          <w:b/>
          <w:sz w:val="20"/>
          <w:szCs w:val="20"/>
        </w:rPr>
        <w:t xml:space="preserve"> change and water resources exploitation in the Fertile Crescent</w:t>
      </w:r>
    </w:p>
    <w:p w14:paraId="43EE541C" w14:textId="1357DB56" w:rsidR="00862BB9" w:rsidRPr="00CB2736" w:rsidRDefault="00862BB9" w:rsidP="00CB2736">
      <w:pPr>
        <w:shd w:val="clear" w:color="auto" w:fill="E7E6E6" w:themeFill="background2"/>
        <w:spacing w:line="276" w:lineRule="auto"/>
        <w:jc w:val="center"/>
        <w:rPr>
          <w:rFonts w:ascii="Arial" w:hAnsi="Arial" w:cs="Arial"/>
          <w:b/>
          <w:bCs/>
          <w:sz w:val="20"/>
          <w:szCs w:val="20"/>
        </w:rPr>
      </w:pPr>
      <w:r w:rsidRPr="00CB2736">
        <w:rPr>
          <w:rFonts w:ascii="Arial" w:hAnsi="Arial" w:cs="Arial"/>
          <w:b/>
          <w:bCs/>
          <w:sz w:val="20"/>
          <w:szCs w:val="20"/>
        </w:rPr>
        <w:t>Geological and geomorphological background</w:t>
      </w:r>
    </w:p>
    <w:p w14:paraId="110C882E" w14:textId="3FD6BA42" w:rsidR="009940E6" w:rsidRPr="005E7005" w:rsidRDefault="00862BB9" w:rsidP="00971906">
      <w:pPr>
        <w:spacing w:line="276" w:lineRule="auto"/>
        <w:jc w:val="both"/>
        <w:rPr>
          <w:rFonts w:ascii="Arial" w:hAnsi="Arial" w:cs="Arial"/>
          <w:sz w:val="20"/>
          <w:szCs w:val="20"/>
        </w:rPr>
      </w:pPr>
      <w:r w:rsidRPr="005E7005">
        <w:rPr>
          <w:rFonts w:ascii="Arial" w:hAnsi="Arial" w:cs="Arial"/>
          <w:sz w:val="20"/>
          <w:szCs w:val="20"/>
        </w:rPr>
        <w:t xml:space="preserve">Specimen </w:t>
      </w:r>
      <w:r w:rsidR="00B45F71">
        <w:rPr>
          <w:rFonts w:ascii="Arial" w:hAnsi="Arial" w:cs="Arial"/>
          <w:sz w:val="20"/>
          <w:szCs w:val="20"/>
        </w:rPr>
        <w:t>LoNAP514</w:t>
      </w:r>
      <w:r w:rsidR="00B45F71" w:rsidRPr="005E7005">
        <w:rPr>
          <w:rFonts w:ascii="Arial" w:hAnsi="Arial" w:cs="Arial"/>
          <w:sz w:val="20"/>
          <w:szCs w:val="20"/>
        </w:rPr>
        <w:t xml:space="preserve"> </w:t>
      </w:r>
      <w:proofErr w:type="gramStart"/>
      <w:r w:rsidRPr="005E7005">
        <w:rPr>
          <w:rFonts w:ascii="Arial" w:hAnsi="Arial" w:cs="Arial"/>
          <w:sz w:val="20"/>
          <w:szCs w:val="20"/>
        </w:rPr>
        <w:t>was retrieved</w:t>
      </w:r>
      <w:proofErr w:type="gramEnd"/>
      <w:r w:rsidRPr="005E7005">
        <w:rPr>
          <w:rFonts w:ascii="Arial" w:hAnsi="Arial" w:cs="Arial"/>
          <w:sz w:val="20"/>
          <w:szCs w:val="20"/>
        </w:rPr>
        <w:t xml:space="preserve"> </w:t>
      </w:r>
      <w:r w:rsidR="009974F9">
        <w:rPr>
          <w:rFonts w:ascii="Arial" w:hAnsi="Arial" w:cs="Arial"/>
          <w:sz w:val="20"/>
          <w:szCs w:val="20"/>
        </w:rPr>
        <w:t xml:space="preserve">at </w:t>
      </w:r>
      <w:r w:rsidR="009974F9">
        <w:rPr>
          <w:rFonts w:ascii="Times New Roman" w:hAnsi="Times New Roman" w:cs="Times New Roman"/>
          <w:sz w:val="20"/>
          <w:szCs w:val="20"/>
        </w:rPr>
        <w:t>⁓</w:t>
      </w:r>
      <w:r w:rsidR="009974F9">
        <w:rPr>
          <w:rFonts w:ascii="Arial" w:hAnsi="Arial" w:cs="Arial"/>
          <w:sz w:val="20"/>
          <w:szCs w:val="20"/>
        </w:rPr>
        <w:t xml:space="preserve">15 </w:t>
      </w:r>
      <w:r w:rsidR="009B16FB">
        <w:rPr>
          <w:rFonts w:ascii="Arial" w:hAnsi="Arial" w:cs="Arial"/>
          <w:sz w:val="20"/>
          <w:szCs w:val="20"/>
        </w:rPr>
        <w:t xml:space="preserve">m </w:t>
      </w:r>
      <w:r w:rsidR="009974F9">
        <w:rPr>
          <w:rFonts w:ascii="Arial" w:hAnsi="Arial" w:cs="Arial"/>
          <w:sz w:val="20"/>
          <w:szCs w:val="20"/>
        </w:rPr>
        <w:t xml:space="preserve">from the entrance of </w:t>
      </w:r>
      <w:r w:rsidRPr="005E7005">
        <w:rPr>
          <w:rFonts w:ascii="Arial" w:hAnsi="Arial" w:cs="Arial"/>
          <w:sz w:val="20"/>
          <w:szCs w:val="20"/>
        </w:rPr>
        <w:t xml:space="preserve">a </w:t>
      </w:r>
      <w:r w:rsidR="009974F9">
        <w:rPr>
          <w:rFonts w:ascii="Arial" w:hAnsi="Arial" w:cs="Arial"/>
          <w:sz w:val="20"/>
          <w:szCs w:val="20"/>
        </w:rPr>
        <w:t xml:space="preserve">shallow </w:t>
      </w:r>
      <w:r w:rsidRPr="005E7005">
        <w:rPr>
          <w:rFonts w:ascii="Arial" w:hAnsi="Arial" w:cs="Arial"/>
          <w:sz w:val="20"/>
          <w:szCs w:val="20"/>
        </w:rPr>
        <w:t>cave located in the part of the Zagros M</w:t>
      </w:r>
      <w:r w:rsidR="000676A1">
        <w:rPr>
          <w:rFonts w:ascii="Arial" w:hAnsi="Arial" w:cs="Arial"/>
          <w:sz w:val="20"/>
          <w:szCs w:val="20"/>
        </w:rPr>
        <w:t>ountains</w:t>
      </w:r>
      <w:r w:rsidRPr="005E7005">
        <w:rPr>
          <w:rFonts w:ascii="Arial" w:hAnsi="Arial" w:cs="Arial"/>
          <w:sz w:val="20"/>
          <w:szCs w:val="20"/>
        </w:rPr>
        <w:t xml:space="preserve"> </w:t>
      </w:r>
      <w:r w:rsidR="000676A1">
        <w:rPr>
          <w:rFonts w:ascii="Arial" w:hAnsi="Arial" w:cs="Arial"/>
          <w:sz w:val="20"/>
          <w:szCs w:val="20"/>
        </w:rPr>
        <w:t xml:space="preserve">traversing </w:t>
      </w:r>
      <w:r w:rsidRPr="005E7005">
        <w:rPr>
          <w:rFonts w:ascii="Arial" w:hAnsi="Arial" w:cs="Arial"/>
          <w:sz w:val="20"/>
          <w:szCs w:val="20"/>
        </w:rPr>
        <w:t xml:space="preserve">the governorate of </w:t>
      </w:r>
      <w:proofErr w:type="spellStart"/>
      <w:r w:rsidRPr="005E7005">
        <w:rPr>
          <w:rFonts w:ascii="Arial" w:hAnsi="Arial" w:cs="Arial"/>
          <w:sz w:val="20"/>
          <w:szCs w:val="20"/>
        </w:rPr>
        <w:t>Dohuk</w:t>
      </w:r>
      <w:proofErr w:type="spellEnd"/>
      <w:r w:rsidRPr="005E7005">
        <w:rPr>
          <w:rFonts w:ascii="Arial" w:hAnsi="Arial" w:cs="Arial"/>
          <w:sz w:val="20"/>
          <w:szCs w:val="20"/>
        </w:rPr>
        <w:t xml:space="preserve">, in the northern Kurdistan Region of Iraq. The region </w:t>
      </w:r>
      <w:r w:rsidR="000676A1">
        <w:rPr>
          <w:rFonts w:ascii="Arial" w:hAnsi="Arial" w:cs="Arial"/>
          <w:sz w:val="20"/>
          <w:szCs w:val="20"/>
        </w:rPr>
        <w:t xml:space="preserve">is part of </w:t>
      </w:r>
      <w:r w:rsidRPr="005E7005">
        <w:rPr>
          <w:rFonts w:ascii="Arial" w:hAnsi="Arial" w:cs="Arial"/>
          <w:sz w:val="20"/>
          <w:szCs w:val="20"/>
        </w:rPr>
        <w:t xml:space="preserve">the Zagros-Fold Thrust Belt (ZFTB) formed </w:t>
      </w:r>
      <w:r w:rsidR="000676A1">
        <w:rPr>
          <w:rFonts w:ascii="Arial" w:hAnsi="Arial" w:cs="Arial"/>
          <w:sz w:val="20"/>
          <w:szCs w:val="20"/>
        </w:rPr>
        <w:t xml:space="preserve">by </w:t>
      </w:r>
      <w:r w:rsidRPr="005E7005">
        <w:rPr>
          <w:rFonts w:ascii="Arial" w:hAnsi="Arial" w:cs="Arial"/>
          <w:sz w:val="20"/>
          <w:szCs w:val="20"/>
        </w:rPr>
        <w:t>continental collision</w:t>
      </w:r>
      <w:r w:rsidR="009974F9">
        <w:rPr>
          <w:rFonts w:ascii="Arial" w:hAnsi="Arial" w:cs="Arial"/>
          <w:sz w:val="20"/>
          <w:szCs w:val="20"/>
        </w:rPr>
        <w:t xml:space="preserve"> -</w:t>
      </w:r>
      <w:r w:rsidRPr="005E7005">
        <w:rPr>
          <w:rFonts w:ascii="Arial" w:hAnsi="Arial" w:cs="Arial"/>
          <w:sz w:val="20"/>
          <w:szCs w:val="20"/>
        </w:rPr>
        <w:t xml:space="preserve"> </w:t>
      </w:r>
      <w:r w:rsidR="009974F9" w:rsidRPr="005E7005">
        <w:rPr>
          <w:rFonts w:ascii="Arial" w:hAnsi="Arial" w:cs="Arial"/>
          <w:sz w:val="20"/>
          <w:szCs w:val="20"/>
        </w:rPr>
        <w:t>active since the Early Miocene</w:t>
      </w:r>
      <w:r w:rsidR="000676A1">
        <w:rPr>
          <w:rFonts w:ascii="Arial" w:hAnsi="Arial" w:cs="Arial"/>
          <w:sz w:val="20"/>
          <w:szCs w:val="20"/>
        </w:rPr>
        <w:t xml:space="preserve"> </w:t>
      </w:r>
      <w:r w:rsidR="009974F9">
        <w:rPr>
          <w:rFonts w:ascii="Arial" w:hAnsi="Arial" w:cs="Arial"/>
          <w:sz w:val="20"/>
          <w:szCs w:val="20"/>
        </w:rPr>
        <w:t>-</w:t>
      </w:r>
      <w:r w:rsidR="009974F9" w:rsidRPr="005E7005">
        <w:rPr>
          <w:rFonts w:ascii="Arial" w:hAnsi="Arial" w:cs="Arial"/>
          <w:sz w:val="20"/>
          <w:szCs w:val="20"/>
        </w:rPr>
        <w:t xml:space="preserve"> </w:t>
      </w:r>
      <w:r w:rsidRPr="005E7005">
        <w:rPr>
          <w:rFonts w:ascii="Arial" w:hAnsi="Arial" w:cs="Arial"/>
          <w:sz w:val="20"/>
          <w:szCs w:val="20"/>
        </w:rPr>
        <w:t xml:space="preserve">between the Arabian </w:t>
      </w:r>
      <w:r w:rsidR="009974F9">
        <w:rPr>
          <w:rFonts w:ascii="Arial" w:hAnsi="Arial" w:cs="Arial"/>
          <w:sz w:val="20"/>
          <w:szCs w:val="20"/>
        </w:rPr>
        <w:t>and Eurasia plates</w:t>
      </w:r>
      <w:r w:rsidRPr="005E7005">
        <w:rPr>
          <w:rFonts w:ascii="Arial" w:hAnsi="Arial" w:cs="Arial"/>
          <w:sz w:val="20"/>
          <w:szCs w:val="20"/>
        </w:rPr>
        <w:t xml:space="preserve"> (</w:t>
      </w:r>
      <w:proofErr w:type="spellStart"/>
      <w:r w:rsidRPr="005E7005">
        <w:rPr>
          <w:rFonts w:ascii="Arial" w:hAnsi="Arial" w:cs="Arial"/>
          <w:sz w:val="20"/>
          <w:szCs w:val="20"/>
        </w:rPr>
        <w:t>Csontos</w:t>
      </w:r>
      <w:proofErr w:type="spellEnd"/>
      <w:r w:rsidRPr="005E7005">
        <w:rPr>
          <w:rFonts w:ascii="Arial" w:hAnsi="Arial" w:cs="Arial"/>
          <w:sz w:val="20"/>
          <w:szCs w:val="20"/>
        </w:rPr>
        <w:t xml:space="preserve"> et al., 2012; Dewey et al., 1973; </w:t>
      </w:r>
      <w:proofErr w:type="spellStart"/>
      <w:r w:rsidRPr="005E7005">
        <w:rPr>
          <w:rFonts w:ascii="Arial" w:hAnsi="Arial" w:cs="Arial"/>
          <w:sz w:val="20"/>
          <w:szCs w:val="20"/>
        </w:rPr>
        <w:t>Dercourt</w:t>
      </w:r>
      <w:proofErr w:type="spellEnd"/>
      <w:r w:rsidRPr="005E7005">
        <w:rPr>
          <w:rFonts w:ascii="Arial" w:hAnsi="Arial" w:cs="Arial"/>
          <w:sz w:val="20"/>
          <w:szCs w:val="20"/>
        </w:rPr>
        <w:t xml:space="preserve"> et al., 1986; Fouad, 2015; </w:t>
      </w:r>
      <w:proofErr w:type="spellStart"/>
      <w:r w:rsidRPr="005E7005">
        <w:rPr>
          <w:rFonts w:ascii="Arial" w:hAnsi="Arial" w:cs="Arial"/>
          <w:sz w:val="20"/>
          <w:szCs w:val="20"/>
        </w:rPr>
        <w:t>Mouthereau</w:t>
      </w:r>
      <w:proofErr w:type="spellEnd"/>
      <w:r w:rsidRPr="005E7005">
        <w:rPr>
          <w:rFonts w:ascii="Arial" w:hAnsi="Arial" w:cs="Arial"/>
          <w:sz w:val="20"/>
          <w:szCs w:val="20"/>
        </w:rPr>
        <w:t xml:space="preserve"> et al., 2012). </w:t>
      </w:r>
      <w:r w:rsidR="000676A1">
        <w:rPr>
          <w:rFonts w:ascii="Arial" w:hAnsi="Arial" w:cs="Arial"/>
          <w:sz w:val="20"/>
          <w:szCs w:val="20"/>
        </w:rPr>
        <w:t>D</w:t>
      </w:r>
      <w:r w:rsidRPr="005E7005">
        <w:rPr>
          <w:rFonts w:ascii="Arial" w:hAnsi="Arial" w:cs="Arial"/>
          <w:sz w:val="20"/>
          <w:szCs w:val="20"/>
        </w:rPr>
        <w:t xml:space="preserve">eformation </w:t>
      </w:r>
      <w:r w:rsidR="000676A1">
        <w:rPr>
          <w:rFonts w:ascii="Arial" w:hAnsi="Arial" w:cs="Arial"/>
          <w:sz w:val="20"/>
          <w:szCs w:val="20"/>
        </w:rPr>
        <w:t xml:space="preserve">of the </w:t>
      </w:r>
      <w:r w:rsidR="000676A1" w:rsidRPr="005E7005">
        <w:rPr>
          <w:rFonts w:ascii="Arial" w:hAnsi="Arial" w:cs="Arial"/>
          <w:sz w:val="20"/>
          <w:szCs w:val="20"/>
        </w:rPr>
        <w:t xml:space="preserve">Zagros </w:t>
      </w:r>
      <w:r w:rsidR="000676A1">
        <w:rPr>
          <w:rFonts w:ascii="Arial" w:hAnsi="Arial" w:cs="Arial"/>
          <w:sz w:val="20"/>
          <w:szCs w:val="20"/>
        </w:rPr>
        <w:t xml:space="preserve">Mountains </w:t>
      </w:r>
      <w:r w:rsidRPr="005E7005">
        <w:rPr>
          <w:rFonts w:ascii="Arial" w:hAnsi="Arial" w:cs="Arial"/>
          <w:sz w:val="20"/>
          <w:szCs w:val="20"/>
        </w:rPr>
        <w:t>has propagated over the NE margin of the Arabian Plate toward</w:t>
      </w:r>
      <w:r w:rsidR="000676A1">
        <w:rPr>
          <w:rFonts w:ascii="Arial" w:hAnsi="Arial" w:cs="Arial"/>
          <w:sz w:val="20"/>
          <w:szCs w:val="20"/>
        </w:rPr>
        <w:t>s</w:t>
      </w:r>
      <w:r w:rsidRPr="005E7005">
        <w:rPr>
          <w:rFonts w:ascii="Arial" w:hAnsi="Arial" w:cs="Arial"/>
          <w:sz w:val="20"/>
          <w:szCs w:val="20"/>
        </w:rPr>
        <w:t xml:space="preserve"> the Mesopotamian Foreland Basin and the Persian Gulf (Blanc et al., 2003; </w:t>
      </w:r>
      <w:proofErr w:type="spellStart"/>
      <w:r w:rsidRPr="005E7005">
        <w:rPr>
          <w:rFonts w:ascii="Arial" w:hAnsi="Arial" w:cs="Arial"/>
          <w:sz w:val="20"/>
          <w:szCs w:val="20"/>
        </w:rPr>
        <w:t>Csontos</w:t>
      </w:r>
      <w:proofErr w:type="spellEnd"/>
      <w:r w:rsidRPr="005E7005">
        <w:rPr>
          <w:rFonts w:ascii="Arial" w:hAnsi="Arial" w:cs="Arial"/>
          <w:sz w:val="20"/>
          <w:szCs w:val="20"/>
        </w:rPr>
        <w:t xml:space="preserve"> et al., 2012; </w:t>
      </w:r>
      <w:proofErr w:type="spellStart"/>
      <w:r w:rsidRPr="005E7005">
        <w:rPr>
          <w:rFonts w:ascii="Arial" w:hAnsi="Arial" w:cs="Arial"/>
          <w:sz w:val="20"/>
          <w:szCs w:val="20"/>
        </w:rPr>
        <w:t>Vergés</w:t>
      </w:r>
      <w:proofErr w:type="spellEnd"/>
      <w:r w:rsidRPr="005E7005">
        <w:rPr>
          <w:rFonts w:ascii="Arial" w:hAnsi="Arial" w:cs="Arial"/>
          <w:sz w:val="20"/>
          <w:szCs w:val="20"/>
        </w:rPr>
        <w:t xml:space="preserve"> et al., 2011). In the study area, the ZFTB is organized into four di</w:t>
      </w:r>
      <w:r w:rsidRPr="005E7005">
        <w:rPr>
          <w:rFonts w:ascii="Arial" w:hAnsi="Arial" w:cs="Arial"/>
          <w:sz w:val="20"/>
          <w:szCs w:val="20"/>
          <w:lang w:val="it-IT"/>
        </w:rPr>
        <w:t>ﬀ</w:t>
      </w:r>
      <w:proofErr w:type="spellStart"/>
      <w:r w:rsidR="009974F9">
        <w:rPr>
          <w:rFonts w:ascii="Arial" w:hAnsi="Arial" w:cs="Arial"/>
          <w:sz w:val="20"/>
          <w:szCs w:val="20"/>
        </w:rPr>
        <w:t>erent</w:t>
      </w:r>
      <w:proofErr w:type="spellEnd"/>
      <w:r w:rsidR="009974F9">
        <w:rPr>
          <w:rFonts w:ascii="Arial" w:hAnsi="Arial" w:cs="Arial"/>
          <w:sz w:val="20"/>
          <w:szCs w:val="20"/>
        </w:rPr>
        <w:t xml:space="preserve"> zones, moving </w:t>
      </w:r>
      <w:r w:rsidRPr="005E7005">
        <w:rPr>
          <w:rFonts w:ascii="Arial" w:hAnsi="Arial" w:cs="Arial"/>
          <w:sz w:val="20"/>
          <w:szCs w:val="20"/>
        </w:rPr>
        <w:t>from the inner part of the orogeny (Imbricated and High Fold zones) to its foreland (Foothills zone and Mesopotamian Foreland Basin) (</w:t>
      </w:r>
      <w:proofErr w:type="spellStart"/>
      <w:r w:rsidRPr="005E7005">
        <w:rPr>
          <w:rFonts w:ascii="Arial" w:hAnsi="Arial" w:cs="Arial"/>
          <w:sz w:val="20"/>
          <w:szCs w:val="20"/>
        </w:rPr>
        <w:t>Berberian</w:t>
      </w:r>
      <w:proofErr w:type="spellEnd"/>
      <w:r w:rsidRPr="005E7005">
        <w:rPr>
          <w:rFonts w:ascii="Arial" w:hAnsi="Arial" w:cs="Arial"/>
          <w:sz w:val="20"/>
          <w:szCs w:val="20"/>
        </w:rPr>
        <w:t xml:space="preserve">, 1995; Fouad, 2015; </w:t>
      </w:r>
      <w:proofErr w:type="spellStart"/>
      <w:r w:rsidRPr="005E7005">
        <w:rPr>
          <w:rFonts w:ascii="Arial" w:hAnsi="Arial" w:cs="Arial"/>
          <w:sz w:val="20"/>
          <w:szCs w:val="20"/>
        </w:rPr>
        <w:t>Frizon</w:t>
      </w:r>
      <w:proofErr w:type="spellEnd"/>
      <w:r w:rsidRPr="005E7005">
        <w:rPr>
          <w:rFonts w:ascii="Arial" w:hAnsi="Arial" w:cs="Arial"/>
          <w:sz w:val="20"/>
          <w:szCs w:val="20"/>
        </w:rPr>
        <w:t xml:space="preserve"> de </w:t>
      </w:r>
      <w:proofErr w:type="spellStart"/>
      <w:r w:rsidRPr="005E7005">
        <w:rPr>
          <w:rFonts w:ascii="Arial" w:hAnsi="Arial" w:cs="Arial"/>
          <w:sz w:val="20"/>
          <w:szCs w:val="20"/>
        </w:rPr>
        <w:t>Lamotte</w:t>
      </w:r>
      <w:proofErr w:type="spellEnd"/>
      <w:r w:rsidRPr="005E7005">
        <w:rPr>
          <w:rFonts w:ascii="Arial" w:hAnsi="Arial" w:cs="Arial"/>
          <w:sz w:val="20"/>
          <w:szCs w:val="20"/>
        </w:rPr>
        <w:t xml:space="preserve"> et al., 2011; </w:t>
      </w:r>
      <w:proofErr w:type="spellStart"/>
      <w:r w:rsidRPr="005E7005">
        <w:rPr>
          <w:rFonts w:ascii="Arial" w:hAnsi="Arial" w:cs="Arial"/>
          <w:sz w:val="20"/>
          <w:szCs w:val="20"/>
        </w:rPr>
        <w:t>Jassim</w:t>
      </w:r>
      <w:proofErr w:type="spellEnd"/>
      <w:r w:rsidRPr="005E7005">
        <w:rPr>
          <w:rFonts w:ascii="Arial" w:hAnsi="Arial" w:cs="Arial"/>
          <w:sz w:val="20"/>
          <w:szCs w:val="20"/>
        </w:rPr>
        <w:t xml:space="preserve"> and Go</w:t>
      </w:r>
      <w:r w:rsidRPr="005E7005">
        <w:rPr>
          <w:rFonts w:ascii="Arial" w:hAnsi="Arial" w:cs="Arial"/>
          <w:sz w:val="20"/>
          <w:szCs w:val="20"/>
          <w:lang w:val="it-IT"/>
        </w:rPr>
        <w:t>ﬀ</w:t>
      </w:r>
      <w:r w:rsidR="00A0165D" w:rsidRPr="005E7005">
        <w:rPr>
          <w:rFonts w:ascii="Arial" w:hAnsi="Arial" w:cs="Arial"/>
          <w:sz w:val="20"/>
          <w:szCs w:val="20"/>
        </w:rPr>
        <w:t>, 2006). Th</w:t>
      </w:r>
      <w:r w:rsidRPr="005E7005">
        <w:rPr>
          <w:rFonts w:ascii="Arial" w:hAnsi="Arial" w:cs="Arial"/>
          <w:sz w:val="20"/>
          <w:szCs w:val="20"/>
        </w:rPr>
        <w:t xml:space="preserve">e deformation created a series of anticline folds </w:t>
      </w:r>
      <w:r w:rsidR="00A0165D" w:rsidRPr="005E7005">
        <w:rPr>
          <w:rFonts w:ascii="Arial" w:hAnsi="Arial" w:cs="Arial"/>
          <w:sz w:val="20"/>
          <w:szCs w:val="20"/>
        </w:rPr>
        <w:t xml:space="preserve">that </w:t>
      </w:r>
      <w:r w:rsidR="009974F9">
        <w:rPr>
          <w:rFonts w:ascii="Arial" w:hAnsi="Arial" w:cs="Arial"/>
          <w:sz w:val="20"/>
          <w:szCs w:val="20"/>
        </w:rPr>
        <w:t>represent</w:t>
      </w:r>
      <w:r w:rsidRPr="005E7005">
        <w:rPr>
          <w:rFonts w:ascii="Arial" w:hAnsi="Arial" w:cs="Arial"/>
          <w:sz w:val="20"/>
          <w:szCs w:val="20"/>
        </w:rPr>
        <w:t xml:space="preserve"> the main structural </w:t>
      </w:r>
      <w:r w:rsidR="009974F9">
        <w:rPr>
          <w:rFonts w:ascii="Arial" w:hAnsi="Arial" w:cs="Arial"/>
          <w:sz w:val="20"/>
          <w:szCs w:val="20"/>
        </w:rPr>
        <w:t>features</w:t>
      </w:r>
      <w:r w:rsidRPr="005E7005">
        <w:rPr>
          <w:rFonts w:ascii="Arial" w:hAnsi="Arial" w:cs="Arial"/>
          <w:sz w:val="20"/>
          <w:szCs w:val="20"/>
        </w:rPr>
        <w:t xml:space="preserve"> of the local landscape (Forti et al., 2021). In the </w:t>
      </w:r>
      <w:proofErr w:type="spellStart"/>
      <w:r w:rsidRPr="005E7005">
        <w:rPr>
          <w:rFonts w:ascii="Arial" w:hAnsi="Arial" w:cs="Arial"/>
          <w:sz w:val="20"/>
          <w:szCs w:val="20"/>
        </w:rPr>
        <w:t>Dohuk</w:t>
      </w:r>
      <w:proofErr w:type="spellEnd"/>
      <w:r w:rsidRPr="005E7005">
        <w:rPr>
          <w:rFonts w:ascii="Arial" w:hAnsi="Arial" w:cs="Arial"/>
          <w:sz w:val="20"/>
          <w:szCs w:val="20"/>
        </w:rPr>
        <w:t xml:space="preserve"> area, anticlines are W–E trending, while in the eastern and southern sector of the mountain belt </w:t>
      </w:r>
      <w:r w:rsidR="009974F9">
        <w:rPr>
          <w:rFonts w:ascii="Arial" w:hAnsi="Arial" w:cs="Arial"/>
          <w:sz w:val="20"/>
          <w:szCs w:val="20"/>
        </w:rPr>
        <w:t>the</w:t>
      </w:r>
      <w:r w:rsidR="00835F90">
        <w:rPr>
          <w:rFonts w:ascii="Arial" w:hAnsi="Arial" w:cs="Arial"/>
          <w:sz w:val="20"/>
          <w:szCs w:val="20"/>
        </w:rPr>
        <w:t>y</w:t>
      </w:r>
      <w:r w:rsidRPr="005E7005">
        <w:rPr>
          <w:rFonts w:ascii="Arial" w:hAnsi="Arial" w:cs="Arial"/>
          <w:sz w:val="20"/>
          <w:szCs w:val="20"/>
        </w:rPr>
        <w:t xml:space="preserve"> are NW–SE oriented. Geological strata folded and deformed in this </w:t>
      </w:r>
      <w:r w:rsidR="00A0165D" w:rsidRPr="005E7005">
        <w:rPr>
          <w:rFonts w:ascii="Arial" w:hAnsi="Arial" w:cs="Arial"/>
          <w:sz w:val="20"/>
          <w:szCs w:val="20"/>
        </w:rPr>
        <w:t xml:space="preserve">section </w:t>
      </w:r>
      <w:r w:rsidRPr="005E7005">
        <w:rPr>
          <w:rFonts w:ascii="Arial" w:hAnsi="Arial" w:cs="Arial"/>
          <w:sz w:val="20"/>
          <w:szCs w:val="20"/>
        </w:rPr>
        <w:t xml:space="preserve">of the ZFTB include Upper Triassic/Lower Cretaceous to Pliocene units. </w:t>
      </w:r>
      <w:proofErr w:type="spellStart"/>
      <w:r w:rsidR="00A0165D" w:rsidRPr="005E7005">
        <w:rPr>
          <w:rFonts w:ascii="Arial" w:hAnsi="Arial" w:cs="Arial"/>
          <w:sz w:val="20"/>
          <w:szCs w:val="20"/>
        </w:rPr>
        <w:t>Lithologically</w:t>
      </w:r>
      <w:proofErr w:type="spellEnd"/>
      <w:r w:rsidR="00A0165D" w:rsidRPr="005E7005">
        <w:rPr>
          <w:rFonts w:ascii="Arial" w:hAnsi="Arial" w:cs="Arial"/>
          <w:sz w:val="20"/>
          <w:szCs w:val="20"/>
        </w:rPr>
        <w:t>, the</w:t>
      </w:r>
      <w:r w:rsidRPr="005E7005">
        <w:rPr>
          <w:rFonts w:ascii="Arial" w:hAnsi="Arial" w:cs="Arial"/>
          <w:sz w:val="20"/>
          <w:szCs w:val="20"/>
        </w:rPr>
        <w:t xml:space="preserve"> </w:t>
      </w:r>
      <w:r w:rsidR="000676A1">
        <w:rPr>
          <w:rFonts w:ascii="Arial" w:hAnsi="Arial" w:cs="Arial"/>
          <w:sz w:val="20"/>
          <w:szCs w:val="20"/>
        </w:rPr>
        <w:t xml:space="preserve">local </w:t>
      </w:r>
      <w:r w:rsidRPr="005E7005">
        <w:rPr>
          <w:rFonts w:ascii="Arial" w:hAnsi="Arial" w:cs="Arial"/>
          <w:sz w:val="20"/>
          <w:szCs w:val="20"/>
        </w:rPr>
        <w:t xml:space="preserve">bedrock includes Ordovician sandstones and Carboniferous-Permian </w:t>
      </w:r>
      <w:proofErr w:type="spellStart"/>
      <w:r w:rsidRPr="005E7005">
        <w:rPr>
          <w:rFonts w:ascii="Arial" w:hAnsi="Arial" w:cs="Arial"/>
          <w:sz w:val="20"/>
          <w:szCs w:val="20"/>
        </w:rPr>
        <w:t>limestones</w:t>
      </w:r>
      <w:proofErr w:type="spellEnd"/>
      <w:r w:rsidRPr="005E7005">
        <w:rPr>
          <w:rFonts w:ascii="Arial" w:hAnsi="Arial" w:cs="Arial"/>
          <w:sz w:val="20"/>
          <w:szCs w:val="20"/>
        </w:rPr>
        <w:t xml:space="preserve"> and shale, Upper Triassic to Upper Cretaceous reef limestone and dolomitic limestone with </w:t>
      </w:r>
      <w:proofErr w:type="spellStart"/>
      <w:r w:rsidR="000676A1">
        <w:rPr>
          <w:rFonts w:ascii="Arial" w:hAnsi="Arial" w:cs="Arial"/>
          <w:sz w:val="20"/>
          <w:szCs w:val="20"/>
        </w:rPr>
        <w:t>inter?</w:t>
      </w:r>
      <w:r w:rsidRPr="005E7005">
        <w:rPr>
          <w:rFonts w:ascii="Arial" w:hAnsi="Arial" w:cs="Arial"/>
          <w:sz w:val="20"/>
          <w:szCs w:val="20"/>
        </w:rPr>
        <w:t>bedded</w:t>
      </w:r>
      <w:proofErr w:type="spellEnd"/>
      <w:r w:rsidRPr="005E7005">
        <w:rPr>
          <w:rFonts w:ascii="Arial" w:hAnsi="Arial" w:cs="Arial"/>
          <w:sz w:val="20"/>
          <w:szCs w:val="20"/>
        </w:rPr>
        <w:t xml:space="preserve"> marls and shales, Eocene limestone (</w:t>
      </w:r>
      <w:proofErr w:type="spellStart"/>
      <w:r w:rsidRPr="005E7005">
        <w:rPr>
          <w:rFonts w:ascii="Arial" w:hAnsi="Arial" w:cs="Arial"/>
          <w:sz w:val="20"/>
          <w:szCs w:val="20"/>
        </w:rPr>
        <w:t>Sissakian</w:t>
      </w:r>
      <w:proofErr w:type="spellEnd"/>
      <w:r w:rsidRPr="005E7005">
        <w:rPr>
          <w:rFonts w:ascii="Arial" w:hAnsi="Arial" w:cs="Arial"/>
          <w:sz w:val="20"/>
          <w:szCs w:val="20"/>
        </w:rPr>
        <w:t xml:space="preserve">, 2014; Zebari et al., 2019), Upper </w:t>
      </w:r>
      <w:proofErr w:type="spellStart"/>
      <w:r w:rsidRPr="005E7005">
        <w:rPr>
          <w:rFonts w:ascii="Arial" w:hAnsi="Arial" w:cs="Arial"/>
          <w:sz w:val="20"/>
          <w:szCs w:val="20"/>
        </w:rPr>
        <w:t>Paleocene</w:t>
      </w:r>
      <w:proofErr w:type="spellEnd"/>
      <w:r w:rsidRPr="005E7005">
        <w:rPr>
          <w:rFonts w:ascii="Arial" w:hAnsi="Arial" w:cs="Arial"/>
          <w:sz w:val="20"/>
          <w:szCs w:val="20"/>
        </w:rPr>
        <w:t xml:space="preserve"> to Lower Miocene limestone, </w:t>
      </w:r>
      <w:proofErr w:type="spellStart"/>
      <w:r w:rsidRPr="005E7005">
        <w:rPr>
          <w:rFonts w:ascii="Arial" w:hAnsi="Arial" w:cs="Arial"/>
          <w:sz w:val="20"/>
          <w:szCs w:val="20"/>
        </w:rPr>
        <w:t>dolostone</w:t>
      </w:r>
      <w:proofErr w:type="spellEnd"/>
      <w:r w:rsidRPr="005E7005">
        <w:rPr>
          <w:rFonts w:ascii="Arial" w:hAnsi="Arial" w:cs="Arial"/>
          <w:sz w:val="20"/>
          <w:szCs w:val="20"/>
        </w:rPr>
        <w:t xml:space="preserve"> and sandstone, </w:t>
      </w:r>
      <w:r w:rsidR="000676A1">
        <w:rPr>
          <w:rFonts w:ascii="Arial" w:hAnsi="Arial" w:cs="Arial"/>
          <w:sz w:val="20"/>
          <w:szCs w:val="20"/>
        </w:rPr>
        <w:t xml:space="preserve">and </w:t>
      </w:r>
      <w:proofErr w:type="spellStart"/>
      <w:r w:rsidRPr="005E7005">
        <w:rPr>
          <w:rFonts w:ascii="Arial" w:hAnsi="Arial" w:cs="Arial"/>
          <w:sz w:val="20"/>
          <w:szCs w:val="20"/>
        </w:rPr>
        <w:t>Plio</w:t>
      </w:r>
      <w:proofErr w:type="spellEnd"/>
      <w:r w:rsidRPr="005E7005">
        <w:rPr>
          <w:rFonts w:ascii="Arial" w:hAnsi="Arial" w:cs="Arial"/>
          <w:sz w:val="20"/>
          <w:szCs w:val="20"/>
        </w:rPr>
        <w:t xml:space="preserve">-Pleistocene conglomerates. From the geomorphological point of view, </w:t>
      </w:r>
      <w:r w:rsidR="000676A1">
        <w:rPr>
          <w:rFonts w:ascii="Arial" w:hAnsi="Arial" w:cs="Arial"/>
          <w:sz w:val="20"/>
          <w:szCs w:val="20"/>
        </w:rPr>
        <w:t xml:space="preserve">the </w:t>
      </w:r>
      <w:r w:rsidRPr="005E7005">
        <w:rPr>
          <w:rFonts w:ascii="Arial" w:hAnsi="Arial" w:cs="Arial"/>
          <w:sz w:val="20"/>
          <w:szCs w:val="20"/>
        </w:rPr>
        <w:t xml:space="preserve">anticlines are widely spaced, and the synclines create swales and plains </w:t>
      </w:r>
      <w:r w:rsidRPr="005E7005">
        <w:rPr>
          <w:rFonts w:ascii="Arial" w:hAnsi="Arial" w:cs="Arial"/>
          <w:sz w:val="20"/>
          <w:szCs w:val="20"/>
          <w:lang w:val="it-IT"/>
        </w:rPr>
        <w:t>ﬁ</w:t>
      </w:r>
      <w:proofErr w:type="spellStart"/>
      <w:r w:rsidRPr="005E7005">
        <w:rPr>
          <w:rFonts w:ascii="Arial" w:hAnsi="Arial" w:cs="Arial"/>
          <w:sz w:val="20"/>
          <w:szCs w:val="20"/>
        </w:rPr>
        <w:t>lled</w:t>
      </w:r>
      <w:proofErr w:type="spellEnd"/>
      <w:r w:rsidRPr="005E7005">
        <w:rPr>
          <w:rFonts w:ascii="Arial" w:hAnsi="Arial" w:cs="Arial"/>
          <w:sz w:val="20"/>
          <w:szCs w:val="20"/>
        </w:rPr>
        <w:t xml:space="preserve"> by various Quaternary sediments, including alluvial fans and </w:t>
      </w:r>
      <w:r w:rsidRPr="005E7005">
        <w:rPr>
          <w:rFonts w:ascii="Arial" w:hAnsi="Arial" w:cs="Arial"/>
          <w:sz w:val="20"/>
          <w:szCs w:val="20"/>
          <w:lang w:val="it-IT"/>
        </w:rPr>
        <w:t>ﬂ</w:t>
      </w:r>
      <w:proofErr w:type="spellStart"/>
      <w:r w:rsidRPr="005E7005">
        <w:rPr>
          <w:rFonts w:ascii="Arial" w:hAnsi="Arial" w:cs="Arial"/>
          <w:sz w:val="20"/>
          <w:szCs w:val="20"/>
        </w:rPr>
        <w:t>oodplain</w:t>
      </w:r>
      <w:proofErr w:type="spellEnd"/>
      <w:r w:rsidRPr="005E7005">
        <w:rPr>
          <w:rFonts w:ascii="Arial" w:hAnsi="Arial" w:cs="Arial"/>
          <w:sz w:val="20"/>
          <w:szCs w:val="20"/>
        </w:rPr>
        <w:t xml:space="preserve"> deposits, which </w:t>
      </w:r>
      <w:proofErr w:type="gramStart"/>
      <w:r w:rsidRPr="005E7005">
        <w:rPr>
          <w:rFonts w:ascii="Arial" w:hAnsi="Arial" w:cs="Arial"/>
          <w:sz w:val="20"/>
          <w:szCs w:val="20"/>
        </w:rPr>
        <w:t>are occasionally deformed</w:t>
      </w:r>
      <w:proofErr w:type="gramEnd"/>
      <w:r w:rsidRPr="005E7005">
        <w:rPr>
          <w:rFonts w:ascii="Arial" w:hAnsi="Arial" w:cs="Arial"/>
          <w:sz w:val="20"/>
          <w:szCs w:val="20"/>
        </w:rPr>
        <w:t xml:space="preserve"> by recent tectonic activity. Tectonic uplift and exhumation rate of the anticlinal ridges and syncline troughs promoted the formation of different physiographic units, resulting </w:t>
      </w:r>
      <w:r w:rsidR="000676A1">
        <w:rPr>
          <w:rFonts w:ascii="Arial" w:hAnsi="Arial" w:cs="Arial"/>
          <w:sz w:val="20"/>
          <w:szCs w:val="20"/>
        </w:rPr>
        <w:t xml:space="preserve">in </w:t>
      </w:r>
      <w:r w:rsidRPr="005E7005">
        <w:rPr>
          <w:rFonts w:ascii="Arial" w:hAnsi="Arial" w:cs="Arial"/>
          <w:sz w:val="20"/>
          <w:szCs w:val="20"/>
        </w:rPr>
        <w:t xml:space="preserve">a complex landscape (Forti et al., 2021). </w:t>
      </w:r>
      <w:r w:rsidR="00D84B46" w:rsidRPr="005E7005">
        <w:rPr>
          <w:rFonts w:ascii="Arial" w:hAnsi="Arial" w:cs="Arial"/>
          <w:sz w:val="20"/>
          <w:szCs w:val="20"/>
        </w:rPr>
        <w:t xml:space="preserve">The </w:t>
      </w:r>
      <w:proofErr w:type="gramStart"/>
      <w:r w:rsidR="00D84B46" w:rsidRPr="005E7005">
        <w:rPr>
          <w:rFonts w:ascii="Arial" w:hAnsi="Arial" w:cs="Arial"/>
          <w:sz w:val="20"/>
          <w:szCs w:val="20"/>
        </w:rPr>
        <w:t>large plain opening a</w:t>
      </w:r>
      <w:r w:rsidRPr="005E7005">
        <w:rPr>
          <w:rFonts w:ascii="Arial" w:hAnsi="Arial" w:cs="Arial"/>
          <w:sz w:val="20"/>
          <w:szCs w:val="20"/>
        </w:rPr>
        <w:t>t the foothills of the anticlines</w:t>
      </w:r>
      <w:r w:rsidR="00D84B46" w:rsidRPr="005E7005">
        <w:rPr>
          <w:rFonts w:ascii="Arial" w:hAnsi="Arial" w:cs="Arial"/>
          <w:sz w:val="20"/>
          <w:szCs w:val="20"/>
        </w:rPr>
        <w:t xml:space="preserve"> is </w:t>
      </w:r>
      <w:r w:rsidRPr="005E7005">
        <w:rPr>
          <w:rFonts w:ascii="Arial" w:hAnsi="Arial" w:cs="Arial"/>
          <w:sz w:val="20"/>
          <w:szCs w:val="20"/>
        </w:rPr>
        <w:t>crossed by the Tigris R</w:t>
      </w:r>
      <w:r w:rsidR="009974F9">
        <w:rPr>
          <w:rFonts w:ascii="Arial" w:hAnsi="Arial" w:cs="Arial"/>
          <w:sz w:val="20"/>
          <w:szCs w:val="20"/>
        </w:rPr>
        <w:t>iver and its many left</w:t>
      </w:r>
      <w:r w:rsidR="000676A1">
        <w:rPr>
          <w:rFonts w:ascii="Arial" w:hAnsi="Arial" w:cs="Arial"/>
          <w:sz w:val="20"/>
          <w:szCs w:val="20"/>
        </w:rPr>
        <w:t xml:space="preserve">-bank </w:t>
      </w:r>
      <w:r w:rsidR="009974F9">
        <w:rPr>
          <w:rFonts w:ascii="Arial" w:hAnsi="Arial" w:cs="Arial"/>
          <w:sz w:val="20"/>
          <w:szCs w:val="20"/>
        </w:rPr>
        <w:t>tributaries</w:t>
      </w:r>
      <w:r w:rsidRPr="005E7005">
        <w:rPr>
          <w:rFonts w:ascii="Arial" w:hAnsi="Arial" w:cs="Arial"/>
          <w:sz w:val="20"/>
          <w:szCs w:val="20"/>
        </w:rPr>
        <w:t xml:space="preserve">, whose watersheds extend along the Zagros </w:t>
      </w:r>
      <w:r w:rsidR="000676A1">
        <w:rPr>
          <w:rFonts w:ascii="Arial" w:hAnsi="Arial" w:cs="Arial"/>
          <w:sz w:val="20"/>
          <w:szCs w:val="20"/>
        </w:rPr>
        <w:t>Mountains</w:t>
      </w:r>
      <w:proofErr w:type="gramEnd"/>
      <w:r w:rsidRPr="005E7005">
        <w:rPr>
          <w:rFonts w:ascii="Arial" w:hAnsi="Arial" w:cs="Arial"/>
          <w:sz w:val="20"/>
          <w:szCs w:val="20"/>
        </w:rPr>
        <w:t>. Today, most of the</w:t>
      </w:r>
      <w:r w:rsidR="009974F9">
        <w:rPr>
          <w:rFonts w:ascii="Arial" w:hAnsi="Arial" w:cs="Arial"/>
          <w:sz w:val="20"/>
          <w:szCs w:val="20"/>
        </w:rPr>
        <w:t xml:space="preserve"> streams</w:t>
      </w:r>
      <w:r w:rsidRPr="005E7005">
        <w:rPr>
          <w:rFonts w:ascii="Arial" w:hAnsi="Arial" w:cs="Arial"/>
          <w:sz w:val="20"/>
          <w:szCs w:val="20"/>
        </w:rPr>
        <w:t xml:space="preserve"> show seasonal</w:t>
      </w:r>
      <w:r w:rsidR="004F0F34">
        <w:rPr>
          <w:rFonts w:ascii="Arial" w:hAnsi="Arial" w:cs="Arial"/>
          <w:sz w:val="20"/>
          <w:szCs w:val="20"/>
        </w:rPr>
        <w:t>-</w:t>
      </w:r>
      <w:r w:rsidRPr="005E7005">
        <w:rPr>
          <w:rFonts w:ascii="Arial" w:hAnsi="Arial" w:cs="Arial"/>
          <w:sz w:val="20"/>
          <w:szCs w:val="20"/>
        </w:rPr>
        <w:t>to</w:t>
      </w:r>
      <w:r w:rsidR="004F0F34">
        <w:rPr>
          <w:rFonts w:ascii="Arial" w:hAnsi="Arial" w:cs="Arial"/>
          <w:sz w:val="20"/>
          <w:szCs w:val="20"/>
        </w:rPr>
        <w:t>-</w:t>
      </w:r>
      <w:r w:rsidRPr="005E7005">
        <w:rPr>
          <w:rFonts w:ascii="Arial" w:hAnsi="Arial" w:cs="Arial"/>
          <w:sz w:val="20"/>
          <w:szCs w:val="20"/>
        </w:rPr>
        <w:t>ephemeral activity, and only the Tigris and its major tributaries are permanent. In the rainy season, the discharge of streams increases and flood</w:t>
      </w:r>
      <w:r w:rsidR="009974F9">
        <w:rPr>
          <w:rFonts w:ascii="Arial" w:hAnsi="Arial" w:cs="Arial"/>
          <w:sz w:val="20"/>
          <w:szCs w:val="20"/>
        </w:rPr>
        <w:t>ing</w:t>
      </w:r>
      <w:r w:rsidRPr="005E7005">
        <w:rPr>
          <w:rFonts w:ascii="Arial" w:hAnsi="Arial" w:cs="Arial"/>
          <w:sz w:val="20"/>
          <w:szCs w:val="20"/>
        </w:rPr>
        <w:t xml:space="preserve"> along the plains </w:t>
      </w:r>
      <w:r w:rsidR="009974F9">
        <w:rPr>
          <w:rFonts w:ascii="Arial" w:hAnsi="Arial" w:cs="Arial"/>
          <w:sz w:val="20"/>
          <w:szCs w:val="20"/>
        </w:rPr>
        <w:t>is</w:t>
      </w:r>
      <w:r w:rsidRPr="005E7005">
        <w:rPr>
          <w:rFonts w:ascii="Arial" w:hAnsi="Arial" w:cs="Arial"/>
          <w:sz w:val="20"/>
          <w:szCs w:val="20"/>
        </w:rPr>
        <w:t xml:space="preserve"> </w:t>
      </w:r>
      <w:r w:rsidR="00396F5C">
        <w:rPr>
          <w:rFonts w:ascii="Arial" w:hAnsi="Arial" w:cs="Arial"/>
          <w:sz w:val="20"/>
          <w:szCs w:val="20"/>
        </w:rPr>
        <w:t>common</w:t>
      </w:r>
      <w:r w:rsidRPr="005E7005">
        <w:rPr>
          <w:rFonts w:ascii="Arial" w:hAnsi="Arial" w:cs="Arial"/>
          <w:sz w:val="20"/>
          <w:szCs w:val="20"/>
        </w:rPr>
        <w:t>.</w:t>
      </w:r>
      <w:r w:rsidR="00971906">
        <w:rPr>
          <w:rFonts w:ascii="Arial" w:hAnsi="Arial" w:cs="Arial"/>
          <w:sz w:val="20"/>
          <w:szCs w:val="20"/>
        </w:rPr>
        <w:t xml:space="preserve"> </w:t>
      </w:r>
      <w:r w:rsidR="009940E6" w:rsidRPr="005E7005">
        <w:rPr>
          <w:rFonts w:ascii="Arial" w:hAnsi="Arial" w:cs="Arial"/>
          <w:sz w:val="20"/>
          <w:szCs w:val="20"/>
        </w:rPr>
        <w:br w:type="page"/>
      </w:r>
    </w:p>
    <w:p w14:paraId="2AEC1EB9" w14:textId="2FF1C4E9" w:rsidR="00126530" w:rsidRPr="005E7005" w:rsidRDefault="00126530" w:rsidP="00CB2736">
      <w:pPr>
        <w:shd w:val="clear" w:color="auto" w:fill="E7E6E6" w:themeFill="background2"/>
        <w:spacing w:line="276" w:lineRule="auto"/>
        <w:jc w:val="center"/>
        <w:rPr>
          <w:rFonts w:ascii="Arial" w:hAnsi="Arial" w:cs="Arial"/>
          <w:b/>
          <w:sz w:val="20"/>
          <w:szCs w:val="20"/>
        </w:rPr>
      </w:pPr>
      <w:r w:rsidRPr="005E7005">
        <w:rPr>
          <w:rFonts w:ascii="Arial" w:hAnsi="Arial" w:cs="Arial"/>
          <w:b/>
          <w:sz w:val="20"/>
          <w:szCs w:val="20"/>
        </w:rPr>
        <w:lastRenderedPageBreak/>
        <w:t>Figure S1:</w:t>
      </w:r>
    </w:p>
    <w:p w14:paraId="691BEF57" w14:textId="612D873E" w:rsidR="009940E6" w:rsidRPr="005E7005" w:rsidRDefault="009974F9" w:rsidP="00126530">
      <w:pPr>
        <w:spacing w:line="276" w:lineRule="auto"/>
        <w:jc w:val="center"/>
        <w:rPr>
          <w:rFonts w:ascii="Arial" w:hAnsi="Arial" w:cs="Arial"/>
          <w:b/>
          <w:sz w:val="20"/>
          <w:szCs w:val="20"/>
        </w:rPr>
      </w:pPr>
      <w:r w:rsidRPr="009974F9">
        <w:rPr>
          <w:rFonts w:ascii="Arial" w:hAnsi="Arial" w:cs="Arial"/>
          <w:b/>
          <w:noProof/>
          <w:sz w:val="20"/>
          <w:szCs w:val="20"/>
          <w:lang w:val="it-IT" w:eastAsia="it-IT"/>
        </w:rPr>
        <w:drawing>
          <wp:inline distT="0" distB="0" distL="0" distR="0" wp14:anchorId="7C135435" wp14:editId="431E2443">
            <wp:extent cx="5373384" cy="3450278"/>
            <wp:effectExtent l="0" t="0" r="0" b="0"/>
            <wp:docPr id="2" name="Immagine 2" descr="C:\Users\ASUS\Desktop\KR jan 2022\Figure S1-Regattieri et a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R jan 2022\Figure S1-Regattieri et aK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9341" cy="3460524"/>
                    </a:xfrm>
                    <a:prstGeom prst="rect">
                      <a:avLst/>
                    </a:prstGeom>
                    <a:noFill/>
                    <a:ln>
                      <a:noFill/>
                    </a:ln>
                  </pic:spPr>
                </pic:pic>
              </a:graphicData>
            </a:graphic>
          </wp:inline>
        </w:drawing>
      </w:r>
    </w:p>
    <w:p w14:paraId="293BB783" w14:textId="005FAD04" w:rsidR="00126530" w:rsidRPr="005E7005" w:rsidRDefault="00126530" w:rsidP="00126530">
      <w:pPr>
        <w:spacing w:line="276" w:lineRule="auto"/>
        <w:jc w:val="center"/>
        <w:rPr>
          <w:rFonts w:ascii="Arial" w:hAnsi="Arial" w:cs="Arial"/>
          <w:b/>
          <w:sz w:val="20"/>
          <w:szCs w:val="20"/>
        </w:rPr>
      </w:pPr>
    </w:p>
    <w:p w14:paraId="75FF373B" w14:textId="20752F5D" w:rsidR="00126530" w:rsidRPr="005E7005" w:rsidRDefault="00126530" w:rsidP="009940E6">
      <w:pPr>
        <w:spacing w:line="276" w:lineRule="auto"/>
        <w:jc w:val="both"/>
        <w:rPr>
          <w:rFonts w:ascii="Arial" w:hAnsi="Arial" w:cs="Arial"/>
          <w:sz w:val="20"/>
          <w:szCs w:val="20"/>
        </w:rPr>
      </w:pPr>
      <w:r w:rsidRPr="005E7005">
        <w:rPr>
          <w:rFonts w:ascii="Arial" w:hAnsi="Arial" w:cs="Arial"/>
          <w:sz w:val="20"/>
          <w:szCs w:val="20"/>
        </w:rPr>
        <w:t>Figure S1</w:t>
      </w:r>
      <w:r w:rsidR="00D9048B">
        <w:rPr>
          <w:rFonts w:ascii="Arial" w:hAnsi="Arial" w:cs="Arial"/>
          <w:sz w:val="20"/>
          <w:szCs w:val="20"/>
        </w:rPr>
        <w:t>.</w:t>
      </w:r>
      <w:r w:rsidRPr="005E7005">
        <w:rPr>
          <w:rFonts w:ascii="Arial" w:hAnsi="Arial" w:cs="Arial"/>
          <w:sz w:val="20"/>
          <w:szCs w:val="20"/>
        </w:rPr>
        <w:t xml:space="preserve"> The sampled piece</w:t>
      </w:r>
      <w:r w:rsidR="00333DE2">
        <w:rPr>
          <w:rFonts w:ascii="Arial" w:hAnsi="Arial" w:cs="Arial"/>
          <w:sz w:val="20"/>
          <w:szCs w:val="20"/>
        </w:rPr>
        <w:t>s</w:t>
      </w:r>
      <w:r w:rsidRPr="005E7005">
        <w:rPr>
          <w:rFonts w:ascii="Arial" w:hAnsi="Arial" w:cs="Arial"/>
          <w:sz w:val="20"/>
          <w:szCs w:val="20"/>
        </w:rPr>
        <w:t xml:space="preserve"> of flowstone </w:t>
      </w:r>
      <w:r w:rsidR="00B45F71">
        <w:rPr>
          <w:rFonts w:ascii="Arial" w:hAnsi="Arial" w:cs="Arial"/>
          <w:sz w:val="20"/>
          <w:szCs w:val="20"/>
        </w:rPr>
        <w:t>LoNAP514</w:t>
      </w:r>
      <w:r w:rsidRPr="005E7005">
        <w:rPr>
          <w:rFonts w:ascii="Arial" w:hAnsi="Arial" w:cs="Arial"/>
          <w:sz w:val="20"/>
          <w:szCs w:val="20"/>
        </w:rPr>
        <w:t xml:space="preserve"> </w:t>
      </w:r>
      <w:r w:rsidR="00333DE2">
        <w:rPr>
          <w:rFonts w:ascii="Arial" w:hAnsi="Arial" w:cs="Arial"/>
          <w:sz w:val="20"/>
          <w:szCs w:val="20"/>
        </w:rPr>
        <w:t>reporting the</w:t>
      </w:r>
      <w:r w:rsidRPr="005E7005">
        <w:rPr>
          <w:rFonts w:ascii="Arial" w:hAnsi="Arial" w:cs="Arial"/>
          <w:sz w:val="20"/>
          <w:szCs w:val="20"/>
        </w:rPr>
        <w:t xml:space="preserve"> stable isotope sampling track</w:t>
      </w:r>
      <w:r w:rsidR="009940E6" w:rsidRPr="005E7005">
        <w:rPr>
          <w:rFonts w:ascii="Arial" w:hAnsi="Arial" w:cs="Arial"/>
          <w:sz w:val="20"/>
          <w:szCs w:val="20"/>
        </w:rPr>
        <w:t>s (low</w:t>
      </w:r>
      <w:r w:rsidR="00333DE2">
        <w:rPr>
          <w:rFonts w:ascii="Arial" w:hAnsi="Arial" w:cs="Arial"/>
          <w:sz w:val="20"/>
          <w:szCs w:val="20"/>
        </w:rPr>
        <w:t xml:space="preserve"> in yellow</w:t>
      </w:r>
      <w:r w:rsidR="009940E6" w:rsidRPr="005E7005">
        <w:rPr>
          <w:rFonts w:ascii="Arial" w:hAnsi="Arial" w:cs="Arial"/>
          <w:sz w:val="20"/>
          <w:szCs w:val="20"/>
        </w:rPr>
        <w:t xml:space="preserve"> and high resolution</w:t>
      </w:r>
      <w:r w:rsidR="00333DE2">
        <w:rPr>
          <w:rFonts w:ascii="Arial" w:hAnsi="Arial" w:cs="Arial"/>
          <w:sz w:val="20"/>
          <w:szCs w:val="20"/>
        </w:rPr>
        <w:t xml:space="preserve"> in red</w:t>
      </w:r>
      <w:r w:rsidR="009940E6" w:rsidRPr="005E7005">
        <w:rPr>
          <w:rFonts w:ascii="Arial" w:hAnsi="Arial" w:cs="Arial"/>
          <w:sz w:val="20"/>
          <w:szCs w:val="20"/>
        </w:rPr>
        <w:t>)</w:t>
      </w:r>
      <w:r w:rsidRPr="005E7005">
        <w:rPr>
          <w:rFonts w:ascii="Arial" w:hAnsi="Arial" w:cs="Arial"/>
          <w:sz w:val="20"/>
          <w:szCs w:val="20"/>
        </w:rPr>
        <w:t xml:space="preserve">. </w:t>
      </w:r>
      <w:r w:rsidR="00333DE2">
        <w:rPr>
          <w:rFonts w:ascii="Arial" w:hAnsi="Arial" w:cs="Arial"/>
          <w:sz w:val="20"/>
          <w:szCs w:val="20"/>
        </w:rPr>
        <w:t>The low-</w:t>
      </w:r>
      <w:r w:rsidR="009940E6" w:rsidRPr="005E7005">
        <w:rPr>
          <w:rFonts w:ascii="Arial" w:hAnsi="Arial" w:cs="Arial"/>
          <w:sz w:val="20"/>
          <w:szCs w:val="20"/>
        </w:rPr>
        <w:t xml:space="preserve">resolution sampling was done manually </w:t>
      </w:r>
      <w:r w:rsidR="00396F5C">
        <w:rPr>
          <w:rFonts w:ascii="Arial" w:hAnsi="Arial" w:cs="Arial"/>
          <w:sz w:val="20"/>
          <w:szCs w:val="20"/>
        </w:rPr>
        <w:t xml:space="preserve">using </w:t>
      </w:r>
      <w:proofErr w:type="gramStart"/>
      <w:r w:rsidR="00396F5C">
        <w:rPr>
          <w:rFonts w:ascii="Arial" w:hAnsi="Arial" w:cs="Arial"/>
          <w:sz w:val="20"/>
          <w:szCs w:val="20"/>
        </w:rPr>
        <w:t>a</w:t>
      </w:r>
      <w:r w:rsidR="00B32636">
        <w:rPr>
          <w:rFonts w:ascii="Arial" w:hAnsi="Arial" w:cs="Arial"/>
          <w:sz w:val="20"/>
          <w:szCs w:val="20"/>
        </w:rPr>
        <w:t>n</w:t>
      </w:r>
      <w:proofErr w:type="gramEnd"/>
      <w:r w:rsidR="00B32636">
        <w:rPr>
          <w:rFonts w:ascii="Arial" w:hAnsi="Arial" w:cs="Arial"/>
          <w:sz w:val="20"/>
          <w:szCs w:val="20"/>
        </w:rPr>
        <w:t xml:space="preserve"> hand-held drill (</w:t>
      </w:r>
      <w:proofErr w:type="spellStart"/>
      <w:r w:rsidR="00B32636">
        <w:rPr>
          <w:rFonts w:ascii="Arial" w:hAnsi="Arial" w:cs="Arial"/>
          <w:sz w:val="20"/>
          <w:szCs w:val="20"/>
        </w:rPr>
        <w:t>Dremel</w:t>
      </w:r>
      <w:proofErr w:type="spellEnd"/>
      <w:r w:rsidR="00B32636">
        <w:rPr>
          <w:rFonts w:ascii="Arial" w:hAnsi="Arial" w:cs="Arial"/>
          <w:sz w:val="20"/>
          <w:szCs w:val="20"/>
        </w:rPr>
        <w:t xml:space="preserve">) </w:t>
      </w:r>
      <w:r w:rsidR="00396F5C">
        <w:rPr>
          <w:rFonts w:ascii="Arial" w:hAnsi="Arial" w:cs="Arial"/>
          <w:sz w:val="20"/>
          <w:szCs w:val="20"/>
        </w:rPr>
        <w:t xml:space="preserve">and </w:t>
      </w:r>
      <w:r w:rsidR="009940E6" w:rsidRPr="005E7005">
        <w:rPr>
          <w:rFonts w:ascii="Arial" w:hAnsi="Arial" w:cs="Arial"/>
          <w:sz w:val="20"/>
          <w:szCs w:val="20"/>
        </w:rPr>
        <w:t>a 1 mm drill-bit. The high</w:t>
      </w:r>
      <w:r w:rsidR="00AE51A8">
        <w:rPr>
          <w:rFonts w:ascii="Arial" w:hAnsi="Arial" w:cs="Arial"/>
          <w:sz w:val="20"/>
          <w:szCs w:val="20"/>
        </w:rPr>
        <w:t>-</w:t>
      </w:r>
      <w:r w:rsidR="009940E6" w:rsidRPr="005E7005">
        <w:rPr>
          <w:rFonts w:ascii="Arial" w:hAnsi="Arial" w:cs="Arial"/>
          <w:sz w:val="20"/>
          <w:szCs w:val="20"/>
        </w:rPr>
        <w:t>resolution sampling was performed with a milling machine with an average resolution of 0.3 mm</w:t>
      </w:r>
      <w:r w:rsidR="00333DE2">
        <w:rPr>
          <w:rFonts w:ascii="Arial" w:hAnsi="Arial" w:cs="Arial"/>
          <w:sz w:val="20"/>
          <w:szCs w:val="20"/>
        </w:rPr>
        <w:t>. Samples for dating were cut from the step resulting from the high</w:t>
      </w:r>
      <w:r w:rsidR="00FE1ED4">
        <w:rPr>
          <w:rFonts w:ascii="Arial" w:hAnsi="Arial" w:cs="Arial"/>
          <w:sz w:val="20"/>
          <w:szCs w:val="20"/>
        </w:rPr>
        <w:t>-</w:t>
      </w:r>
      <w:r w:rsidR="00333DE2">
        <w:rPr>
          <w:rFonts w:ascii="Arial" w:hAnsi="Arial" w:cs="Arial"/>
          <w:sz w:val="20"/>
          <w:szCs w:val="20"/>
        </w:rPr>
        <w:t>resolution sampling. Coloured thin lines represent identified laminations used to match the high</w:t>
      </w:r>
      <w:r w:rsidR="00FE1ED4">
        <w:rPr>
          <w:rFonts w:ascii="Arial" w:hAnsi="Arial" w:cs="Arial"/>
          <w:sz w:val="20"/>
          <w:szCs w:val="20"/>
        </w:rPr>
        <w:t>-</w:t>
      </w:r>
      <w:r w:rsidR="00333DE2">
        <w:rPr>
          <w:rFonts w:ascii="Arial" w:hAnsi="Arial" w:cs="Arial"/>
          <w:sz w:val="20"/>
          <w:szCs w:val="20"/>
        </w:rPr>
        <w:t xml:space="preserve"> and low</w:t>
      </w:r>
      <w:r w:rsidR="00FE1ED4">
        <w:rPr>
          <w:rFonts w:ascii="Arial" w:hAnsi="Arial" w:cs="Arial"/>
          <w:sz w:val="20"/>
          <w:szCs w:val="20"/>
        </w:rPr>
        <w:t>-</w:t>
      </w:r>
      <w:r w:rsidR="00333DE2">
        <w:rPr>
          <w:rFonts w:ascii="Arial" w:hAnsi="Arial" w:cs="Arial"/>
          <w:sz w:val="20"/>
          <w:szCs w:val="20"/>
        </w:rPr>
        <w:t>res</w:t>
      </w:r>
      <w:r w:rsidR="00FE1ED4">
        <w:rPr>
          <w:rFonts w:ascii="Arial" w:hAnsi="Arial" w:cs="Arial"/>
          <w:sz w:val="20"/>
          <w:szCs w:val="20"/>
        </w:rPr>
        <w:t>olution</w:t>
      </w:r>
      <w:r w:rsidR="00333DE2">
        <w:rPr>
          <w:rFonts w:ascii="Arial" w:hAnsi="Arial" w:cs="Arial"/>
          <w:sz w:val="20"/>
          <w:szCs w:val="20"/>
        </w:rPr>
        <w:t xml:space="preserve"> isotope series.</w:t>
      </w:r>
    </w:p>
    <w:p w14:paraId="2097242D" w14:textId="77777777" w:rsidR="00533ED2" w:rsidRPr="005E7005" w:rsidRDefault="00533ED2" w:rsidP="00126530">
      <w:pPr>
        <w:spacing w:line="276" w:lineRule="auto"/>
        <w:rPr>
          <w:rFonts w:ascii="Arial" w:hAnsi="Arial" w:cs="Arial"/>
          <w:sz w:val="20"/>
          <w:szCs w:val="20"/>
        </w:rPr>
      </w:pPr>
    </w:p>
    <w:p w14:paraId="5A1DE164" w14:textId="6775BD4D" w:rsidR="00862BB9" w:rsidRPr="005E7005" w:rsidRDefault="00862BB9" w:rsidP="00CB2736">
      <w:pPr>
        <w:shd w:val="clear" w:color="auto" w:fill="E7E6E6" w:themeFill="background2"/>
        <w:spacing w:line="276" w:lineRule="auto"/>
        <w:jc w:val="center"/>
        <w:rPr>
          <w:rFonts w:ascii="Arial" w:hAnsi="Arial" w:cs="Arial"/>
          <w:sz w:val="20"/>
          <w:szCs w:val="20"/>
        </w:rPr>
      </w:pPr>
      <w:r w:rsidRPr="005E7005">
        <w:rPr>
          <w:rFonts w:ascii="Arial" w:hAnsi="Arial" w:cs="Arial"/>
          <w:b/>
          <w:sz w:val="20"/>
          <w:szCs w:val="20"/>
        </w:rPr>
        <w:t>Fig</w:t>
      </w:r>
      <w:r w:rsidR="00D84B46" w:rsidRPr="005E7005">
        <w:rPr>
          <w:rFonts w:ascii="Arial" w:hAnsi="Arial" w:cs="Arial"/>
          <w:b/>
          <w:sz w:val="20"/>
          <w:szCs w:val="20"/>
        </w:rPr>
        <w:t>ure</w:t>
      </w:r>
      <w:r w:rsidR="00126530" w:rsidRPr="005E7005">
        <w:rPr>
          <w:rFonts w:ascii="Arial" w:hAnsi="Arial" w:cs="Arial"/>
          <w:b/>
          <w:sz w:val="20"/>
          <w:szCs w:val="20"/>
        </w:rPr>
        <w:t xml:space="preserve"> S2</w:t>
      </w:r>
      <w:r w:rsidR="006C2D0A" w:rsidRPr="005E7005">
        <w:rPr>
          <w:rFonts w:ascii="Arial" w:hAnsi="Arial" w:cs="Arial"/>
          <w:b/>
          <w:sz w:val="20"/>
          <w:szCs w:val="20"/>
        </w:rPr>
        <w:t>:</w:t>
      </w:r>
    </w:p>
    <w:p w14:paraId="23769EBE" w14:textId="1CFA1F1D" w:rsidR="006C2D0A" w:rsidRPr="005E7005" w:rsidRDefault="006C2D0A" w:rsidP="00126530">
      <w:pPr>
        <w:spacing w:line="276" w:lineRule="auto"/>
        <w:jc w:val="center"/>
        <w:rPr>
          <w:rFonts w:ascii="Arial" w:hAnsi="Arial" w:cs="Arial"/>
          <w:sz w:val="20"/>
          <w:szCs w:val="20"/>
        </w:rPr>
      </w:pPr>
      <w:r w:rsidRPr="005E7005">
        <w:rPr>
          <w:rFonts w:ascii="Arial" w:hAnsi="Arial" w:cs="Arial"/>
          <w:noProof/>
          <w:sz w:val="20"/>
          <w:szCs w:val="20"/>
          <w:lang w:val="it-IT" w:eastAsia="it-IT"/>
        </w:rPr>
        <w:drawing>
          <wp:inline distT="0" distB="0" distL="0" distR="0" wp14:anchorId="03F57888" wp14:editId="299854FE">
            <wp:extent cx="3790950" cy="3009900"/>
            <wp:effectExtent l="0" t="0" r="0" b="0"/>
            <wp:docPr id="1" name="Immagine 1" descr="C:\Users\ASUS\Desktop\KR jan 2022\Figure S1-Regattieri et al.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R jan 2022\Figure S1-Regattieri et al.K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0950" cy="3009900"/>
                    </a:xfrm>
                    <a:prstGeom prst="rect">
                      <a:avLst/>
                    </a:prstGeom>
                    <a:noFill/>
                    <a:ln>
                      <a:noFill/>
                    </a:ln>
                  </pic:spPr>
                </pic:pic>
              </a:graphicData>
            </a:graphic>
          </wp:inline>
        </w:drawing>
      </w:r>
    </w:p>
    <w:p w14:paraId="5D027DFF" w14:textId="16C26413" w:rsidR="006C2D0A" w:rsidRPr="00546141" w:rsidRDefault="006C2D0A" w:rsidP="00546141">
      <w:pPr>
        <w:spacing w:line="276" w:lineRule="auto"/>
        <w:rPr>
          <w:rFonts w:ascii="Arial" w:hAnsi="Arial" w:cs="Arial"/>
          <w:sz w:val="20"/>
          <w:szCs w:val="20"/>
        </w:rPr>
      </w:pPr>
      <w:r w:rsidRPr="005E7005">
        <w:rPr>
          <w:rFonts w:ascii="Arial" w:hAnsi="Arial" w:cs="Arial"/>
          <w:sz w:val="20"/>
          <w:szCs w:val="20"/>
        </w:rPr>
        <w:lastRenderedPageBreak/>
        <w:t>Figure S2</w:t>
      </w:r>
      <w:r w:rsidR="00D9048B">
        <w:rPr>
          <w:rFonts w:ascii="Arial" w:hAnsi="Arial" w:cs="Arial"/>
          <w:sz w:val="20"/>
          <w:szCs w:val="20"/>
        </w:rPr>
        <w:t xml:space="preserve">. </w:t>
      </w:r>
      <w:r w:rsidRPr="005E7005">
        <w:rPr>
          <w:rFonts w:ascii="Arial" w:hAnsi="Arial" w:cs="Arial"/>
          <w:sz w:val="20"/>
          <w:szCs w:val="20"/>
        </w:rPr>
        <w:t xml:space="preserve">Age-depth model for flowstone </w:t>
      </w:r>
      <w:r w:rsidR="00B45F71">
        <w:rPr>
          <w:rFonts w:ascii="Arial" w:hAnsi="Arial" w:cs="Arial"/>
          <w:sz w:val="20"/>
          <w:szCs w:val="20"/>
        </w:rPr>
        <w:t>LoNAP514</w:t>
      </w:r>
      <w:r w:rsidR="00396F5C">
        <w:rPr>
          <w:rFonts w:ascii="Arial" w:hAnsi="Arial" w:cs="Arial"/>
          <w:sz w:val="20"/>
          <w:szCs w:val="20"/>
        </w:rPr>
        <w:t>.</w:t>
      </w:r>
      <w:r w:rsidRPr="005E7005">
        <w:rPr>
          <w:rFonts w:ascii="Arial" w:hAnsi="Arial" w:cs="Arial"/>
          <w:sz w:val="20"/>
          <w:szCs w:val="20"/>
        </w:rPr>
        <w:t xml:space="preserve"> </w:t>
      </w:r>
      <w:r w:rsidR="00396F5C">
        <w:rPr>
          <w:rFonts w:ascii="Arial" w:hAnsi="Arial" w:cs="Arial"/>
          <w:sz w:val="20"/>
          <w:szCs w:val="20"/>
        </w:rPr>
        <w:t xml:space="preserve">Ages shown in grey </w:t>
      </w:r>
      <w:proofErr w:type="gramStart"/>
      <w:r w:rsidR="00396F5C">
        <w:rPr>
          <w:rFonts w:ascii="Arial" w:hAnsi="Arial" w:cs="Arial"/>
          <w:sz w:val="20"/>
          <w:szCs w:val="20"/>
        </w:rPr>
        <w:t xml:space="preserve">were </w:t>
      </w:r>
      <w:r w:rsidRPr="005E7005">
        <w:rPr>
          <w:rFonts w:ascii="Arial" w:hAnsi="Arial" w:cs="Arial"/>
          <w:sz w:val="20"/>
          <w:szCs w:val="20"/>
        </w:rPr>
        <w:t>rejected</w:t>
      </w:r>
      <w:proofErr w:type="gramEnd"/>
      <w:r w:rsidRPr="005E7005">
        <w:rPr>
          <w:rFonts w:ascii="Arial" w:hAnsi="Arial" w:cs="Arial"/>
          <w:sz w:val="20"/>
          <w:szCs w:val="20"/>
        </w:rPr>
        <w:t xml:space="preserve"> as outliers</w:t>
      </w:r>
      <w:r w:rsidR="00396F5C">
        <w:rPr>
          <w:rFonts w:ascii="Arial" w:hAnsi="Arial" w:cs="Arial"/>
          <w:sz w:val="20"/>
          <w:szCs w:val="20"/>
        </w:rPr>
        <w:t>.</w:t>
      </w:r>
      <w:r w:rsidR="00B45F71">
        <w:rPr>
          <w:rFonts w:ascii="Arial" w:hAnsi="Arial" w:cs="Arial"/>
          <w:sz w:val="20"/>
          <w:szCs w:val="20"/>
        </w:rPr>
        <w:t xml:space="preserve"> The age-</w:t>
      </w:r>
      <w:r w:rsidR="00EE4DAE">
        <w:rPr>
          <w:rFonts w:ascii="Arial" w:hAnsi="Arial" w:cs="Arial"/>
          <w:sz w:val="20"/>
          <w:szCs w:val="20"/>
        </w:rPr>
        <w:t xml:space="preserve">depth model </w:t>
      </w:r>
      <w:proofErr w:type="gramStart"/>
      <w:r w:rsidR="00EE4DAE">
        <w:rPr>
          <w:rFonts w:ascii="Arial" w:hAnsi="Arial" w:cs="Arial"/>
          <w:sz w:val="20"/>
          <w:szCs w:val="20"/>
        </w:rPr>
        <w:t>was constructed</w:t>
      </w:r>
      <w:proofErr w:type="gramEnd"/>
      <w:r w:rsidR="00EE4DAE">
        <w:rPr>
          <w:rFonts w:ascii="Arial" w:hAnsi="Arial" w:cs="Arial"/>
          <w:sz w:val="20"/>
          <w:szCs w:val="20"/>
        </w:rPr>
        <w:t xml:space="preserve"> following Drysdale et al. </w:t>
      </w:r>
      <w:r w:rsidR="00396F5C">
        <w:rPr>
          <w:rFonts w:ascii="Arial" w:hAnsi="Arial" w:cs="Arial"/>
          <w:sz w:val="20"/>
          <w:szCs w:val="20"/>
        </w:rPr>
        <w:t>(</w:t>
      </w:r>
      <w:r w:rsidR="00EE4DAE">
        <w:rPr>
          <w:rFonts w:ascii="Arial" w:hAnsi="Arial" w:cs="Arial"/>
          <w:sz w:val="20"/>
          <w:szCs w:val="20"/>
        </w:rPr>
        <w:t>2005</w:t>
      </w:r>
      <w:r w:rsidR="00396F5C">
        <w:rPr>
          <w:rFonts w:ascii="Arial" w:hAnsi="Arial" w:cs="Arial"/>
          <w:sz w:val="20"/>
          <w:szCs w:val="20"/>
        </w:rPr>
        <w:t>)</w:t>
      </w:r>
      <w:r w:rsidR="00EE4DAE">
        <w:rPr>
          <w:rFonts w:ascii="Arial" w:hAnsi="Arial" w:cs="Arial"/>
          <w:sz w:val="20"/>
          <w:szCs w:val="20"/>
        </w:rPr>
        <w:t xml:space="preserve"> and Hellstrom et al. </w:t>
      </w:r>
      <w:r w:rsidR="00396F5C">
        <w:rPr>
          <w:rFonts w:ascii="Arial" w:hAnsi="Arial" w:cs="Arial"/>
          <w:sz w:val="20"/>
          <w:szCs w:val="20"/>
        </w:rPr>
        <w:t>(</w:t>
      </w:r>
      <w:r w:rsidR="00EE4DAE">
        <w:rPr>
          <w:rFonts w:ascii="Arial" w:hAnsi="Arial" w:cs="Arial"/>
          <w:sz w:val="20"/>
          <w:szCs w:val="20"/>
        </w:rPr>
        <w:t>2006</w:t>
      </w:r>
      <w:r w:rsidR="00396F5C">
        <w:rPr>
          <w:rFonts w:ascii="Arial" w:hAnsi="Arial" w:cs="Arial"/>
          <w:sz w:val="20"/>
          <w:szCs w:val="20"/>
        </w:rPr>
        <w:t>)</w:t>
      </w:r>
      <w:r w:rsidR="00EE4DAE">
        <w:rPr>
          <w:rFonts w:ascii="Arial" w:hAnsi="Arial" w:cs="Arial"/>
          <w:sz w:val="20"/>
          <w:szCs w:val="20"/>
        </w:rPr>
        <w:t>.</w:t>
      </w:r>
    </w:p>
    <w:p w14:paraId="475C95B7" w14:textId="2CE44BF5" w:rsidR="00862BB9" w:rsidRPr="005E7005" w:rsidRDefault="00862BB9" w:rsidP="00126530">
      <w:pPr>
        <w:spacing w:line="276" w:lineRule="auto"/>
        <w:jc w:val="both"/>
        <w:rPr>
          <w:rFonts w:ascii="Arial" w:hAnsi="Arial" w:cs="Arial"/>
          <w:sz w:val="20"/>
          <w:szCs w:val="20"/>
        </w:rPr>
      </w:pPr>
    </w:p>
    <w:p w14:paraId="45E865E5" w14:textId="2C862233" w:rsidR="00862BB9" w:rsidRPr="005E7005" w:rsidRDefault="006C2D0A" w:rsidP="00CB2736">
      <w:pPr>
        <w:shd w:val="clear" w:color="auto" w:fill="E7E6E6" w:themeFill="background2"/>
        <w:spacing w:line="276" w:lineRule="auto"/>
        <w:jc w:val="center"/>
        <w:rPr>
          <w:rFonts w:ascii="Arial" w:hAnsi="Arial" w:cs="Arial"/>
          <w:b/>
          <w:sz w:val="20"/>
          <w:szCs w:val="20"/>
        </w:rPr>
      </w:pPr>
      <w:r w:rsidRPr="005E7005">
        <w:rPr>
          <w:rFonts w:ascii="Arial" w:hAnsi="Arial" w:cs="Arial"/>
          <w:b/>
          <w:sz w:val="20"/>
          <w:szCs w:val="20"/>
        </w:rPr>
        <w:t>Statistical comparison of δ</w:t>
      </w:r>
      <w:r w:rsidRPr="005E7005">
        <w:rPr>
          <w:rFonts w:ascii="Arial" w:hAnsi="Arial" w:cs="Arial"/>
          <w:b/>
          <w:sz w:val="20"/>
          <w:szCs w:val="20"/>
          <w:vertAlign w:val="superscript"/>
        </w:rPr>
        <w:t>13</w:t>
      </w:r>
      <w:r w:rsidRPr="005E7005">
        <w:rPr>
          <w:rFonts w:ascii="Arial" w:hAnsi="Arial" w:cs="Arial"/>
          <w:b/>
          <w:sz w:val="20"/>
          <w:szCs w:val="20"/>
        </w:rPr>
        <w:t>C and δ</w:t>
      </w:r>
      <w:r w:rsidRPr="005E7005">
        <w:rPr>
          <w:rFonts w:ascii="Arial" w:hAnsi="Arial" w:cs="Arial"/>
          <w:b/>
          <w:sz w:val="20"/>
          <w:szCs w:val="20"/>
          <w:vertAlign w:val="superscript"/>
        </w:rPr>
        <w:t>18</w:t>
      </w:r>
      <w:r w:rsidRPr="005E7005">
        <w:rPr>
          <w:rFonts w:ascii="Arial" w:hAnsi="Arial" w:cs="Arial"/>
          <w:b/>
          <w:sz w:val="20"/>
          <w:szCs w:val="20"/>
        </w:rPr>
        <w:t>O isotope ratios</w:t>
      </w:r>
    </w:p>
    <w:p w14:paraId="7F99E8EA" w14:textId="7F41414C" w:rsidR="009940E6" w:rsidRPr="005E7005" w:rsidRDefault="006C2D0A" w:rsidP="00971906">
      <w:pPr>
        <w:spacing w:line="276" w:lineRule="auto"/>
        <w:jc w:val="both"/>
        <w:rPr>
          <w:rFonts w:ascii="Arial" w:hAnsi="Arial" w:cs="Arial"/>
          <w:sz w:val="20"/>
          <w:szCs w:val="20"/>
        </w:rPr>
      </w:pPr>
      <w:r w:rsidRPr="005E7005">
        <w:rPr>
          <w:rFonts w:ascii="Arial" w:hAnsi="Arial" w:cs="Arial"/>
          <w:sz w:val="20"/>
          <w:szCs w:val="20"/>
        </w:rPr>
        <w:t xml:space="preserve">To </w:t>
      </w:r>
      <w:r w:rsidR="008E3D80">
        <w:rPr>
          <w:rFonts w:ascii="Arial" w:hAnsi="Arial" w:cs="Arial"/>
          <w:sz w:val="20"/>
          <w:szCs w:val="20"/>
        </w:rPr>
        <w:t xml:space="preserve">quantify </w:t>
      </w:r>
      <w:r w:rsidRPr="005E7005">
        <w:rPr>
          <w:rFonts w:ascii="Arial" w:hAnsi="Arial" w:cs="Arial"/>
          <w:sz w:val="20"/>
          <w:szCs w:val="20"/>
        </w:rPr>
        <w:t>similarities between the two isotope series, we standardiz</w:t>
      </w:r>
      <w:r w:rsidR="008E3D80">
        <w:rPr>
          <w:rFonts w:ascii="Arial" w:hAnsi="Arial" w:cs="Arial"/>
          <w:sz w:val="20"/>
          <w:szCs w:val="20"/>
        </w:rPr>
        <w:t>ed</w:t>
      </w:r>
      <w:r w:rsidRPr="005E7005">
        <w:rPr>
          <w:rFonts w:ascii="Arial" w:hAnsi="Arial" w:cs="Arial"/>
          <w:sz w:val="20"/>
          <w:szCs w:val="20"/>
        </w:rPr>
        <w:t xml:space="preserve"> </w:t>
      </w:r>
      <w:r w:rsidR="008E3D80">
        <w:rPr>
          <w:rFonts w:ascii="Arial" w:hAnsi="Arial" w:cs="Arial"/>
          <w:sz w:val="20"/>
          <w:szCs w:val="20"/>
        </w:rPr>
        <w:t xml:space="preserve">each by first applying a 3-point smoothing then normalising </w:t>
      </w:r>
      <w:proofErr w:type="gramStart"/>
      <w:r w:rsidR="008E3D80">
        <w:rPr>
          <w:rFonts w:ascii="Arial" w:hAnsi="Arial" w:cs="Arial"/>
          <w:sz w:val="20"/>
          <w:szCs w:val="20"/>
        </w:rPr>
        <w:t xml:space="preserve">smoothing </w:t>
      </w:r>
      <w:r w:rsidR="0072605D" w:rsidRPr="005E7005">
        <w:rPr>
          <w:rFonts w:ascii="Arial" w:hAnsi="Arial" w:cs="Arial"/>
          <w:sz w:val="20"/>
          <w:szCs w:val="20"/>
        </w:rPr>
        <w:t>,</w:t>
      </w:r>
      <w:proofErr w:type="gramEnd"/>
      <w:r w:rsidRPr="005E7005">
        <w:rPr>
          <w:rFonts w:ascii="Arial" w:hAnsi="Arial" w:cs="Arial"/>
          <w:sz w:val="20"/>
          <w:szCs w:val="20"/>
        </w:rPr>
        <w:t xml:space="preserve"> previously described </w:t>
      </w:r>
      <w:r w:rsidR="005E7F0A" w:rsidRPr="005E7005">
        <w:rPr>
          <w:rFonts w:ascii="Arial" w:hAnsi="Arial" w:cs="Arial"/>
          <w:sz w:val="20"/>
          <w:szCs w:val="20"/>
        </w:rPr>
        <w:t xml:space="preserve">by Regattieri et al. (2014). </w:t>
      </w:r>
      <w:r w:rsidRPr="005E7005">
        <w:rPr>
          <w:rFonts w:ascii="Arial" w:hAnsi="Arial" w:cs="Arial"/>
          <w:sz w:val="20"/>
          <w:szCs w:val="20"/>
        </w:rPr>
        <w:t>We first smoothed the two isotope series using a 3-point</w:t>
      </w:r>
      <w:r w:rsidR="005E7F0A" w:rsidRPr="005E7005">
        <w:rPr>
          <w:rFonts w:ascii="Arial" w:hAnsi="Arial" w:cs="Arial"/>
          <w:sz w:val="20"/>
          <w:szCs w:val="20"/>
        </w:rPr>
        <w:t>s</w:t>
      </w:r>
      <w:r w:rsidR="0072605D" w:rsidRPr="005E7005">
        <w:rPr>
          <w:rFonts w:ascii="Arial" w:hAnsi="Arial" w:cs="Arial"/>
          <w:sz w:val="20"/>
          <w:szCs w:val="20"/>
        </w:rPr>
        <w:t xml:space="preserve"> moving average. T</w:t>
      </w:r>
      <w:r w:rsidRPr="005E7005">
        <w:rPr>
          <w:rFonts w:ascii="Arial" w:hAnsi="Arial" w:cs="Arial"/>
          <w:sz w:val="20"/>
          <w:szCs w:val="20"/>
        </w:rPr>
        <w:t xml:space="preserve">hen </w:t>
      </w:r>
      <w:r w:rsidR="005E7F0A" w:rsidRPr="005E7005">
        <w:rPr>
          <w:rFonts w:ascii="Arial" w:hAnsi="Arial" w:cs="Arial"/>
          <w:sz w:val="20"/>
          <w:szCs w:val="20"/>
        </w:rPr>
        <w:t>we normalize each series (by using their mean and standard deviation as normalization parameters)</w:t>
      </w:r>
      <w:r w:rsidRPr="005E7005">
        <w:rPr>
          <w:rFonts w:ascii="Arial" w:hAnsi="Arial" w:cs="Arial"/>
          <w:sz w:val="20"/>
          <w:szCs w:val="20"/>
        </w:rPr>
        <w:t xml:space="preserve"> to produce a correspondent time series of anomalies (i.e., deviations from a zero mean express</w:t>
      </w:r>
      <w:r w:rsidR="00971906">
        <w:rPr>
          <w:rFonts w:ascii="Arial" w:hAnsi="Arial" w:cs="Arial"/>
          <w:sz w:val="20"/>
          <w:szCs w:val="20"/>
        </w:rPr>
        <w:t>ed in standard deviation units).</w:t>
      </w:r>
      <w:r w:rsidR="009B16FB">
        <w:rPr>
          <w:rFonts w:ascii="Arial" w:hAnsi="Arial" w:cs="Arial"/>
          <w:sz w:val="20"/>
          <w:szCs w:val="20"/>
        </w:rPr>
        <w:t xml:space="preserve"> </w:t>
      </w:r>
      <w:r w:rsidRPr="005E7005">
        <w:rPr>
          <w:rFonts w:ascii="Arial" w:hAnsi="Arial" w:cs="Arial"/>
          <w:sz w:val="20"/>
          <w:szCs w:val="20"/>
        </w:rPr>
        <w:t xml:space="preserve">The </w:t>
      </w:r>
      <w:r w:rsidR="005E7F0A" w:rsidRPr="005E7005">
        <w:rPr>
          <w:rFonts w:ascii="Arial" w:hAnsi="Arial" w:cs="Arial"/>
          <w:sz w:val="20"/>
          <w:szCs w:val="20"/>
        </w:rPr>
        <w:t>standard deviation between the two normalized series was then calculated and plotted</w:t>
      </w:r>
      <w:r w:rsidR="00333DE2">
        <w:rPr>
          <w:rFonts w:ascii="Arial" w:hAnsi="Arial" w:cs="Arial"/>
          <w:sz w:val="20"/>
          <w:szCs w:val="20"/>
        </w:rPr>
        <w:t xml:space="preserve"> as a grey shadow, together with the two individual anomaly series,</w:t>
      </w:r>
      <w:r w:rsidR="005E7F0A" w:rsidRPr="005E7005">
        <w:rPr>
          <w:rFonts w:ascii="Arial" w:hAnsi="Arial" w:cs="Arial"/>
          <w:sz w:val="20"/>
          <w:szCs w:val="20"/>
        </w:rPr>
        <w:t xml:space="preserve"> in Fig. 2 of the main text.</w:t>
      </w:r>
    </w:p>
    <w:p w14:paraId="134339E7" w14:textId="77777777" w:rsidR="00862BB9" w:rsidRPr="005E7005" w:rsidRDefault="00862BB9" w:rsidP="00126530">
      <w:pPr>
        <w:spacing w:line="276" w:lineRule="auto"/>
        <w:jc w:val="both"/>
        <w:rPr>
          <w:rFonts w:ascii="Arial" w:hAnsi="Arial" w:cs="Arial"/>
          <w:sz w:val="20"/>
          <w:szCs w:val="20"/>
        </w:rPr>
      </w:pPr>
    </w:p>
    <w:p w14:paraId="4E895A55" w14:textId="30DABB98" w:rsidR="00862BB9" w:rsidRPr="005E7005" w:rsidRDefault="00533ED2" w:rsidP="00CB2736">
      <w:pPr>
        <w:shd w:val="clear" w:color="auto" w:fill="E7E6E6" w:themeFill="background2"/>
        <w:spacing w:line="276" w:lineRule="auto"/>
        <w:jc w:val="center"/>
        <w:rPr>
          <w:rFonts w:ascii="Arial" w:hAnsi="Arial" w:cs="Arial"/>
          <w:b/>
          <w:sz w:val="20"/>
          <w:szCs w:val="20"/>
        </w:rPr>
      </w:pPr>
      <w:r w:rsidRPr="005E7005">
        <w:rPr>
          <w:rFonts w:ascii="Arial" w:hAnsi="Arial" w:cs="Arial"/>
          <w:b/>
          <w:sz w:val="20"/>
          <w:szCs w:val="20"/>
        </w:rPr>
        <w:t>E</w:t>
      </w:r>
      <w:r w:rsidR="00862BB9" w:rsidRPr="005E7005">
        <w:rPr>
          <w:rFonts w:ascii="Arial" w:hAnsi="Arial" w:cs="Arial"/>
          <w:b/>
          <w:sz w:val="20"/>
          <w:szCs w:val="20"/>
        </w:rPr>
        <w:t>quilibrium deposition</w:t>
      </w:r>
      <w:r w:rsidRPr="005E7005">
        <w:rPr>
          <w:rFonts w:ascii="Arial" w:hAnsi="Arial" w:cs="Arial"/>
          <w:b/>
          <w:sz w:val="20"/>
          <w:szCs w:val="20"/>
        </w:rPr>
        <w:t xml:space="preserve"> </w:t>
      </w:r>
    </w:p>
    <w:p w14:paraId="00AD831F" w14:textId="7AF2EF76" w:rsidR="009940E6" w:rsidRPr="005E7005" w:rsidRDefault="009940E6" w:rsidP="009940E6">
      <w:pPr>
        <w:spacing w:line="276" w:lineRule="auto"/>
        <w:jc w:val="both"/>
        <w:rPr>
          <w:rFonts w:ascii="Arial" w:hAnsi="Arial" w:cs="Arial"/>
          <w:sz w:val="20"/>
          <w:szCs w:val="20"/>
        </w:rPr>
      </w:pPr>
      <w:r w:rsidRPr="005E7005">
        <w:rPr>
          <w:rFonts w:ascii="Arial" w:hAnsi="Arial" w:cs="Arial"/>
          <w:sz w:val="20"/>
          <w:szCs w:val="20"/>
        </w:rPr>
        <w:t xml:space="preserve">For flowstone </w:t>
      </w:r>
      <w:r w:rsidR="00971906" w:rsidRPr="00971906">
        <w:rPr>
          <w:rFonts w:ascii="Arial" w:hAnsi="Arial" w:cs="Arial"/>
          <w:sz w:val="20"/>
          <w:szCs w:val="20"/>
        </w:rPr>
        <w:t>LoNAP514</w:t>
      </w:r>
      <w:r w:rsidR="008E3D80">
        <w:rPr>
          <w:rFonts w:ascii="Arial" w:hAnsi="Arial" w:cs="Arial"/>
          <w:sz w:val="20"/>
          <w:szCs w:val="20"/>
        </w:rPr>
        <w:t>,</w:t>
      </w:r>
      <w:r w:rsidRPr="005E7005">
        <w:rPr>
          <w:rFonts w:ascii="Arial" w:hAnsi="Arial" w:cs="Arial"/>
          <w:sz w:val="20"/>
          <w:szCs w:val="20"/>
        </w:rPr>
        <w:t xml:space="preserve"> </w:t>
      </w:r>
      <w:r w:rsidR="008E3D80">
        <w:rPr>
          <w:rFonts w:ascii="Arial" w:hAnsi="Arial" w:cs="Arial"/>
          <w:sz w:val="20"/>
          <w:szCs w:val="20"/>
        </w:rPr>
        <w:t xml:space="preserve">the assumption of quasi </w:t>
      </w:r>
      <w:r w:rsidRPr="005E7005">
        <w:rPr>
          <w:rFonts w:ascii="Arial" w:hAnsi="Arial" w:cs="Arial"/>
          <w:sz w:val="20"/>
          <w:szCs w:val="20"/>
        </w:rPr>
        <w:t xml:space="preserve">isotope equilibrium </w:t>
      </w:r>
      <w:r w:rsidR="008E3D80">
        <w:rPr>
          <w:rFonts w:ascii="Arial" w:hAnsi="Arial" w:cs="Arial"/>
          <w:sz w:val="20"/>
          <w:szCs w:val="20"/>
        </w:rPr>
        <w:t xml:space="preserve">deposition of calcite </w:t>
      </w:r>
      <w:proofErr w:type="gramStart"/>
      <w:r w:rsidRPr="005E7005">
        <w:rPr>
          <w:rFonts w:ascii="Arial" w:hAnsi="Arial" w:cs="Arial"/>
          <w:sz w:val="20"/>
          <w:szCs w:val="20"/>
        </w:rPr>
        <w:t xml:space="preserve">was </w:t>
      </w:r>
      <w:r w:rsidR="008E3D80">
        <w:rPr>
          <w:rFonts w:ascii="Arial" w:hAnsi="Arial" w:cs="Arial"/>
          <w:sz w:val="20"/>
          <w:szCs w:val="20"/>
        </w:rPr>
        <w:t>tested</w:t>
      </w:r>
      <w:proofErr w:type="gramEnd"/>
      <w:r w:rsidR="008E3D80">
        <w:rPr>
          <w:rFonts w:ascii="Arial" w:hAnsi="Arial" w:cs="Arial"/>
          <w:sz w:val="20"/>
          <w:szCs w:val="20"/>
        </w:rPr>
        <w:t xml:space="preserve"> using </w:t>
      </w:r>
      <w:r w:rsidRPr="005E7005">
        <w:rPr>
          <w:rFonts w:ascii="Arial" w:hAnsi="Arial" w:cs="Arial"/>
          <w:sz w:val="20"/>
          <w:szCs w:val="20"/>
        </w:rPr>
        <w:t xml:space="preserve">two lines of reasoning. First, </w:t>
      </w:r>
      <w:r w:rsidR="000D498D">
        <w:rPr>
          <w:rFonts w:ascii="Arial" w:hAnsi="Arial" w:cs="Arial"/>
          <w:sz w:val="20"/>
          <w:szCs w:val="20"/>
        </w:rPr>
        <w:t xml:space="preserve">thin section </w:t>
      </w:r>
      <w:r w:rsidRPr="005E7005">
        <w:rPr>
          <w:rFonts w:ascii="Arial" w:hAnsi="Arial" w:cs="Arial"/>
          <w:sz w:val="20"/>
          <w:szCs w:val="20"/>
        </w:rPr>
        <w:t>microstratigraph</w:t>
      </w:r>
      <w:r w:rsidR="000D498D">
        <w:rPr>
          <w:rFonts w:ascii="Arial" w:hAnsi="Arial" w:cs="Arial"/>
          <w:sz w:val="20"/>
          <w:szCs w:val="20"/>
        </w:rPr>
        <w:t>y</w:t>
      </w:r>
      <w:r w:rsidRPr="005E7005">
        <w:rPr>
          <w:rFonts w:ascii="Arial" w:hAnsi="Arial" w:cs="Arial"/>
          <w:sz w:val="20"/>
          <w:szCs w:val="20"/>
        </w:rPr>
        <w:t xml:space="preserve"> reveal</w:t>
      </w:r>
      <w:r w:rsidR="000D498D">
        <w:rPr>
          <w:rFonts w:ascii="Arial" w:hAnsi="Arial" w:cs="Arial"/>
          <w:sz w:val="20"/>
          <w:szCs w:val="20"/>
        </w:rPr>
        <w:t>s</w:t>
      </w:r>
      <w:r w:rsidRPr="005E7005">
        <w:rPr>
          <w:rFonts w:ascii="Arial" w:hAnsi="Arial" w:cs="Arial"/>
          <w:sz w:val="20"/>
          <w:szCs w:val="20"/>
        </w:rPr>
        <w:t xml:space="preserve"> that the dominant fabric is compact columnar calcite (Frisia, 2015). </w:t>
      </w:r>
      <w:r w:rsidR="00A7555B" w:rsidRPr="005E7005">
        <w:rPr>
          <w:rFonts w:ascii="Arial" w:hAnsi="Arial" w:cs="Arial"/>
          <w:sz w:val="20"/>
          <w:szCs w:val="20"/>
        </w:rPr>
        <w:t xml:space="preserve">In </w:t>
      </w:r>
      <w:proofErr w:type="spellStart"/>
      <w:r w:rsidR="00A7555B" w:rsidRPr="005E7005">
        <w:rPr>
          <w:rFonts w:ascii="Arial" w:hAnsi="Arial" w:cs="Arial"/>
          <w:sz w:val="20"/>
          <w:szCs w:val="20"/>
        </w:rPr>
        <w:t>sparitic</w:t>
      </w:r>
      <w:proofErr w:type="spellEnd"/>
      <w:r w:rsidR="00A7555B" w:rsidRPr="005E7005">
        <w:rPr>
          <w:rFonts w:ascii="Arial" w:hAnsi="Arial" w:cs="Arial"/>
          <w:sz w:val="20"/>
          <w:szCs w:val="20"/>
        </w:rPr>
        <w:t xml:space="preserve"> speleothem, c</w:t>
      </w:r>
      <w:r w:rsidRPr="005E7005">
        <w:rPr>
          <w:rFonts w:ascii="Arial" w:hAnsi="Arial" w:cs="Arial"/>
          <w:sz w:val="20"/>
          <w:szCs w:val="20"/>
        </w:rPr>
        <w:t>olumnar fabric and its subtypes</w:t>
      </w:r>
      <w:r w:rsidR="00A7555B" w:rsidRPr="005E7005">
        <w:rPr>
          <w:rFonts w:ascii="Arial" w:hAnsi="Arial" w:cs="Arial"/>
          <w:sz w:val="20"/>
          <w:szCs w:val="20"/>
        </w:rPr>
        <w:t xml:space="preserve"> </w:t>
      </w:r>
      <w:r w:rsidRPr="005E7005">
        <w:rPr>
          <w:rFonts w:ascii="Arial" w:hAnsi="Arial" w:cs="Arial"/>
          <w:sz w:val="20"/>
          <w:szCs w:val="20"/>
        </w:rPr>
        <w:t>are associated with relatively constant drip discharge and low</w:t>
      </w:r>
      <w:r w:rsidR="00A7555B" w:rsidRPr="005E7005">
        <w:rPr>
          <w:rFonts w:ascii="Arial" w:hAnsi="Arial" w:cs="Arial"/>
          <w:sz w:val="20"/>
          <w:szCs w:val="20"/>
        </w:rPr>
        <w:t xml:space="preserve"> </w:t>
      </w:r>
      <w:r w:rsidRPr="005E7005">
        <w:rPr>
          <w:rFonts w:ascii="Arial" w:hAnsi="Arial" w:cs="Arial"/>
          <w:sz w:val="20"/>
          <w:szCs w:val="20"/>
        </w:rPr>
        <w:t xml:space="preserve">calcite </w:t>
      </w:r>
      <w:proofErr w:type="spellStart"/>
      <w:r w:rsidRPr="005E7005">
        <w:rPr>
          <w:rFonts w:ascii="Arial" w:hAnsi="Arial" w:cs="Arial"/>
          <w:sz w:val="20"/>
          <w:szCs w:val="20"/>
        </w:rPr>
        <w:t>supersaturation</w:t>
      </w:r>
      <w:proofErr w:type="spellEnd"/>
      <w:r w:rsidRPr="005E7005">
        <w:rPr>
          <w:rFonts w:ascii="Arial" w:hAnsi="Arial" w:cs="Arial"/>
          <w:sz w:val="20"/>
          <w:szCs w:val="20"/>
        </w:rPr>
        <w:t xml:space="preserve"> state</w:t>
      </w:r>
      <w:r w:rsidR="00A7555B" w:rsidRPr="005E7005">
        <w:rPr>
          <w:rFonts w:ascii="Arial" w:hAnsi="Arial" w:cs="Arial"/>
          <w:sz w:val="20"/>
          <w:szCs w:val="20"/>
        </w:rPr>
        <w:t>, and are commonly associated with quasi-equilibrium deposition</w:t>
      </w:r>
      <w:r w:rsidRPr="005E7005">
        <w:rPr>
          <w:rFonts w:ascii="Arial" w:hAnsi="Arial" w:cs="Arial"/>
          <w:sz w:val="20"/>
          <w:szCs w:val="20"/>
        </w:rPr>
        <w:t xml:space="preserve"> (Frisia, 2015; Frisia and </w:t>
      </w:r>
      <w:proofErr w:type="spellStart"/>
      <w:r w:rsidRPr="005E7005">
        <w:rPr>
          <w:rFonts w:ascii="Arial" w:hAnsi="Arial" w:cs="Arial"/>
          <w:sz w:val="20"/>
          <w:szCs w:val="20"/>
        </w:rPr>
        <w:t>Borsato</w:t>
      </w:r>
      <w:proofErr w:type="spellEnd"/>
      <w:r w:rsidRPr="005E7005">
        <w:rPr>
          <w:rFonts w:ascii="Arial" w:hAnsi="Arial" w:cs="Arial"/>
          <w:sz w:val="20"/>
          <w:szCs w:val="20"/>
        </w:rPr>
        <w:t>, 2010).</w:t>
      </w:r>
    </w:p>
    <w:p w14:paraId="5FDF57AE" w14:textId="353DF847" w:rsidR="00533ED2" w:rsidRPr="005E7005" w:rsidRDefault="00A7555B" w:rsidP="007B6F6C">
      <w:pPr>
        <w:spacing w:line="276" w:lineRule="auto"/>
        <w:jc w:val="both"/>
        <w:rPr>
          <w:rFonts w:ascii="Arial" w:hAnsi="Arial" w:cs="Arial"/>
          <w:sz w:val="20"/>
          <w:szCs w:val="20"/>
        </w:rPr>
      </w:pPr>
      <w:r w:rsidRPr="005E7005">
        <w:rPr>
          <w:rFonts w:ascii="Arial" w:hAnsi="Arial" w:cs="Arial"/>
          <w:sz w:val="20"/>
          <w:szCs w:val="20"/>
        </w:rPr>
        <w:t xml:space="preserve">Second, from </w:t>
      </w:r>
      <w:r w:rsidR="00971906" w:rsidRPr="00971906">
        <w:rPr>
          <w:rFonts w:ascii="Arial" w:hAnsi="Arial" w:cs="Arial"/>
          <w:sz w:val="20"/>
          <w:szCs w:val="20"/>
        </w:rPr>
        <w:t>LoNAP514</w:t>
      </w:r>
      <w:r w:rsidRPr="005E7005">
        <w:rPr>
          <w:rFonts w:ascii="Arial" w:hAnsi="Arial" w:cs="Arial"/>
          <w:sz w:val="20"/>
          <w:szCs w:val="20"/>
        </w:rPr>
        <w:t xml:space="preserve">, two different stable isotope series were retrieved (low and high spatial resolution). These followed two different sampling tracks located in different portions of the same flowstone (Fig. S1). The </w:t>
      </w:r>
      <w:r w:rsidR="000D498D">
        <w:rPr>
          <w:rFonts w:ascii="Arial" w:hAnsi="Arial" w:cs="Arial"/>
          <w:sz w:val="20"/>
          <w:szCs w:val="20"/>
        </w:rPr>
        <w:t xml:space="preserve">close </w:t>
      </w:r>
      <w:r w:rsidRPr="005E7005">
        <w:rPr>
          <w:rFonts w:ascii="Arial" w:hAnsi="Arial" w:cs="Arial"/>
          <w:sz w:val="20"/>
          <w:szCs w:val="20"/>
        </w:rPr>
        <w:t xml:space="preserve">coherency between the two series (Fig. S3) testify the absence of significant kinetic fractionation, </w:t>
      </w:r>
      <w:r w:rsidR="00333DE2">
        <w:rPr>
          <w:rFonts w:ascii="Arial" w:hAnsi="Arial" w:cs="Arial"/>
          <w:sz w:val="20"/>
          <w:szCs w:val="20"/>
        </w:rPr>
        <w:t xml:space="preserve">which </w:t>
      </w:r>
      <w:r w:rsidRPr="005E7005">
        <w:rPr>
          <w:rFonts w:ascii="Arial" w:hAnsi="Arial" w:cs="Arial"/>
          <w:sz w:val="20"/>
          <w:szCs w:val="20"/>
        </w:rPr>
        <w:t>would have resulted in different isotope patterns</w:t>
      </w:r>
      <w:r w:rsidR="000D498D">
        <w:rPr>
          <w:rFonts w:ascii="Arial" w:hAnsi="Arial" w:cs="Arial"/>
          <w:sz w:val="20"/>
          <w:szCs w:val="20"/>
        </w:rPr>
        <w:t xml:space="preserve"> in different parts of the flowstone</w:t>
      </w:r>
      <w:r w:rsidRPr="005E7005">
        <w:rPr>
          <w:rFonts w:ascii="Arial" w:hAnsi="Arial" w:cs="Arial"/>
          <w:sz w:val="20"/>
          <w:szCs w:val="20"/>
        </w:rPr>
        <w:t xml:space="preserve">. Indeed, when </w:t>
      </w:r>
      <w:r w:rsidR="007B6F6C" w:rsidRPr="005E7005">
        <w:rPr>
          <w:rFonts w:ascii="Arial" w:hAnsi="Arial" w:cs="Arial"/>
          <w:sz w:val="20"/>
          <w:szCs w:val="20"/>
        </w:rPr>
        <w:t>deposition occurs close to equilibrium,</w:t>
      </w:r>
      <w:r w:rsidRPr="005E7005">
        <w:rPr>
          <w:rFonts w:ascii="Arial" w:hAnsi="Arial" w:cs="Arial"/>
          <w:sz w:val="20"/>
          <w:szCs w:val="20"/>
        </w:rPr>
        <w:t xml:space="preserve"> </w:t>
      </w:r>
      <w:r w:rsidR="007B6F6C" w:rsidRPr="005E7005">
        <w:rPr>
          <w:rFonts w:ascii="Arial" w:hAnsi="Arial" w:cs="Arial"/>
          <w:sz w:val="20"/>
          <w:szCs w:val="20"/>
        </w:rPr>
        <w:t>almost constant values of δ</w:t>
      </w:r>
      <w:r w:rsidR="007B6F6C" w:rsidRPr="00333DE2">
        <w:rPr>
          <w:rFonts w:ascii="Arial" w:hAnsi="Arial" w:cs="Arial"/>
          <w:sz w:val="20"/>
          <w:szCs w:val="20"/>
          <w:vertAlign w:val="superscript"/>
        </w:rPr>
        <w:t>18</w:t>
      </w:r>
      <w:r w:rsidR="007B6F6C" w:rsidRPr="005E7005">
        <w:rPr>
          <w:rFonts w:ascii="Arial" w:hAnsi="Arial" w:cs="Arial"/>
          <w:sz w:val="20"/>
          <w:szCs w:val="20"/>
        </w:rPr>
        <w:t>O and δ</w:t>
      </w:r>
      <w:r w:rsidR="007B6F6C" w:rsidRPr="00333DE2">
        <w:rPr>
          <w:rFonts w:ascii="Arial" w:hAnsi="Arial" w:cs="Arial"/>
          <w:sz w:val="20"/>
          <w:szCs w:val="20"/>
          <w:vertAlign w:val="superscript"/>
        </w:rPr>
        <w:t>13</w:t>
      </w:r>
      <w:r w:rsidR="007B6F6C" w:rsidRPr="005E7005">
        <w:rPr>
          <w:rFonts w:ascii="Arial" w:hAnsi="Arial" w:cs="Arial"/>
          <w:sz w:val="20"/>
          <w:szCs w:val="20"/>
        </w:rPr>
        <w:t xml:space="preserve">C along a single growth layer </w:t>
      </w:r>
      <w:proofErr w:type="gramStart"/>
      <w:r w:rsidR="007B6F6C" w:rsidRPr="005E7005">
        <w:rPr>
          <w:rFonts w:ascii="Arial" w:hAnsi="Arial" w:cs="Arial"/>
          <w:sz w:val="20"/>
          <w:szCs w:val="20"/>
        </w:rPr>
        <w:t>are observed</w:t>
      </w:r>
      <w:proofErr w:type="gramEnd"/>
      <w:r w:rsidR="007B6F6C" w:rsidRPr="005E7005">
        <w:rPr>
          <w:rFonts w:ascii="Arial" w:hAnsi="Arial" w:cs="Arial"/>
          <w:sz w:val="20"/>
          <w:szCs w:val="20"/>
        </w:rPr>
        <w:t xml:space="preserve"> (Hendy, 1971). The small discrepancies between the two series may indicate minor kinetic effects (that are always apparent in speleothems</w:t>
      </w:r>
      <w:r w:rsidR="000D498D">
        <w:rPr>
          <w:rFonts w:ascii="Arial" w:hAnsi="Arial" w:cs="Arial"/>
          <w:sz w:val="20"/>
          <w:szCs w:val="20"/>
        </w:rPr>
        <w:t>:</w:t>
      </w:r>
      <w:r w:rsidR="007B6F6C" w:rsidRPr="005E7005">
        <w:rPr>
          <w:rFonts w:ascii="Arial" w:hAnsi="Arial" w:cs="Arial"/>
          <w:sz w:val="20"/>
          <w:szCs w:val="20"/>
        </w:rPr>
        <w:t xml:space="preserve"> Daëron et al., 2019) and/or the influence of slighlty different growth rates for the two lobes of the flowstone from which the series were retrieved, but these differences are small compared to the overall range of values.</w:t>
      </w:r>
    </w:p>
    <w:p w14:paraId="065B5C81" w14:textId="583D2F9B" w:rsidR="00862BB9" w:rsidRPr="005E7005" w:rsidRDefault="00C51342" w:rsidP="00126530">
      <w:pPr>
        <w:spacing w:line="276" w:lineRule="auto"/>
        <w:jc w:val="both"/>
        <w:rPr>
          <w:rFonts w:ascii="Arial" w:hAnsi="Arial" w:cs="Arial"/>
          <w:sz w:val="20"/>
          <w:szCs w:val="20"/>
        </w:rPr>
      </w:pPr>
      <w:r w:rsidRPr="005E7005">
        <w:rPr>
          <w:rFonts w:ascii="Arial" w:hAnsi="Arial" w:cs="Arial"/>
          <w:noProof/>
          <w:sz w:val="20"/>
          <w:szCs w:val="20"/>
          <w:lang w:val="it-IT" w:eastAsia="it-IT"/>
        </w:rPr>
        <w:lastRenderedPageBreak/>
        <w:drawing>
          <wp:inline distT="0" distB="0" distL="0" distR="0" wp14:anchorId="037E54BF" wp14:editId="745A3519">
            <wp:extent cx="6115050" cy="4457700"/>
            <wp:effectExtent l="0" t="0" r="0" b="0"/>
            <wp:docPr id="4" name="Immagine 4" descr="C:\Users\ASUS\Desktop\KR jan 2022\Figure 3-Regattieri et al.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KR jan 2022\Figure 3-Regattieri et al.K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428"/>
                    <a:stretch/>
                  </pic:blipFill>
                  <pic:spPr bwMode="auto">
                    <a:xfrm>
                      <a:off x="0" y="0"/>
                      <a:ext cx="6115050" cy="4457700"/>
                    </a:xfrm>
                    <a:prstGeom prst="rect">
                      <a:avLst/>
                    </a:prstGeom>
                    <a:noFill/>
                    <a:ln>
                      <a:noFill/>
                    </a:ln>
                    <a:extLst>
                      <a:ext uri="{53640926-AAD7-44D8-BBD7-CCE9431645EC}">
                        <a14:shadowObscured xmlns:a14="http://schemas.microsoft.com/office/drawing/2010/main"/>
                      </a:ext>
                    </a:extLst>
                  </pic:spPr>
                </pic:pic>
              </a:graphicData>
            </a:graphic>
          </wp:inline>
        </w:drawing>
      </w:r>
    </w:p>
    <w:p w14:paraId="4556EF1C" w14:textId="40EE1B48" w:rsidR="00D175D7" w:rsidRDefault="00C51342" w:rsidP="007B6F6C">
      <w:pPr>
        <w:spacing w:line="276" w:lineRule="auto"/>
        <w:jc w:val="both"/>
        <w:rPr>
          <w:rFonts w:ascii="Arial" w:hAnsi="Arial" w:cs="Arial"/>
          <w:sz w:val="20"/>
          <w:szCs w:val="20"/>
        </w:rPr>
      </w:pPr>
      <w:r w:rsidRPr="005E7005">
        <w:rPr>
          <w:rFonts w:ascii="Arial" w:hAnsi="Arial" w:cs="Arial"/>
          <w:sz w:val="20"/>
          <w:szCs w:val="20"/>
        </w:rPr>
        <w:t xml:space="preserve">Figure S3: Left panel: Low (dotted) vs. high (solid) resolution stable isotope time series for flowstone </w:t>
      </w:r>
      <w:r w:rsidR="00971906" w:rsidRPr="00971906">
        <w:rPr>
          <w:rFonts w:ascii="Arial" w:hAnsi="Arial" w:cs="Arial"/>
          <w:sz w:val="20"/>
          <w:szCs w:val="20"/>
        </w:rPr>
        <w:t>LoNAP514</w:t>
      </w:r>
      <w:r w:rsidR="00971906">
        <w:rPr>
          <w:rFonts w:ascii="Arial" w:hAnsi="Arial" w:cs="Arial"/>
          <w:sz w:val="20"/>
          <w:szCs w:val="20"/>
        </w:rPr>
        <w:t xml:space="preserve"> </w:t>
      </w:r>
      <w:r w:rsidRPr="005E7005">
        <w:rPr>
          <w:rFonts w:ascii="Arial" w:hAnsi="Arial" w:cs="Arial"/>
          <w:sz w:val="20"/>
          <w:szCs w:val="20"/>
        </w:rPr>
        <w:t>plotted versus depth. Right panel: Thin section microphotographs showing compact columnar calcite (</w:t>
      </w:r>
      <w:proofErr w:type="gramStart"/>
      <w:r w:rsidRPr="005E7005">
        <w:rPr>
          <w:rFonts w:ascii="Arial" w:hAnsi="Arial" w:cs="Arial"/>
          <w:sz w:val="20"/>
          <w:szCs w:val="20"/>
        </w:rPr>
        <w:t>cross</w:t>
      </w:r>
      <w:r w:rsidR="00971B9A">
        <w:rPr>
          <w:rFonts w:ascii="Arial" w:hAnsi="Arial" w:cs="Arial"/>
          <w:sz w:val="20"/>
          <w:szCs w:val="20"/>
        </w:rPr>
        <w:t xml:space="preserve"> polariz</w:t>
      </w:r>
      <w:r w:rsidRPr="005E7005">
        <w:rPr>
          <w:rFonts w:ascii="Arial" w:hAnsi="Arial" w:cs="Arial"/>
          <w:sz w:val="20"/>
          <w:szCs w:val="20"/>
        </w:rPr>
        <w:t>ed</w:t>
      </w:r>
      <w:proofErr w:type="gramEnd"/>
      <w:r w:rsidRPr="005E7005">
        <w:rPr>
          <w:rFonts w:ascii="Arial" w:hAnsi="Arial" w:cs="Arial"/>
          <w:sz w:val="20"/>
          <w:szCs w:val="20"/>
        </w:rPr>
        <w:t xml:space="preserve"> </w:t>
      </w:r>
      <w:proofErr w:type="spellStart"/>
      <w:r w:rsidRPr="005E7005">
        <w:rPr>
          <w:rFonts w:ascii="Arial" w:hAnsi="Arial" w:cs="Arial"/>
          <w:sz w:val="20"/>
          <w:szCs w:val="20"/>
        </w:rPr>
        <w:t>nicols</w:t>
      </w:r>
      <w:proofErr w:type="spellEnd"/>
      <w:r w:rsidRPr="005E7005">
        <w:rPr>
          <w:rFonts w:ascii="Arial" w:hAnsi="Arial" w:cs="Arial"/>
          <w:sz w:val="20"/>
          <w:szCs w:val="20"/>
        </w:rPr>
        <w:t>, base of the photo 5.2 mm).</w:t>
      </w:r>
    </w:p>
    <w:p w14:paraId="09996284" w14:textId="77777777" w:rsidR="00994D27" w:rsidRPr="005E7005" w:rsidRDefault="00994D27" w:rsidP="007B6F6C">
      <w:pPr>
        <w:spacing w:line="276" w:lineRule="auto"/>
        <w:jc w:val="both"/>
        <w:rPr>
          <w:rFonts w:ascii="Arial" w:hAnsi="Arial" w:cs="Arial"/>
          <w:sz w:val="20"/>
          <w:szCs w:val="20"/>
        </w:rPr>
      </w:pPr>
    </w:p>
    <w:p w14:paraId="699E5D8B" w14:textId="158390F8" w:rsidR="00D175D7" w:rsidRPr="005E7005" w:rsidRDefault="00D175D7" w:rsidP="00CB2736">
      <w:pPr>
        <w:shd w:val="clear" w:color="auto" w:fill="E7E6E6" w:themeFill="background2"/>
        <w:spacing w:line="276" w:lineRule="auto"/>
        <w:jc w:val="center"/>
        <w:rPr>
          <w:rFonts w:ascii="Arial" w:hAnsi="Arial" w:cs="Arial"/>
          <w:b/>
          <w:sz w:val="20"/>
          <w:szCs w:val="20"/>
        </w:rPr>
      </w:pPr>
      <w:r w:rsidRPr="005E7005">
        <w:rPr>
          <w:rFonts w:ascii="Arial" w:hAnsi="Arial" w:cs="Arial"/>
          <w:b/>
          <w:sz w:val="20"/>
          <w:szCs w:val="20"/>
        </w:rPr>
        <w:t>Holocene vegetation in the cave area</w:t>
      </w:r>
      <w:r w:rsidR="00A75778" w:rsidRPr="005E7005">
        <w:rPr>
          <w:rFonts w:ascii="Arial" w:hAnsi="Arial" w:cs="Arial"/>
          <w:b/>
          <w:sz w:val="20"/>
          <w:szCs w:val="20"/>
        </w:rPr>
        <w:t xml:space="preserve"> and influence on the δ</w:t>
      </w:r>
      <w:r w:rsidR="00A75778" w:rsidRPr="005E7005">
        <w:rPr>
          <w:rFonts w:ascii="Arial" w:hAnsi="Arial" w:cs="Arial"/>
          <w:b/>
          <w:sz w:val="20"/>
          <w:szCs w:val="20"/>
          <w:vertAlign w:val="superscript"/>
        </w:rPr>
        <w:t>13</w:t>
      </w:r>
      <w:r w:rsidR="00A75778" w:rsidRPr="005E7005">
        <w:rPr>
          <w:rFonts w:ascii="Arial" w:hAnsi="Arial" w:cs="Arial"/>
          <w:b/>
          <w:sz w:val="20"/>
          <w:szCs w:val="20"/>
        </w:rPr>
        <w:t xml:space="preserve">C composition of </w:t>
      </w:r>
      <w:r w:rsidR="00971906">
        <w:rPr>
          <w:rFonts w:ascii="Arial" w:hAnsi="Arial" w:cs="Arial"/>
          <w:b/>
          <w:sz w:val="20"/>
          <w:szCs w:val="20"/>
        </w:rPr>
        <w:t>LoNAP514</w:t>
      </w:r>
    </w:p>
    <w:p w14:paraId="1A074540" w14:textId="6EFA72E0" w:rsidR="00A75778" w:rsidRPr="00971906" w:rsidRDefault="00EA7112" w:rsidP="00EA7112">
      <w:pPr>
        <w:spacing w:line="276" w:lineRule="auto"/>
        <w:jc w:val="both"/>
        <w:rPr>
          <w:rFonts w:ascii="Arial" w:hAnsi="Arial" w:cs="Arial"/>
          <w:sz w:val="20"/>
          <w:szCs w:val="20"/>
        </w:rPr>
      </w:pPr>
      <w:r w:rsidRPr="00971906">
        <w:rPr>
          <w:rFonts w:ascii="Arial" w:hAnsi="Arial" w:cs="Arial"/>
          <w:sz w:val="20"/>
          <w:szCs w:val="20"/>
        </w:rPr>
        <w:t xml:space="preserve">Today, the vegetation cover in the cave area is sparse and mostly represented by seasonal wild grasses. However, </w:t>
      </w:r>
      <w:r w:rsidR="000D498D">
        <w:rPr>
          <w:rFonts w:ascii="Arial" w:hAnsi="Arial" w:cs="Arial"/>
          <w:sz w:val="20"/>
          <w:szCs w:val="20"/>
        </w:rPr>
        <w:t xml:space="preserve">this is </w:t>
      </w:r>
      <w:r w:rsidRPr="00971906">
        <w:rPr>
          <w:rFonts w:ascii="Arial" w:hAnsi="Arial" w:cs="Arial"/>
          <w:sz w:val="20"/>
          <w:szCs w:val="20"/>
        </w:rPr>
        <w:t xml:space="preserve">unlikely </w:t>
      </w:r>
      <w:r w:rsidR="000D498D">
        <w:rPr>
          <w:rFonts w:ascii="Arial" w:hAnsi="Arial" w:cs="Arial"/>
          <w:sz w:val="20"/>
          <w:szCs w:val="20"/>
        </w:rPr>
        <w:t xml:space="preserve">to </w:t>
      </w:r>
      <w:r w:rsidRPr="00971906">
        <w:rPr>
          <w:rFonts w:ascii="Arial" w:hAnsi="Arial" w:cs="Arial"/>
          <w:sz w:val="20"/>
          <w:szCs w:val="20"/>
        </w:rPr>
        <w:t>represent a direct analogue for the Early to Mid-Holocene vegetation</w:t>
      </w:r>
      <w:r w:rsidR="000D498D">
        <w:rPr>
          <w:rFonts w:ascii="Arial" w:hAnsi="Arial" w:cs="Arial"/>
          <w:sz w:val="20"/>
          <w:szCs w:val="20"/>
        </w:rPr>
        <w:t xml:space="preserve"> due to </w:t>
      </w:r>
      <w:r w:rsidRPr="00971906">
        <w:rPr>
          <w:rFonts w:ascii="Arial" w:hAnsi="Arial" w:cs="Arial"/>
          <w:sz w:val="20"/>
          <w:szCs w:val="20"/>
        </w:rPr>
        <w:t>long</w:t>
      </w:r>
      <w:r w:rsidR="00D112B9" w:rsidRPr="00971906">
        <w:rPr>
          <w:rFonts w:ascii="Arial" w:hAnsi="Arial" w:cs="Arial"/>
          <w:sz w:val="20"/>
          <w:szCs w:val="20"/>
        </w:rPr>
        <w:t>-</w:t>
      </w:r>
      <w:r w:rsidRPr="00971906">
        <w:rPr>
          <w:rFonts w:ascii="Arial" w:hAnsi="Arial" w:cs="Arial"/>
          <w:sz w:val="20"/>
          <w:szCs w:val="20"/>
        </w:rPr>
        <w:t>lasting human land-use for agriculture and pastoralism</w:t>
      </w:r>
      <w:r w:rsidR="000D498D">
        <w:rPr>
          <w:rFonts w:ascii="Arial" w:hAnsi="Arial" w:cs="Arial"/>
          <w:sz w:val="20"/>
          <w:szCs w:val="20"/>
        </w:rPr>
        <w:t>, which</w:t>
      </w:r>
      <w:r w:rsidRPr="00971906">
        <w:rPr>
          <w:rFonts w:ascii="Arial" w:hAnsi="Arial" w:cs="Arial"/>
          <w:sz w:val="20"/>
          <w:szCs w:val="20"/>
        </w:rPr>
        <w:t xml:space="preserve"> deeply altered the natural vegetation and caused impoverishment and erosion of the soil cover (</w:t>
      </w:r>
      <w:r w:rsidR="00333DE2" w:rsidRPr="00971906">
        <w:rPr>
          <w:rFonts w:ascii="Arial" w:hAnsi="Arial" w:cs="Arial"/>
          <w:sz w:val="20"/>
          <w:szCs w:val="20"/>
        </w:rPr>
        <w:t>e.g.</w:t>
      </w:r>
      <w:r w:rsidR="00F16B65" w:rsidRPr="00971906">
        <w:rPr>
          <w:rFonts w:ascii="Arial" w:hAnsi="Arial" w:cs="Arial"/>
          <w:sz w:val="20"/>
          <w:szCs w:val="20"/>
        </w:rPr>
        <w:t>,</w:t>
      </w:r>
      <w:r w:rsidR="00333DE2" w:rsidRPr="00971906">
        <w:rPr>
          <w:rFonts w:ascii="Arial" w:hAnsi="Arial" w:cs="Arial"/>
          <w:sz w:val="20"/>
          <w:szCs w:val="20"/>
        </w:rPr>
        <w:t xml:space="preserve"> </w:t>
      </w:r>
      <w:r w:rsidRPr="00971906">
        <w:rPr>
          <w:rFonts w:ascii="Arial" w:hAnsi="Arial" w:cs="Arial"/>
          <w:sz w:val="20"/>
          <w:szCs w:val="20"/>
        </w:rPr>
        <w:t>Roberts et al.,</w:t>
      </w:r>
      <w:r w:rsidR="00A75778" w:rsidRPr="00971906">
        <w:rPr>
          <w:rFonts w:ascii="Arial" w:hAnsi="Arial" w:cs="Arial"/>
          <w:sz w:val="20"/>
          <w:szCs w:val="20"/>
        </w:rPr>
        <w:t xml:space="preserve"> 2002; 2011</w:t>
      </w:r>
      <w:r w:rsidRPr="00971906">
        <w:rPr>
          <w:rFonts w:ascii="Arial" w:hAnsi="Arial" w:cs="Arial"/>
          <w:sz w:val="20"/>
          <w:szCs w:val="20"/>
        </w:rPr>
        <w:t>).</w:t>
      </w:r>
    </w:p>
    <w:p w14:paraId="3ED25AB6" w14:textId="276783CA" w:rsidR="00DB5DF1" w:rsidRPr="00971906" w:rsidRDefault="000D498D" w:rsidP="00EA7112">
      <w:pPr>
        <w:spacing w:line="276" w:lineRule="auto"/>
        <w:jc w:val="both"/>
        <w:rPr>
          <w:rFonts w:ascii="Arial" w:hAnsi="Arial" w:cs="Arial"/>
          <w:sz w:val="20"/>
          <w:szCs w:val="20"/>
        </w:rPr>
      </w:pPr>
      <w:r>
        <w:rPr>
          <w:rFonts w:ascii="Arial" w:hAnsi="Arial" w:cs="Arial"/>
          <w:sz w:val="20"/>
          <w:szCs w:val="20"/>
        </w:rPr>
        <w:t>M</w:t>
      </w:r>
      <w:r w:rsidR="00EA7112" w:rsidRPr="00971906">
        <w:rPr>
          <w:rFonts w:ascii="Arial" w:hAnsi="Arial" w:cs="Arial"/>
          <w:sz w:val="20"/>
          <w:szCs w:val="20"/>
        </w:rPr>
        <w:t xml:space="preserve">ost of the Zagros </w:t>
      </w:r>
      <w:r>
        <w:rPr>
          <w:rFonts w:ascii="Arial" w:hAnsi="Arial" w:cs="Arial"/>
          <w:sz w:val="20"/>
          <w:szCs w:val="20"/>
        </w:rPr>
        <w:t>Mountains</w:t>
      </w:r>
      <w:r w:rsidR="00F16B65" w:rsidRPr="00971906">
        <w:rPr>
          <w:rFonts w:ascii="Arial" w:hAnsi="Arial" w:cs="Arial"/>
          <w:sz w:val="20"/>
          <w:szCs w:val="20"/>
        </w:rPr>
        <w:t xml:space="preserve"> </w:t>
      </w:r>
      <w:r w:rsidR="00EA7112" w:rsidRPr="00971906">
        <w:rPr>
          <w:rFonts w:ascii="Arial" w:hAnsi="Arial" w:cs="Arial"/>
          <w:sz w:val="20"/>
          <w:szCs w:val="20"/>
        </w:rPr>
        <w:t xml:space="preserve">area </w:t>
      </w:r>
      <w:proofErr w:type="gramStart"/>
      <w:r w:rsidR="00EA7112" w:rsidRPr="00971906">
        <w:rPr>
          <w:rFonts w:ascii="Arial" w:hAnsi="Arial" w:cs="Arial"/>
          <w:sz w:val="20"/>
          <w:szCs w:val="20"/>
        </w:rPr>
        <w:t>is covered</w:t>
      </w:r>
      <w:proofErr w:type="gramEnd"/>
      <w:r w:rsidR="00EA7112" w:rsidRPr="00971906">
        <w:rPr>
          <w:rFonts w:ascii="Arial" w:hAnsi="Arial" w:cs="Arial"/>
          <w:sz w:val="20"/>
          <w:szCs w:val="20"/>
        </w:rPr>
        <w:t xml:space="preserve"> by ‘</w:t>
      </w:r>
      <w:proofErr w:type="spellStart"/>
      <w:r w:rsidR="00EA7112" w:rsidRPr="00971906">
        <w:rPr>
          <w:rFonts w:ascii="Arial" w:hAnsi="Arial" w:cs="Arial"/>
          <w:sz w:val="20"/>
          <w:szCs w:val="20"/>
        </w:rPr>
        <w:t>Kurdo-Zagrosian</w:t>
      </w:r>
      <w:proofErr w:type="spellEnd"/>
      <w:r w:rsidR="00EA7112" w:rsidRPr="00971906">
        <w:rPr>
          <w:rFonts w:ascii="Arial" w:hAnsi="Arial" w:cs="Arial"/>
          <w:sz w:val="20"/>
          <w:szCs w:val="20"/>
        </w:rPr>
        <w:t xml:space="preserve"> steppe-forest’, which is composed of three major vegetation types, depending on the altitudinal belt</w:t>
      </w:r>
      <w:r>
        <w:rPr>
          <w:rFonts w:ascii="Arial" w:hAnsi="Arial" w:cs="Arial"/>
          <w:sz w:val="20"/>
          <w:szCs w:val="20"/>
        </w:rPr>
        <w:t>. In</w:t>
      </w:r>
      <w:r w:rsidR="00EA7112" w:rsidRPr="00971906">
        <w:rPr>
          <w:rFonts w:ascii="Arial" w:hAnsi="Arial" w:cs="Arial"/>
          <w:sz w:val="20"/>
          <w:szCs w:val="20"/>
        </w:rPr>
        <w:t xml:space="preserve"> </w:t>
      </w:r>
      <w:r>
        <w:rPr>
          <w:rFonts w:ascii="Arial" w:hAnsi="Arial" w:cs="Arial"/>
          <w:sz w:val="20"/>
          <w:szCs w:val="20"/>
        </w:rPr>
        <w:t>t</w:t>
      </w:r>
      <w:r w:rsidR="00A75778" w:rsidRPr="00971906">
        <w:rPr>
          <w:rFonts w:ascii="Arial" w:hAnsi="Arial" w:cs="Arial"/>
          <w:sz w:val="20"/>
          <w:szCs w:val="20"/>
        </w:rPr>
        <w:t xml:space="preserve">he </w:t>
      </w:r>
      <w:r w:rsidR="00EA7112" w:rsidRPr="00971906">
        <w:rPr>
          <w:rFonts w:ascii="Arial" w:hAnsi="Arial" w:cs="Arial"/>
          <w:sz w:val="20"/>
          <w:szCs w:val="20"/>
        </w:rPr>
        <w:t xml:space="preserve">mid-altitudes (1800-1200 m </w:t>
      </w:r>
      <w:proofErr w:type="spellStart"/>
      <w:r w:rsidR="00EA7112" w:rsidRPr="00971906">
        <w:rPr>
          <w:rFonts w:ascii="Arial" w:hAnsi="Arial" w:cs="Arial"/>
          <w:sz w:val="20"/>
          <w:szCs w:val="20"/>
        </w:rPr>
        <w:t>a.s.l</w:t>
      </w:r>
      <w:proofErr w:type="spellEnd"/>
      <w:r w:rsidR="00EA7112" w:rsidRPr="00971906">
        <w:rPr>
          <w:rFonts w:ascii="Arial" w:hAnsi="Arial" w:cs="Arial"/>
          <w:sz w:val="20"/>
          <w:szCs w:val="20"/>
        </w:rPr>
        <w:t>.</w:t>
      </w:r>
      <w:r w:rsidR="00A75778" w:rsidRPr="00971906">
        <w:rPr>
          <w:rFonts w:ascii="Arial" w:hAnsi="Arial" w:cs="Arial"/>
          <w:sz w:val="20"/>
          <w:szCs w:val="20"/>
        </w:rPr>
        <w:t>)</w:t>
      </w:r>
      <w:r>
        <w:rPr>
          <w:rFonts w:ascii="Arial" w:hAnsi="Arial" w:cs="Arial"/>
          <w:sz w:val="20"/>
          <w:szCs w:val="20"/>
        </w:rPr>
        <w:t>,</w:t>
      </w:r>
      <w:r w:rsidR="00A75778" w:rsidRPr="00971906">
        <w:rPr>
          <w:rFonts w:ascii="Arial" w:hAnsi="Arial" w:cs="Arial"/>
          <w:sz w:val="20"/>
          <w:szCs w:val="20"/>
        </w:rPr>
        <w:t xml:space="preserve"> </w:t>
      </w:r>
      <w:r w:rsidR="00EA7112" w:rsidRPr="00971906">
        <w:rPr>
          <w:rFonts w:ascii="Arial" w:hAnsi="Arial" w:cs="Arial"/>
          <w:sz w:val="20"/>
          <w:szCs w:val="20"/>
        </w:rPr>
        <w:t>deciduous oak woodland</w:t>
      </w:r>
      <w:r>
        <w:rPr>
          <w:rFonts w:ascii="Arial" w:hAnsi="Arial" w:cs="Arial"/>
          <w:sz w:val="20"/>
          <w:szCs w:val="20"/>
        </w:rPr>
        <w:t xml:space="preserve"> occurs</w:t>
      </w:r>
      <w:r w:rsidR="00EA7112" w:rsidRPr="00971906">
        <w:rPr>
          <w:rFonts w:ascii="Arial" w:hAnsi="Arial" w:cs="Arial"/>
          <w:sz w:val="20"/>
          <w:szCs w:val="20"/>
        </w:rPr>
        <w:t xml:space="preserve">, </w:t>
      </w:r>
      <w:r w:rsidR="00A75778" w:rsidRPr="00971906">
        <w:rPr>
          <w:rFonts w:ascii="Arial" w:hAnsi="Arial" w:cs="Arial"/>
          <w:sz w:val="20"/>
          <w:szCs w:val="20"/>
        </w:rPr>
        <w:t xml:space="preserve">dominated by the </w:t>
      </w:r>
      <w:proofErr w:type="spellStart"/>
      <w:r w:rsidR="00EA7112" w:rsidRPr="00971906">
        <w:rPr>
          <w:rFonts w:ascii="Arial" w:hAnsi="Arial" w:cs="Arial"/>
          <w:sz w:val="20"/>
          <w:szCs w:val="20"/>
        </w:rPr>
        <w:t>xerophilous</w:t>
      </w:r>
      <w:proofErr w:type="spellEnd"/>
      <w:r w:rsidR="00EA7112" w:rsidRPr="00971906">
        <w:rPr>
          <w:rFonts w:ascii="Arial" w:hAnsi="Arial" w:cs="Arial"/>
          <w:sz w:val="20"/>
          <w:szCs w:val="20"/>
        </w:rPr>
        <w:t xml:space="preserve"> </w:t>
      </w:r>
      <w:proofErr w:type="spellStart"/>
      <w:r w:rsidR="00EA7112" w:rsidRPr="00971906">
        <w:rPr>
          <w:rFonts w:ascii="Arial" w:hAnsi="Arial" w:cs="Arial"/>
          <w:i/>
          <w:sz w:val="20"/>
          <w:szCs w:val="20"/>
        </w:rPr>
        <w:t>Quercus</w:t>
      </w:r>
      <w:proofErr w:type="spellEnd"/>
      <w:r w:rsidR="00EA7112" w:rsidRPr="00971906">
        <w:rPr>
          <w:rFonts w:ascii="Arial" w:hAnsi="Arial" w:cs="Arial"/>
          <w:i/>
          <w:sz w:val="20"/>
          <w:szCs w:val="20"/>
        </w:rPr>
        <w:t xml:space="preserve"> </w:t>
      </w:r>
      <w:proofErr w:type="spellStart"/>
      <w:r w:rsidR="00EA7112" w:rsidRPr="00971906">
        <w:rPr>
          <w:rFonts w:ascii="Arial" w:hAnsi="Arial" w:cs="Arial"/>
          <w:i/>
          <w:sz w:val="20"/>
          <w:szCs w:val="20"/>
        </w:rPr>
        <w:t>brantii</w:t>
      </w:r>
      <w:proofErr w:type="spellEnd"/>
      <w:r w:rsidR="00A75778" w:rsidRPr="00971906">
        <w:rPr>
          <w:rFonts w:ascii="Arial" w:hAnsi="Arial" w:cs="Arial"/>
          <w:sz w:val="20"/>
          <w:szCs w:val="20"/>
        </w:rPr>
        <w:t xml:space="preserve"> that </w:t>
      </w:r>
      <w:r>
        <w:rPr>
          <w:rFonts w:ascii="Arial" w:hAnsi="Arial" w:cs="Arial"/>
          <w:sz w:val="20"/>
          <w:szCs w:val="20"/>
        </w:rPr>
        <w:t xml:space="preserve">has </w:t>
      </w:r>
      <w:r w:rsidR="00A75778" w:rsidRPr="00971906">
        <w:rPr>
          <w:rFonts w:ascii="Arial" w:hAnsi="Arial" w:cs="Arial"/>
          <w:sz w:val="20"/>
          <w:szCs w:val="20"/>
        </w:rPr>
        <w:t xml:space="preserve">expanded in the </w:t>
      </w:r>
      <w:r w:rsidR="000A58F9" w:rsidRPr="00971906">
        <w:rPr>
          <w:rFonts w:ascii="Arial" w:hAnsi="Arial" w:cs="Arial"/>
          <w:sz w:val="20"/>
          <w:szCs w:val="20"/>
        </w:rPr>
        <w:t>region since the Mid-Holocene (</w:t>
      </w:r>
      <w:proofErr w:type="spellStart"/>
      <w:r w:rsidR="000A58F9" w:rsidRPr="00971906">
        <w:rPr>
          <w:rFonts w:ascii="Arial" w:hAnsi="Arial" w:cs="Arial"/>
          <w:sz w:val="20"/>
          <w:szCs w:val="20"/>
        </w:rPr>
        <w:t>Dj</w:t>
      </w:r>
      <w:r w:rsidR="00A75778" w:rsidRPr="00971906">
        <w:rPr>
          <w:rFonts w:ascii="Arial" w:hAnsi="Arial" w:cs="Arial"/>
          <w:sz w:val="20"/>
          <w:szCs w:val="20"/>
        </w:rPr>
        <w:t>amali</w:t>
      </w:r>
      <w:proofErr w:type="spellEnd"/>
      <w:r w:rsidR="00A75778" w:rsidRPr="00971906">
        <w:rPr>
          <w:rFonts w:ascii="Arial" w:hAnsi="Arial" w:cs="Arial"/>
          <w:sz w:val="20"/>
          <w:szCs w:val="20"/>
        </w:rPr>
        <w:t xml:space="preserve"> et al., 2010; Roberts, 2002)</w:t>
      </w:r>
      <w:r w:rsidR="00EA7112" w:rsidRPr="00971906">
        <w:rPr>
          <w:rFonts w:ascii="Arial" w:hAnsi="Arial" w:cs="Arial"/>
          <w:sz w:val="20"/>
          <w:szCs w:val="20"/>
        </w:rPr>
        <w:t xml:space="preserve">. </w:t>
      </w:r>
      <w:r w:rsidR="00A75778" w:rsidRPr="00971906">
        <w:rPr>
          <w:rFonts w:ascii="Arial" w:hAnsi="Arial" w:cs="Arial"/>
          <w:sz w:val="20"/>
          <w:szCs w:val="20"/>
        </w:rPr>
        <w:t xml:space="preserve">In the lower altitude </w:t>
      </w:r>
      <w:r w:rsidR="001E0372" w:rsidRPr="00971906">
        <w:rPr>
          <w:rFonts w:ascii="Arial" w:hAnsi="Arial" w:cs="Arial"/>
          <w:sz w:val="20"/>
          <w:szCs w:val="20"/>
        </w:rPr>
        <w:t xml:space="preserve">belt </w:t>
      </w:r>
      <w:r w:rsidR="00A75778" w:rsidRPr="00971906">
        <w:rPr>
          <w:rFonts w:ascii="Arial" w:hAnsi="Arial" w:cs="Arial"/>
          <w:sz w:val="20"/>
          <w:szCs w:val="20"/>
        </w:rPr>
        <w:t xml:space="preserve">(1200-750 m </w:t>
      </w:r>
      <w:proofErr w:type="spellStart"/>
      <w:r w:rsidR="00A75778" w:rsidRPr="00971906">
        <w:rPr>
          <w:rFonts w:ascii="Arial" w:hAnsi="Arial" w:cs="Arial"/>
          <w:sz w:val="20"/>
          <w:szCs w:val="20"/>
        </w:rPr>
        <w:t>a.s.l</w:t>
      </w:r>
      <w:proofErr w:type="spellEnd"/>
      <w:r w:rsidR="00A75778" w:rsidRPr="00971906">
        <w:rPr>
          <w:rFonts w:ascii="Arial" w:hAnsi="Arial" w:cs="Arial"/>
          <w:sz w:val="20"/>
          <w:szCs w:val="20"/>
        </w:rPr>
        <w:t>.)</w:t>
      </w:r>
      <w:r>
        <w:rPr>
          <w:rFonts w:ascii="Arial" w:hAnsi="Arial" w:cs="Arial"/>
          <w:sz w:val="20"/>
          <w:szCs w:val="20"/>
        </w:rPr>
        <w:t>,</w:t>
      </w:r>
      <w:r w:rsidR="00A75778" w:rsidRPr="00971906">
        <w:rPr>
          <w:rFonts w:ascii="Arial" w:hAnsi="Arial" w:cs="Arial"/>
          <w:sz w:val="20"/>
          <w:szCs w:val="20"/>
        </w:rPr>
        <w:t xml:space="preserve"> to which the cave catchment belongs</w:t>
      </w:r>
      <w:r>
        <w:rPr>
          <w:rFonts w:ascii="Arial" w:hAnsi="Arial" w:cs="Arial"/>
          <w:sz w:val="20"/>
          <w:szCs w:val="20"/>
        </w:rPr>
        <w:t>,</w:t>
      </w:r>
      <w:r w:rsidR="00A75778" w:rsidRPr="00971906">
        <w:rPr>
          <w:rFonts w:ascii="Arial" w:hAnsi="Arial" w:cs="Arial"/>
          <w:sz w:val="20"/>
          <w:szCs w:val="20"/>
        </w:rPr>
        <w:t xml:space="preserve"> the dominant vegetation is represented by </w:t>
      </w:r>
      <w:proofErr w:type="spellStart"/>
      <w:r w:rsidR="00EA7112" w:rsidRPr="00971906">
        <w:rPr>
          <w:rFonts w:ascii="Arial" w:hAnsi="Arial" w:cs="Arial"/>
          <w:i/>
          <w:sz w:val="20"/>
          <w:szCs w:val="20"/>
        </w:rPr>
        <w:t>Pistacia-Amygdalus</w:t>
      </w:r>
      <w:proofErr w:type="spellEnd"/>
      <w:r w:rsidR="00EA7112" w:rsidRPr="00971906">
        <w:rPr>
          <w:rFonts w:ascii="Arial" w:hAnsi="Arial" w:cs="Arial"/>
          <w:sz w:val="20"/>
          <w:szCs w:val="20"/>
        </w:rPr>
        <w:t xml:space="preserve"> scrub</w:t>
      </w:r>
      <w:r>
        <w:rPr>
          <w:rFonts w:ascii="Arial" w:hAnsi="Arial" w:cs="Arial"/>
          <w:sz w:val="20"/>
          <w:szCs w:val="20"/>
        </w:rPr>
        <w:t>land</w:t>
      </w:r>
      <w:r w:rsidR="00A75778" w:rsidRPr="00971906">
        <w:rPr>
          <w:rFonts w:ascii="Arial" w:hAnsi="Arial" w:cs="Arial"/>
          <w:sz w:val="20"/>
          <w:szCs w:val="20"/>
        </w:rPr>
        <w:t>. In the lower</w:t>
      </w:r>
      <w:r w:rsidR="00B32636">
        <w:rPr>
          <w:rFonts w:ascii="Arial" w:hAnsi="Arial" w:cs="Arial"/>
          <w:sz w:val="20"/>
          <w:szCs w:val="20"/>
        </w:rPr>
        <w:t xml:space="preserve"> (below 750 m </w:t>
      </w:r>
      <w:proofErr w:type="spellStart"/>
      <w:r w:rsidR="00B32636">
        <w:rPr>
          <w:rFonts w:ascii="Arial" w:hAnsi="Arial" w:cs="Arial"/>
          <w:sz w:val="20"/>
          <w:szCs w:val="20"/>
        </w:rPr>
        <w:t>a.s.l</w:t>
      </w:r>
      <w:proofErr w:type="spellEnd"/>
      <w:r w:rsidR="00B32636">
        <w:rPr>
          <w:rFonts w:ascii="Arial" w:hAnsi="Arial" w:cs="Arial"/>
          <w:sz w:val="20"/>
          <w:szCs w:val="20"/>
        </w:rPr>
        <w:t>)</w:t>
      </w:r>
      <w:r w:rsidR="00A75778" w:rsidRPr="00971906">
        <w:rPr>
          <w:rFonts w:ascii="Arial" w:hAnsi="Arial" w:cs="Arial"/>
          <w:sz w:val="20"/>
          <w:szCs w:val="20"/>
        </w:rPr>
        <w:t xml:space="preserve">, drier altitudes, the </w:t>
      </w:r>
      <w:proofErr w:type="spellStart"/>
      <w:r w:rsidR="00EA7112" w:rsidRPr="00971906">
        <w:rPr>
          <w:rFonts w:ascii="Arial" w:hAnsi="Arial" w:cs="Arial"/>
          <w:sz w:val="20"/>
          <w:szCs w:val="20"/>
        </w:rPr>
        <w:t>Irano-Turanian</w:t>
      </w:r>
      <w:proofErr w:type="spellEnd"/>
      <w:r w:rsidR="00EA7112" w:rsidRPr="00971906">
        <w:rPr>
          <w:rFonts w:ascii="Arial" w:hAnsi="Arial" w:cs="Arial"/>
          <w:sz w:val="20"/>
          <w:szCs w:val="20"/>
        </w:rPr>
        <w:t xml:space="preserve"> Artemisia steppes in the east (central Iran) and the Mesopotamian lowland </w:t>
      </w:r>
      <w:proofErr w:type="spellStart"/>
      <w:r w:rsidR="00EA7112" w:rsidRPr="00971906">
        <w:rPr>
          <w:rFonts w:ascii="Arial" w:hAnsi="Arial" w:cs="Arial"/>
          <w:sz w:val="20"/>
          <w:szCs w:val="20"/>
        </w:rPr>
        <w:t>savannas</w:t>
      </w:r>
      <w:proofErr w:type="spellEnd"/>
      <w:r w:rsidR="00EA7112" w:rsidRPr="00971906">
        <w:rPr>
          <w:rFonts w:ascii="Arial" w:hAnsi="Arial" w:cs="Arial"/>
          <w:sz w:val="20"/>
          <w:szCs w:val="20"/>
        </w:rPr>
        <w:t xml:space="preserve"> in the west</w:t>
      </w:r>
      <w:r w:rsidR="004F4CA4" w:rsidRPr="00971906">
        <w:rPr>
          <w:rFonts w:ascii="Arial" w:hAnsi="Arial" w:cs="Arial"/>
          <w:sz w:val="20"/>
          <w:szCs w:val="20"/>
        </w:rPr>
        <w:t>,</w:t>
      </w:r>
      <w:r w:rsidR="00EA7112" w:rsidRPr="00971906">
        <w:rPr>
          <w:rFonts w:ascii="Arial" w:hAnsi="Arial" w:cs="Arial"/>
          <w:sz w:val="20"/>
          <w:szCs w:val="20"/>
        </w:rPr>
        <w:t xml:space="preserve"> </w:t>
      </w:r>
      <w:r w:rsidR="00A75778" w:rsidRPr="00971906">
        <w:rPr>
          <w:rFonts w:ascii="Arial" w:hAnsi="Arial" w:cs="Arial"/>
          <w:sz w:val="20"/>
          <w:szCs w:val="20"/>
        </w:rPr>
        <w:t xml:space="preserve">represents the most common vegetation </w:t>
      </w:r>
      <w:r w:rsidR="00EA7112" w:rsidRPr="00971906">
        <w:rPr>
          <w:rFonts w:ascii="Arial" w:hAnsi="Arial" w:cs="Arial"/>
          <w:sz w:val="20"/>
          <w:szCs w:val="20"/>
        </w:rPr>
        <w:t>(</w:t>
      </w:r>
      <w:proofErr w:type="spellStart"/>
      <w:r w:rsidR="00EA7112" w:rsidRPr="00971906">
        <w:rPr>
          <w:rFonts w:ascii="Arial" w:hAnsi="Arial" w:cs="Arial"/>
          <w:sz w:val="20"/>
          <w:szCs w:val="20"/>
        </w:rPr>
        <w:t>Zohary</w:t>
      </w:r>
      <w:proofErr w:type="spellEnd"/>
      <w:r w:rsidR="00EA7112" w:rsidRPr="00971906">
        <w:rPr>
          <w:rFonts w:ascii="Arial" w:hAnsi="Arial" w:cs="Arial"/>
          <w:sz w:val="20"/>
          <w:szCs w:val="20"/>
        </w:rPr>
        <w:t>, 1973)</w:t>
      </w:r>
      <w:r w:rsidR="00A75778" w:rsidRPr="00971906">
        <w:rPr>
          <w:rFonts w:ascii="Arial" w:hAnsi="Arial" w:cs="Arial"/>
          <w:sz w:val="20"/>
          <w:szCs w:val="20"/>
        </w:rPr>
        <w:t xml:space="preserve">. Other </w:t>
      </w:r>
      <w:r>
        <w:rPr>
          <w:rFonts w:ascii="Arial" w:hAnsi="Arial" w:cs="Arial"/>
          <w:sz w:val="20"/>
          <w:szCs w:val="20"/>
        </w:rPr>
        <w:t xml:space="preserve">species </w:t>
      </w:r>
      <w:r w:rsidR="00A75778" w:rsidRPr="00971906">
        <w:rPr>
          <w:rFonts w:ascii="Arial" w:hAnsi="Arial" w:cs="Arial"/>
          <w:sz w:val="20"/>
          <w:szCs w:val="20"/>
        </w:rPr>
        <w:t xml:space="preserve">typical of the medium altitude vegetation are </w:t>
      </w:r>
      <w:proofErr w:type="spellStart"/>
      <w:r w:rsidR="00A75778" w:rsidRPr="00971906">
        <w:rPr>
          <w:rFonts w:ascii="Arial" w:hAnsi="Arial" w:cs="Arial"/>
          <w:i/>
          <w:sz w:val="20"/>
          <w:szCs w:val="20"/>
        </w:rPr>
        <w:t>Pyrus</w:t>
      </w:r>
      <w:proofErr w:type="spellEnd"/>
      <w:r w:rsidR="00A75778" w:rsidRPr="00971906">
        <w:rPr>
          <w:rFonts w:ascii="Arial" w:hAnsi="Arial" w:cs="Arial"/>
          <w:i/>
          <w:sz w:val="20"/>
          <w:szCs w:val="20"/>
        </w:rPr>
        <w:t xml:space="preserve"> </w:t>
      </w:r>
      <w:proofErr w:type="spellStart"/>
      <w:r w:rsidR="00A75778" w:rsidRPr="00971906">
        <w:rPr>
          <w:rFonts w:ascii="Arial" w:hAnsi="Arial" w:cs="Arial"/>
          <w:i/>
          <w:sz w:val="20"/>
          <w:szCs w:val="20"/>
        </w:rPr>
        <w:t>syriaca</w:t>
      </w:r>
      <w:proofErr w:type="spellEnd"/>
      <w:r w:rsidR="000A58F9" w:rsidRPr="00971906">
        <w:rPr>
          <w:rFonts w:ascii="Arial" w:hAnsi="Arial" w:cs="Arial"/>
          <w:i/>
          <w:sz w:val="20"/>
          <w:szCs w:val="20"/>
        </w:rPr>
        <w:t xml:space="preserve">, </w:t>
      </w:r>
      <w:proofErr w:type="spellStart"/>
      <w:r w:rsidR="00A75778" w:rsidRPr="00971906">
        <w:rPr>
          <w:rFonts w:ascii="Arial" w:hAnsi="Arial" w:cs="Arial"/>
          <w:i/>
          <w:sz w:val="20"/>
          <w:szCs w:val="20"/>
        </w:rPr>
        <w:t>Crataegus</w:t>
      </w:r>
      <w:proofErr w:type="spellEnd"/>
      <w:r w:rsidR="00A75778" w:rsidRPr="00971906">
        <w:rPr>
          <w:rFonts w:ascii="Arial" w:hAnsi="Arial" w:cs="Arial"/>
          <w:i/>
          <w:sz w:val="20"/>
          <w:szCs w:val="20"/>
        </w:rPr>
        <w:t xml:space="preserve"> </w:t>
      </w:r>
      <w:proofErr w:type="spellStart"/>
      <w:r w:rsidR="00A75778" w:rsidRPr="00971906">
        <w:rPr>
          <w:rFonts w:ascii="Arial" w:hAnsi="Arial" w:cs="Arial"/>
          <w:i/>
          <w:sz w:val="20"/>
          <w:szCs w:val="20"/>
        </w:rPr>
        <w:t>aronia</w:t>
      </w:r>
      <w:proofErr w:type="spellEnd"/>
      <w:r w:rsidR="000A58F9" w:rsidRPr="00971906">
        <w:rPr>
          <w:rFonts w:ascii="Arial" w:hAnsi="Arial" w:cs="Arial"/>
          <w:i/>
          <w:sz w:val="20"/>
          <w:szCs w:val="20"/>
        </w:rPr>
        <w:t>,</w:t>
      </w:r>
      <w:r w:rsidR="00A75778" w:rsidRPr="00971906">
        <w:rPr>
          <w:rFonts w:ascii="Arial" w:hAnsi="Arial" w:cs="Arial"/>
          <w:i/>
          <w:sz w:val="20"/>
          <w:szCs w:val="20"/>
        </w:rPr>
        <w:t xml:space="preserve"> </w:t>
      </w:r>
      <w:proofErr w:type="spellStart"/>
      <w:r w:rsidR="00A75778" w:rsidRPr="00971906">
        <w:rPr>
          <w:rFonts w:ascii="Arial" w:hAnsi="Arial" w:cs="Arial"/>
          <w:i/>
          <w:sz w:val="20"/>
          <w:szCs w:val="20"/>
        </w:rPr>
        <w:t>Cerasus</w:t>
      </w:r>
      <w:proofErr w:type="spellEnd"/>
      <w:r w:rsidR="00A75778" w:rsidRPr="00971906">
        <w:rPr>
          <w:rFonts w:ascii="Arial" w:hAnsi="Arial" w:cs="Arial"/>
          <w:i/>
          <w:sz w:val="20"/>
          <w:szCs w:val="20"/>
        </w:rPr>
        <w:t xml:space="preserve"> </w:t>
      </w:r>
      <w:proofErr w:type="spellStart"/>
      <w:r w:rsidR="00A75778" w:rsidRPr="00971906">
        <w:rPr>
          <w:rFonts w:ascii="Arial" w:hAnsi="Arial" w:cs="Arial"/>
          <w:i/>
          <w:sz w:val="20"/>
          <w:szCs w:val="20"/>
        </w:rPr>
        <w:t>microcarpa</w:t>
      </w:r>
      <w:proofErr w:type="spellEnd"/>
      <w:r w:rsidR="000A58F9" w:rsidRPr="00971906">
        <w:rPr>
          <w:rFonts w:ascii="Arial" w:hAnsi="Arial" w:cs="Arial"/>
          <w:i/>
          <w:sz w:val="20"/>
          <w:szCs w:val="20"/>
        </w:rPr>
        <w:t xml:space="preserve">, </w:t>
      </w:r>
      <w:r w:rsidR="00A75778" w:rsidRPr="00971906">
        <w:rPr>
          <w:rFonts w:ascii="Arial" w:hAnsi="Arial" w:cs="Arial"/>
          <w:i/>
          <w:sz w:val="20"/>
          <w:szCs w:val="20"/>
        </w:rPr>
        <w:t xml:space="preserve">Acer </w:t>
      </w:r>
      <w:proofErr w:type="spellStart"/>
      <w:r w:rsidR="00A75778" w:rsidRPr="00971906">
        <w:rPr>
          <w:rFonts w:ascii="Arial" w:hAnsi="Arial" w:cs="Arial"/>
          <w:i/>
          <w:sz w:val="20"/>
          <w:szCs w:val="20"/>
        </w:rPr>
        <w:t>monspessulanum</w:t>
      </w:r>
      <w:proofErr w:type="spellEnd"/>
      <w:r w:rsidR="0045409A" w:rsidRPr="00971906">
        <w:rPr>
          <w:rFonts w:ascii="Arial" w:hAnsi="Arial" w:cs="Arial"/>
          <w:i/>
          <w:sz w:val="20"/>
          <w:szCs w:val="20"/>
        </w:rPr>
        <w:t>,</w:t>
      </w:r>
      <w:r w:rsidR="000A58F9" w:rsidRPr="00971906">
        <w:rPr>
          <w:rFonts w:ascii="Arial" w:hAnsi="Arial" w:cs="Arial"/>
          <w:i/>
          <w:sz w:val="20"/>
          <w:szCs w:val="20"/>
        </w:rPr>
        <w:t xml:space="preserve"> L. subsp. </w:t>
      </w:r>
      <w:proofErr w:type="spellStart"/>
      <w:r w:rsidR="000A58F9" w:rsidRPr="00971906">
        <w:rPr>
          <w:rFonts w:ascii="Arial" w:hAnsi="Arial" w:cs="Arial"/>
          <w:i/>
          <w:sz w:val="20"/>
          <w:szCs w:val="20"/>
        </w:rPr>
        <w:t>cinerascens</w:t>
      </w:r>
      <w:proofErr w:type="spellEnd"/>
      <w:r w:rsidR="000A58F9" w:rsidRPr="00971906">
        <w:rPr>
          <w:rFonts w:ascii="Arial" w:hAnsi="Arial" w:cs="Arial"/>
          <w:i/>
          <w:sz w:val="20"/>
          <w:szCs w:val="20"/>
        </w:rPr>
        <w:t xml:space="preserve">, </w:t>
      </w:r>
      <w:proofErr w:type="spellStart"/>
      <w:r w:rsidR="00A75778" w:rsidRPr="00971906">
        <w:rPr>
          <w:rFonts w:ascii="Arial" w:hAnsi="Arial" w:cs="Arial"/>
          <w:i/>
          <w:sz w:val="20"/>
          <w:szCs w:val="20"/>
        </w:rPr>
        <w:t>Amygdalus</w:t>
      </w:r>
      <w:proofErr w:type="spellEnd"/>
      <w:r w:rsidR="00A75778" w:rsidRPr="00971906">
        <w:rPr>
          <w:rFonts w:ascii="Arial" w:hAnsi="Arial" w:cs="Arial"/>
          <w:i/>
          <w:sz w:val="20"/>
          <w:szCs w:val="20"/>
        </w:rPr>
        <w:t xml:space="preserve"> </w:t>
      </w:r>
      <w:proofErr w:type="spellStart"/>
      <w:r w:rsidR="00A75778" w:rsidRPr="00971906">
        <w:rPr>
          <w:rFonts w:ascii="Arial" w:hAnsi="Arial" w:cs="Arial"/>
          <w:i/>
          <w:sz w:val="20"/>
          <w:szCs w:val="20"/>
        </w:rPr>
        <w:t>scoparia</w:t>
      </w:r>
      <w:proofErr w:type="spellEnd"/>
      <w:r w:rsidR="00A75778" w:rsidRPr="00971906">
        <w:rPr>
          <w:rFonts w:ascii="Arial" w:hAnsi="Arial" w:cs="Arial"/>
          <w:sz w:val="20"/>
          <w:szCs w:val="20"/>
        </w:rPr>
        <w:t xml:space="preserve"> (</w:t>
      </w:r>
      <w:proofErr w:type="spellStart"/>
      <w:r w:rsidR="00A75778" w:rsidRPr="00971906">
        <w:rPr>
          <w:rFonts w:ascii="Arial" w:hAnsi="Arial" w:cs="Arial"/>
          <w:sz w:val="20"/>
          <w:szCs w:val="20"/>
        </w:rPr>
        <w:t>Browicz</w:t>
      </w:r>
      <w:proofErr w:type="spellEnd"/>
      <w:r w:rsidR="00A75778" w:rsidRPr="00971906">
        <w:rPr>
          <w:rFonts w:ascii="Arial" w:hAnsi="Arial" w:cs="Arial"/>
          <w:sz w:val="20"/>
          <w:szCs w:val="20"/>
        </w:rPr>
        <w:t xml:space="preserve"> and Zielinski, 1982). All these species belong to the C3 vegetation type. </w:t>
      </w:r>
    </w:p>
    <w:p w14:paraId="43D07323" w14:textId="46C4BBBE" w:rsidR="004F4CA4" w:rsidRPr="00971906" w:rsidRDefault="00A75778" w:rsidP="00F92255">
      <w:pPr>
        <w:spacing w:line="276" w:lineRule="auto"/>
        <w:jc w:val="both"/>
        <w:rPr>
          <w:rFonts w:ascii="Arial" w:hAnsi="Arial" w:cs="Arial"/>
          <w:sz w:val="20"/>
          <w:szCs w:val="20"/>
        </w:rPr>
      </w:pPr>
      <w:r w:rsidRPr="00971906">
        <w:rPr>
          <w:rFonts w:ascii="Arial" w:hAnsi="Arial" w:cs="Arial"/>
          <w:sz w:val="20"/>
          <w:szCs w:val="20"/>
        </w:rPr>
        <w:t>Soil</w:t>
      </w:r>
      <w:r w:rsidR="004F4CA4" w:rsidRPr="00971906">
        <w:rPr>
          <w:rFonts w:ascii="Arial" w:hAnsi="Arial" w:cs="Arial"/>
          <w:sz w:val="20"/>
          <w:szCs w:val="20"/>
        </w:rPr>
        <w:t xml:space="preserve"> δ</w:t>
      </w:r>
      <w:r w:rsidR="004F4CA4" w:rsidRPr="00971906">
        <w:rPr>
          <w:rFonts w:ascii="Arial" w:hAnsi="Arial" w:cs="Arial"/>
          <w:sz w:val="20"/>
          <w:szCs w:val="20"/>
          <w:vertAlign w:val="superscript"/>
        </w:rPr>
        <w:t>13</w:t>
      </w:r>
      <w:r w:rsidR="004F4CA4" w:rsidRPr="00971906">
        <w:rPr>
          <w:rFonts w:ascii="Arial" w:hAnsi="Arial" w:cs="Arial"/>
          <w:sz w:val="20"/>
          <w:szCs w:val="20"/>
        </w:rPr>
        <w:t>C</w:t>
      </w:r>
      <w:r w:rsidRPr="00971906">
        <w:rPr>
          <w:rFonts w:ascii="Arial" w:hAnsi="Arial" w:cs="Arial"/>
          <w:sz w:val="20"/>
          <w:szCs w:val="20"/>
        </w:rPr>
        <w:t xml:space="preserve"> at C3 vegetation sites </w:t>
      </w:r>
      <w:proofErr w:type="gramStart"/>
      <w:r w:rsidR="004F4CA4" w:rsidRPr="00971906">
        <w:rPr>
          <w:rFonts w:ascii="Arial" w:hAnsi="Arial" w:cs="Arial"/>
          <w:sz w:val="20"/>
          <w:szCs w:val="20"/>
        </w:rPr>
        <w:t>is expected</w:t>
      </w:r>
      <w:proofErr w:type="gramEnd"/>
      <w:r w:rsidR="004F4CA4" w:rsidRPr="00971906">
        <w:rPr>
          <w:rFonts w:ascii="Arial" w:hAnsi="Arial" w:cs="Arial"/>
          <w:sz w:val="20"/>
          <w:szCs w:val="20"/>
        </w:rPr>
        <w:t xml:space="preserve"> to be in the range -</w:t>
      </w:r>
      <w:r w:rsidRPr="00971906">
        <w:rPr>
          <w:rFonts w:ascii="Arial" w:hAnsi="Arial" w:cs="Arial"/>
          <w:sz w:val="20"/>
          <w:szCs w:val="20"/>
        </w:rPr>
        <w:t>26</w:t>
      </w:r>
      <w:r w:rsidR="004F4CA4" w:rsidRPr="00971906">
        <w:rPr>
          <w:rFonts w:ascii="Arial" w:hAnsi="Arial" w:cs="Arial"/>
          <w:sz w:val="20"/>
          <w:szCs w:val="20"/>
        </w:rPr>
        <w:t>‰ to -</w:t>
      </w:r>
      <w:r w:rsidRPr="00971906">
        <w:rPr>
          <w:rFonts w:ascii="Arial" w:hAnsi="Arial" w:cs="Arial"/>
          <w:sz w:val="20"/>
          <w:szCs w:val="20"/>
        </w:rPr>
        <w:t>20‰ (</w:t>
      </w:r>
      <w:proofErr w:type="spellStart"/>
      <w:r w:rsidRPr="00971906">
        <w:rPr>
          <w:rFonts w:ascii="Arial" w:hAnsi="Arial" w:cs="Arial"/>
          <w:sz w:val="20"/>
          <w:szCs w:val="20"/>
        </w:rPr>
        <w:t>Rudzka</w:t>
      </w:r>
      <w:proofErr w:type="spellEnd"/>
      <w:r w:rsidRPr="00971906">
        <w:rPr>
          <w:rFonts w:ascii="Arial" w:hAnsi="Arial" w:cs="Arial"/>
          <w:sz w:val="20"/>
          <w:szCs w:val="20"/>
        </w:rPr>
        <w:t xml:space="preserve"> et al.,</w:t>
      </w:r>
      <w:r w:rsidR="004F4CA4" w:rsidRPr="00971906">
        <w:rPr>
          <w:rFonts w:ascii="Arial" w:hAnsi="Arial" w:cs="Arial"/>
          <w:sz w:val="20"/>
          <w:szCs w:val="20"/>
        </w:rPr>
        <w:t xml:space="preserve"> 2011; </w:t>
      </w:r>
      <w:proofErr w:type="spellStart"/>
      <w:r w:rsidR="004F4CA4" w:rsidRPr="00971906">
        <w:rPr>
          <w:rFonts w:ascii="Arial" w:hAnsi="Arial" w:cs="Arial"/>
          <w:sz w:val="20"/>
          <w:szCs w:val="20"/>
        </w:rPr>
        <w:t>Cerling</w:t>
      </w:r>
      <w:proofErr w:type="spellEnd"/>
      <w:r w:rsidR="004F4CA4" w:rsidRPr="00971906">
        <w:rPr>
          <w:rFonts w:ascii="Arial" w:hAnsi="Arial" w:cs="Arial"/>
          <w:sz w:val="20"/>
          <w:szCs w:val="20"/>
        </w:rPr>
        <w:t xml:space="preserve"> </w:t>
      </w:r>
      <w:r w:rsidR="000A58F9" w:rsidRPr="00971906">
        <w:rPr>
          <w:rFonts w:ascii="Arial" w:hAnsi="Arial" w:cs="Arial"/>
          <w:sz w:val="20"/>
          <w:szCs w:val="20"/>
        </w:rPr>
        <w:t>et al., 1991)</w:t>
      </w:r>
      <w:r w:rsidR="004F4CA4" w:rsidRPr="00971906">
        <w:rPr>
          <w:rFonts w:ascii="Arial" w:hAnsi="Arial" w:cs="Arial"/>
          <w:sz w:val="20"/>
          <w:szCs w:val="20"/>
        </w:rPr>
        <w:t>.</w:t>
      </w:r>
      <w:r w:rsidRPr="00971906">
        <w:rPr>
          <w:rFonts w:ascii="Arial" w:hAnsi="Arial" w:cs="Arial"/>
          <w:sz w:val="20"/>
          <w:szCs w:val="20"/>
        </w:rPr>
        <w:t xml:space="preserve"> </w:t>
      </w:r>
      <w:r w:rsidR="004F4CA4" w:rsidRPr="00971906">
        <w:rPr>
          <w:rFonts w:ascii="Arial" w:hAnsi="Arial" w:cs="Arial"/>
          <w:sz w:val="20"/>
          <w:szCs w:val="20"/>
        </w:rPr>
        <w:t>Assuming a simplified system working near isotopic equilibrium at each stage, it is possible to obtain a raw estimation of the δ</w:t>
      </w:r>
      <w:r w:rsidR="004F4CA4" w:rsidRPr="00971906">
        <w:rPr>
          <w:rFonts w:ascii="Arial" w:hAnsi="Arial" w:cs="Arial"/>
          <w:sz w:val="20"/>
          <w:szCs w:val="20"/>
          <w:vertAlign w:val="superscript"/>
        </w:rPr>
        <w:t>13</w:t>
      </w:r>
      <w:r w:rsidR="004F4CA4" w:rsidRPr="00971906">
        <w:rPr>
          <w:rFonts w:ascii="Arial" w:hAnsi="Arial" w:cs="Arial"/>
          <w:sz w:val="20"/>
          <w:szCs w:val="20"/>
        </w:rPr>
        <w:t>C of speleothem ca</w:t>
      </w:r>
      <w:r w:rsidR="00193E00" w:rsidRPr="00971906">
        <w:rPr>
          <w:rFonts w:ascii="Arial" w:hAnsi="Arial" w:cs="Arial"/>
          <w:sz w:val="20"/>
          <w:szCs w:val="20"/>
        </w:rPr>
        <w:t>lcite in equilibrium with a labile</w:t>
      </w:r>
      <w:r w:rsidR="00333DE2" w:rsidRPr="00971906">
        <w:rPr>
          <w:rFonts w:ascii="Arial" w:hAnsi="Arial" w:cs="Arial"/>
          <w:sz w:val="20"/>
          <w:szCs w:val="20"/>
        </w:rPr>
        <w:t xml:space="preserve"> soil carbon pool</w:t>
      </w:r>
      <w:r w:rsidR="004F4CA4" w:rsidRPr="00971906">
        <w:rPr>
          <w:rFonts w:ascii="Arial" w:hAnsi="Arial" w:cs="Arial"/>
          <w:sz w:val="20"/>
          <w:szCs w:val="20"/>
        </w:rPr>
        <w:t xml:space="preserve"> by adding </w:t>
      </w:r>
      <w:r w:rsidR="004F4CA4" w:rsidRPr="00971906">
        <w:rPr>
          <w:rFonts w:ascii="Tahoma" w:hAnsi="Tahoma" w:cs="Tahoma"/>
          <w:sz w:val="20"/>
          <w:szCs w:val="20"/>
        </w:rPr>
        <w:t>⁓</w:t>
      </w:r>
      <w:r w:rsidR="004F4CA4" w:rsidRPr="00971906">
        <w:rPr>
          <w:rFonts w:ascii="Arial" w:hAnsi="Arial" w:cs="Arial"/>
          <w:sz w:val="20"/>
          <w:szCs w:val="20"/>
        </w:rPr>
        <w:t>10‰ to the value of soil CO</w:t>
      </w:r>
      <w:r w:rsidR="004F4CA4" w:rsidRPr="00971906">
        <w:rPr>
          <w:rFonts w:ascii="Arial" w:hAnsi="Arial" w:cs="Arial"/>
          <w:sz w:val="20"/>
          <w:szCs w:val="20"/>
          <w:vertAlign w:val="subscript"/>
        </w:rPr>
        <w:t>2</w:t>
      </w:r>
      <w:r w:rsidR="00193E00" w:rsidRPr="00971906">
        <w:rPr>
          <w:rFonts w:ascii="Arial" w:hAnsi="Arial" w:cs="Arial"/>
          <w:sz w:val="20"/>
          <w:szCs w:val="20"/>
        </w:rPr>
        <w:t xml:space="preserve"> (</w:t>
      </w:r>
      <w:proofErr w:type="spellStart"/>
      <w:r w:rsidR="00333DE2" w:rsidRPr="00971906">
        <w:rPr>
          <w:rFonts w:ascii="Arial" w:hAnsi="Arial" w:cs="Arial"/>
          <w:sz w:val="20"/>
          <w:szCs w:val="20"/>
        </w:rPr>
        <w:t>Rudzka</w:t>
      </w:r>
      <w:proofErr w:type="spellEnd"/>
      <w:r w:rsidR="00333DE2" w:rsidRPr="00971906">
        <w:rPr>
          <w:rFonts w:ascii="Arial" w:hAnsi="Arial" w:cs="Arial"/>
          <w:sz w:val="20"/>
          <w:szCs w:val="20"/>
        </w:rPr>
        <w:t xml:space="preserve"> et al., 2011; </w:t>
      </w:r>
      <w:r w:rsidR="00193E00" w:rsidRPr="00971906">
        <w:rPr>
          <w:rFonts w:ascii="Arial" w:hAnsi="Arial" w:cs="Arial"/>
          <w:sz w:val="20"/>
          <w:szCs w:val="20"/>
        </w:rPr>
        <w:t xml:space="preserve">Regattieri et al., 2021). This </w:t>
      </w:r>
      <w:r w:rsidR="00927793">
        <w:rPr>
          <w:rFonts w:ascii="Arial" w:hAnsi="Arial" w:cs="Arial"/>
          <w:sz w:val="20"/>
          <w:szCs w:val="20"/>
        </w:rPr>
        <w:t xml:space="preserve">produces </w:t>
      </w:r>
      <w:r w:rsidR="00193E00" w:rsidRPr="00971906">
        <w:rPr>
          <w:rFonts w:ascii="Arial" w:hAnsi="Arial" w:cs="Arial"/>
          <w:sz w:val="20"/>
          <w:szCs w:val="20"/>
        </w:rPr>
        <w:t xml:space="preserve">a range of -16‰ to -10‰ </w:t>
      </w:r>
      <w:r w:rsidR="00193E00" w:rsidRPr="00971906">
        <w:rPr>
          <w:rFonts w:ascii="Arial" w:hAnsi="Arial" w:cs="Arial"/>
          <w:sz w:val="20"/>
          <w:szCs w:val="20"/>
        </w:rPr>
        <w:lastRenderedPageBreak/>
        <w:t>for the calcite. The range of δ</w:t>
      </w:r>
      <w:r w:rsidR="00193E00" w:rsidRPr="00971906">
        <w:rPr>
          <w:rFonts w:ascii="Arial" w:hAnsi="Arial" w:cs="Arial"/>
          <w:sz w:val="20"/>
          <w:szCs w:val="20"/>
          <w:vertAlign w:val="superscript"/>
        </w:rPr>
        <w:t>13</w:t>
      </w:r>
      <w:r w:rsidR="00193E00" w:rsidRPr="00971906">
        <w:rPr>
          <w:rFonts w:ascii="Arial" w:hAnsi="Arial" w:cs="Arial"/>
          <w:sz w:val="20"/>
          <w:szCs w:val="20"/>
        </w:rPr>
        <w:t xml:space="preserve">C values observed for </w:t>
      </w:r>
      <w:r w:rsidR="00971906" w:rsidRPr="00971906">
        <w:rPr>
          <w:rFonts w:ascii="Arial" w:hAnsi="Arial" w:cs="Arial"/>
          <w:sz w:val="20"/>
          <w:szCs w:val="20"/>
        </w:rPr>
        <w:t>LoNAP514</w:t>
      </w:r>
      <w:r w:rsidR="00193E00" w:rsidRPr="00971906">
        <w:rPr>
          <w:rFonts w:ascii="Arial" w:hAnsi="Arial" w:cs="Arial"/>
          <w:sz w:val="20"/>
          <w:szCs w:val="20"/>
        </w:rPr>
        <w:t xml:space="preserve"> is slighlty lower (</w:t>
      </w:r>
      <w:r w:rsidR="00193E00" w:rsidRPr="00971906">
        <w:rPr>
          <w:rFonts w:ascii="Tahoma" w:hAnsi="Tahoma" w:cs="Tahoma"/>
          <w:sz w:val="20"/>
          <w:szCs w:val="20"/>
        </w:rPr>
        <w:t>⁓</w:t>
      </w:r>
      <w:r w:rsidR="00193E00" w:rsidRPr="00971906">
        <w:rPr>
          <w:rFonts w:ascii="Arial" w:hAnsi="Arial" w:cs="Arial"/>
          <w:sz w:val="20"/>
          <w:szCs w:val="20"/>
        </w:rPr>
        <w:t>-5 to -10‰). This difference could be related to an incomplete equilibration betw</w:t>
      </w:r>
      <w:r w:rsidR="00F92255" w:rsidRPr="00971906">
        <w:rPr>
          <w:rFonts w:ascii="Arial" w:hAnsi="Arial" w:cs="Arial"/>
          <w:sz w:val="20"/>
          <w:szCs w:val="20"/>
        </w:rPr>
        <w:t>een soil CO</w:t>
      </w:r>
      <w:r w:rsidR="00F92255" w:rsidRPr="00971906">
        <w:rPr>
          <w:rFonts w:ascii="Arial" w:hAnsi="Arial" w:cs="Arial"/>
          <w:sz w:val="20"/>
          <w:szCs w:val="20"/>
          <w:vertAlign w:val="subscript"/>
        </w:rPr>
        <w:t>2</w:t>
      </w:r>
      <w:r w:rsidR="00F92255" w:rsidRPr="00971906">
        <w:rPr>
          <w:rFonts w:ascii="Arial" w:hAnsi="Arial" w:cs="Arial"/>
          <w:sz w:val="20"/>
          <w:szCs w:val="20"/>
        </w:rPr>
        <w:t xml:space="preserve"> and the </w:t>
      </w:r>
      <w:r w:rsidR="00927793">
        <w:rPr>
          <w:rFonts w:ascii="Arial" w:hAnsi="Arial" w:cs="Arial"/>
          <w:sz w:val="20"/>
          <w:szCs w:val="20"/>
        </w:rPr>
        <w:t>d</w:t>
      </w:r>
      <w:r w:rsidR="00F92255" w:rsidRPr="00971906">
        <w:rPr>
          <w:rFonts w:ascii="Arial" w:hAnsi="Arial" w:cs="Arial"/>
          <w:sz w:val="20"/>
          <w:szCs w:val="20"/>
        </w:rPr>
        <w:t xml:space="preserve">issolved </w:t>
      </w:r>
      <w:r w:rsidR="00927793">
        <w:rPr>
          <w:rFonts w:ascii="Arial" w:hAnsi="Arial" w:cs="Arial"/>
          <w:sz w:val="20"/>
          <w:szCs w:val="20"/>
        </w:rPr>
        <w:t>i</w:t>
      </w:r>
      <w:r w:rsidR="00F92255" w:rsidRPr="00971906">
        <w:rPr>
          <w:rFonts w:ascii="Arial" w:hAnsi="Arial" w:cs="Arial"/>
          <w:sz w:val="20"/>
          <w:szCs w:val="20"/>
        </w:rPr>
        <w:t xml:space="preserve">norganic </w:t>
      </w:r>
      <w:r w:rsidR="00927793">
        <w:rPr>
          <w:rFonts w:ascii="Arial" w:hAnsi="Arial" w:cs="Arial"/>
          <w:sz w:val="20"/>
          <w:szCs w:val="20"/>
        </w:rPr>
        <w:t>c</w:t>
      </w:r>
      <w:r w:rsidR="00193E00" w:rsidRPr="00971906">
        <w:rPr>
          <w:rFonts w:ascii="Arial" w:hAnsi="Arial" w:cs="Arial"/>
          <w:sz w:val="20"/>
          <w:szCs w:val="20"/>
        </w:rPr>
        <w:t>arbon</w:t>
      </w:r>
      <w:r w:rsidR="00333DE2" w:rsidRPr="00971906">
        <w:rPr>
          <w:rFonts w:ascii="Arial" w:hAnsi="Arial" w:cs="Arial"/>
          <w:sz w:val="20"/>
          <w:szCs w:val="20"/>
        </w:rPr>
        <w:t xml:space="preserve"> (DIC)</w:t>
      </w:r>
      <w:r w:rsidR="00F92255" w:rsidRPr="00971906">
        <w:rPr>
          <w:rFonts w:ascii="Arial" w:hAnsi="Arial" w:cs="Arial"/>
          <w:sz w:val="20"/>
          <w:szCs w:val="20"/>
        </w:rPr>
        <w:t xml:space="preserve">, resulting in a more pronounced contribution of </w:t>
      </w:r>
      <w:r w:rsidR="00F92255" w:rsidRPr="00971906">
        <w:rPr>
          <w:rFonts w:ascii="Arial" w:hAnsi="Arial" w:cs="Arial"/>
          <w:sz w:val="20"/>
          <w:szCs w:val="20"/>
          <w:vertAlign w:val="superscript"/>
        </w:rPr>
        <w:t>13</w:t>
      </w:r>
      <w:r w:rsidR="00F92255" w:rsidRPr="00971906">
        <w:rPr>
          <w:rFonts w:ascii="Arial" w:hAnsi="Arial" w:cs="Arial"/>
          <w:sz w:val="20"/>
          <w:szCs w:val="20"/>
        </w:rPr>
        <w:t>C-enriched CO</w:t>
      </w:r>
      <w:r w:rsidR="00F92255" w:rsidRPr="00971906">
        <w:rPr>
          <w:rFonts w:ascii="Arial" w:hAnsi="Arial" w:cs="Arial"/>
          <w:sz w:val="20"/>
          <w:szCs w:val="20"/>
          <w:vertAlign w:val="subscript"/>
        </w:rPr>
        <w:t>2</w:t>
      </w:r>
      <w:r w:rsidR="00F92255" w:rsidRPr="00971906">
        <w:rPr>
          <w:rFonts w:ascii="Arial" w:hAnsi="Arial" w:cs="Arial"/>
          <w:sz w:val="20"/>
          <w:szCs w:val="20"/>
        </w:rPr>
        <w:t xml:space="preserve"> from bedrock dissolution (</w:t>
      </w:r>
      <w:proofErr w:type="spellStart"/>
      <w:r w:rsidR="00F92255" w:rsidRPr="00971906">
        <w:rPr>
          <w:rFonts w:ascii="Arial" w:hAnsi="Arial" w:cs="Arial"/>
          <w:sz w:val="20"/>
          <w:szCs w:val="20"/>
        </w:rPr>
        <w:t>Bajo</w:t>
      </w:r>
      <w:proofErr w:type="spellEnd"/>
      <w:r w:rsidR="00F92255" w:rsidRPr="00971906">
        <w:rPr>
          <w:rFonts w:ascii="Arial" w:hAnsi="Arial" w:cs="Arial"/>
          <w:sz w:val="20"/>
          <w:szCs w:val="20"/>
        </w:rPr>
        <w:t xml:space="preserve"> et al., 2017; </w:t>
      </w:r>
      <w:proofErr w:type="spellStart"/>
      <w:r w:rsidR="00F92255" w:rsidRPr="00971906">
        <w:rPr>
          <w:rFonts w:ascii="Arial" w:hAnsi="Arial" w:cs="Arial"/>
          <w:sz w:val="20"/>
          <w:szCs w:val="20"/>
        </w:rPr>
        <w:t>Rudzka</w:t>
      </w:r>
      <w:proofErr w:type="spellEnd"/>
      <w:r w:rsidR="00F92255" w:rsidRPr="00971906">
        <w:rPr>
          <w:rFonts w:ascii="Arial" w:hAnsi="Arial" w:cs="Arial"/>
          <w:sz w:val="20"/>
          <w:szCs w:val="20"/>
        </w:rPr>
        <w:t xml:space="preserve"> et al., 2011; Hendy et al., 1971)</w:t>
      </w:r>
      <w:r w:rsidR="005E6524" w:rsidRPr="00971906">
        <w:rPr>
          <w:rFonts w:ascii="Arial" w:hAnsi="Arial" w:cs="Arial"/>
          <w:sz w:val="20"/>
          <w:szCs w:val="20"/>
        </w:rPr>
        <w:t xml:space="preserve">. However, due to the </w:t>
      </w:r>
      <w:r w:rsidR="00927793">
        <w:rPr>
          <w:rFonts w:ascii="Arial" w:hAnsi="Arial" w:cs="Arial"/>
          <w:sz w:val="20"/>
          <w:szCs w:val="20"/>
        </w:rPr>
        <w:t xml:space="preserve">thin bedrock above </w:t>
      </w:r>
      <w:r w:rsidR="005E6524" w:rsidRPr="00971906">
        <w:rPr>
          <w:rFonts w:ascii="Arial" w:hAnsi="Arial" w:cs="Arial"/>
          <w:sz w:val="20"/>
          <w:szCs w:val="20"/>
        </w:rPr>
        <w:t xml:space="preserve">the cave </w:t>
      </w:r>
      <w:r w:rsidR="00927793">
        <w:rPr>
          <w:rFonts w:ascii="Arial" w:hAnsi="Arial" w:cs="Arial"/>
          <w:sz w:val="20"/>
          <w:szCs w:val="20"/>
        </w:rPr>
        <w:t xml:space="preserve">where </w:t>
      </w:r>
      <w:r w:rsidR="00971906" w:rsidRPr="00971906">
        <w:rPr>
          <w:rFonts w:ascii="Arial" w:hAnsi="Arial" w:cs="Arial"/>
          <w:sz w:val="20"/>
          <w:szCs w:val="20"/>
        </w:rPr>
        <w:t xml:space="preserve">LoNAP514 </w:t>
      </w:r>
      <w:r w:rsidR="005E6524" w:rsidRPr="00971906">
        <w:rPr>
          <w:rFonts w:ascii="Arial" w:hAnsi="Arial" w:cs="Arial"/>
          <w:sz w:val="20"/>
          <w:szCs w:val="20"/>
        </w:rPr>
        <w:t xml:space="preserve">was retrieved, this effect is </w:t>
      </w:r>
      <w:r w:rsidR="00927793">
        <w:rPr>
          <w:rFonts w:ascii="Arial" w:hAnsi="Arial" w:cs="Arial"/>
          <w:sz w:val="20"/>
          <w:szCs w:val="20"/>
        </w:rPr>
        <w:t xml:space="preserve">likely </w:t>
      </w:r>
      <w:r w:rsidR="005E6524" w:rsidRPr="00971906">
        <w:rPr>
          <w:rFonts w:ascii="Arial" w:hAnsi="Arial" w:cs="Arial"/>
          <w:sz w:val="20"/>
          <w:szCs w:val="20"/>
        </w:rPr>
        <w:t>negligible for our sample</w:t>
      </w:r>
      <w:r w:rsidR="00F92255" w:rsidRPr="00971906">
        <w:rPr>
          <w:rFonts w:ascii="Arial" w:hAnsi="Arial" w:cs="Arial"/>
          <w:sz w:val="20"/>
          <w:szCs w:val="20"/>
        </w:rPr>
        <w:t xml:space="preserve">. Lowering of drip rates, </w:t>
      </w:r>
      <w:r w:rsidR="00333DE2" w:rsidRPr="00971906">
        <w:rPr>
          <w:rFonts w:ascii="Arial" w:hAnsi="Arial" w:cs="Arial"/>
          <w:sz w:val="20"/>
          <w:szCs w:val="20"/>
        </w:rPr>
        <w:t>increased</w:t>
      </w:r>
      <w:r w:rsidR="00F92255" w:rsidRPr="00971906">
        <w:rPr>
          <w:rFonts w:ascii="Arial" w:hAnsi="Arial" w:cs="Arial"/>
          <w:sz w:val="20"/>
          <w:szCs w:val="20"/>
        </w:rPr>
        <w:t xml:space="preserve"> cave ventilation, and </w:t>
      </w:r>
      <w:r w:rsidR="00333DE2" w:rsidRPr="00971906">
        <w:rPr>
          <w:rFonts w:ascii="Arial" w:hAnsi="Arial" w:cs="Arial"/>
          <w:sz w:val="20"/>
          <w:szCs w:val="20"/>
        </w:rPr>
        <w:t xml:space="preserve">water </w:t>
      </w:r>
      <w:r w:rsidR="00F92255" w:rsidRPr="00971906">
        <w:rPr>
          <w:rFonts w:ascii="Arial" w:hAnsi="Arial" w:cs="Arial"/>
          <w:sz w:val="20"/>
          <w:szCs w:val="20"/>
        </w:rPr>
        <w:t xml:space="preserve">evaporation in the soil and in the </w:t>
      </w:r>
      <w:proofErr w:type="spellStart"/>
      <w:r w:rsidR="00F92255" w:rsidRPr="00971906">
        <w:rPr>
          <w:rFonts w:ascii="Arial" w:hAnsi="Arial" w:cs="Arial"/>
          <w:sz w:val="20"/>
          <w:szCs w:val="20"/>
        </w:rPr>
        <w:t>epikarst</w:t>
      </w:r>
      <w:proofErr w:type="spellEnd"/>
      <w:r w:rsidR="00F92255" w:rsidRPr="00971906">
        <w:rPr>
          <w:rFonts w:ascii="Arial" w:hAnsi="Arial" w:cs="Arial"/>
          <w:sz w:val="20"/>
          <w:szCs w:val="20"/>
        </w:rPr>
        <w:t xml:space="preserve"> -</w:t>
      </w:r>
      <w:r w:rsidR="00927793">
        <w:rPr>
          <w:rFonts w:ascii="Arial" w:hAnsi="Arial" w:cs="Arial"/>
          <w:sz w:val="20"/>
          <w:szCs w:val="20"/>
        </w:rPr>
        <w:t xml:space="preserve"> </w:t>
      </w:r>
      <w:r w:rsidR="00F92255" w:rsidRPr="00971906">
        <w:rPr>
          <w:rFonts w:ascii="Arial" w:hAnsi="Arial" w:cs="Arial"/>
          <w:sz w:val="20"/>
          <w:szCs w:val="20"/>
        </w:rPr>
        <w:t xml:space="preserve">all </w:t>
      </w:r>
      <w:r w:rsidR="00927793">
        <w:rPr>
          <w:rFonts w:ascii="Arial" w:hAnsi="Arial" w:cs="Arial"/>
          <w:sz w:val="20"/>
          <w:szCs w:val="20"/>
        </w:rPr>
        <w:t xml:space="preserve">capable of </w:t>
      </w:r>
      <w:r w:rsidR="00F92255" w:rsidRPr="00971906">
        <w:rPr>
          <w:rFonts w:ascii="Arial" w:hAnsi="Arial" w:cs="Arial"/>
          <w:sz w:val="20"/>
          <w:szCs w:val="20"/>
        </w:rPr>
        <w:t xml:space="preserve">promoting preferential degassing of </w:t>
      </w:r>
      <w:r w:rsidR="00F92255" w:rsidRPr="00971906">
        <w:rPr>
          <w:rFonts w:ascii="Arial" w:hAnsi="Arial" w:cs="Arial"/>
          <w:sz w:val="20"/>
          <w:szCs w:val="20"/>
          <w:vertAlign w:val="superscript"/>
        </w:rPr>
        <w:t>12</w:t>
      </w:r>
      <w:r w:rsidR="00F92255" w:rsidRPr="00971906">
        <w:rPr>
          <w:rFonts w:ascii="Arial" w:hAnsi="Arial" w:cs="Arial"/>
          <w:sz w:val="20"/>
          <w:szCs w:val="20"/>
        </w:rPr>
        <w:t>CO</w:t>
      </w:r>
      <w:r w:rsidR="00F92255" w:rsidRPr="00971906">
        <w:rPr>
          <w:rFonts w:ascii="Arial" w:hAnsi="Arial" w:cs="Arial"/>
          <w:sz w:val="20"/>
          <w:szCs w:val="20"/>
          <w:vertAlign w:val="subscript"/>
        </w:rPr>
        <w:t>2</w:t>
      </w:r>
      <w:r w:rsidR="00927793">
        <w:rPr>
          <w:rFonts w:ascii="Arial" w:hAnsi="Arial" w:cs="Arial"/>
          <w:sz w:val="20"/>
          <w:szCs w:val="20"/>
          <w:vertAlign w:val="subscript"/>
        </w:rPr>
        <w:t xml:space="preserve"> </w:t>
      </w:r>
      <w:r w:rsidR="00F92255" w:rsidRPr="00971906">
        <w:rPr>
          <w:rFonts w:ascii="Arial" w:hAnsi="Arial" w:cs="Arial"/>
          <w:sz w:val="20"/>
          <w:szCs w:val="20"/>
        </w:rPr>
        <w:t>- can also result in enriched δ</w:t>
      </w:r>
      <w:r w:rsidR="00F92255" w:rsidRPr="00971906">
        <w:rPr>
          <w:rFonts w:ascii="Arial" w:hAnsi="Arial" w:cs="Arial"/>
          <w:sz w:val="20"/>
          <w:szCs w:val="20"/>
          <w:vertAlign w:val="superscript"/>
        </w:rPr>
        <w:t>13</w:t>
      </w:r>
      <w:r w:rsidR="00F92255" w:rsidRPr="00971906">
        <w:rPr>
          <w:rFonts w:ascii="Arial" w:hAnsi="Arial" w:cs="Arial"/>
          <w:sz w:val="20"/>
          <w:szCs w:val="20"/>
        </w:rPr>
        <w:t xml:space="preserve">C values. </w:t>
      </w:r>
      <w:r w:rsidR="00333DE2" w:rsidRPr="00971906">
        <w:rPr>
          <w:rFonts w:ascii="Arial" w:hAnsi="Arial" w:cs="Arial"/>
          <w:sz w:val="20"/>
          <w:szCs w:val="20"/>
        </w:rPr>
        <w:t xml:space="preserve">Of these, the latter </w:t>
      </w:r>
      <w:r w:rsidR="00927793">
        <w:rPr>
          <w:rFonts w:ascii="Arial" w:hAnsi="Arial" w:cs="Arial"/>
          <w:sz w:val="20"/>
          <w:szCs w:val="20"/>
        </w:rPr>
        <w:t xml:space="preserve">yields </w:t>
      </w:r>
      <w:r w:rsidR="00333DE2" w:rsidRPr="00971906">
        <w:rPr>
          <w:rFonts w:ascii="Arial" w:hAnsi="Arial" w:cs="Arial"/>
          <w:sz w:val="20"/>
          <w:szCs w:val="20"/>
        </w:rPr>
        <w:t>strong covariation with the δ</w:t>
      </w:r>
      <w:r w:rsidR="00333DE2" w:rsidRPr="00971906">
        <w:rPr>
          <w:rFonts w:ascii="Arial" w:hAnsi="Arial" w:cs="Arial"/>
          <w:sz w:val="20"/>
          <w:szCs w:val="20"/>
          <w:vertAlign w:val="superscript"/>
        </w:rPr>
        <w:t>18</w:t>
      </w:r>
      <w:r w:rsidR="00333DE2" w:rsidRPr="00971906">
        <w:rPr>
          <w:rFonts w:ascii="Arial" w:hAnsi="Arial" w:cs="Arial"/>
          <w:sz w:val="20"/>
          <w:szCs w:val="20"/>
        </w:rPr>
        <w:t>O (because</w:t>
      </w:r>
      <w:r w:rsidR="005E6524" w:rsidRPr="00971906">
        <w:rPr>
          <w:rFonts w:ascii="Arial" w:hAnsi="Arial" w:cs="Arial"/>
          <w:sz w:val="20"/>
          <w:szCs w:val="20"/>
        </w:rPr>
        <w:t xml:space="preserve"> also</w:t>
      </w:r>
      <w:r w:rsidR="00333DE2" w:rsidRPr="00971906">
        <w:rPr>
          <w:rFonts w:ascii="Arial" w:hAnsi="Arial" w:cs="Arial"/>
          <w:sz w:val="20"/>
          <w:szCs w:val="20"/>
        </w:rPr>
        <w:t xml:space="preserve"> </w:t>
      </w:r>
      <w:r w:rsidR="00333DE2" w:rsidRPr="00971906">
        <w:rPr>
          <w:rFonts w:ascii="Arial" w:hAnsi="Arial" w:cs="Arial"/>
          <w:sz w:val="20"/>
          <w:szCs w:val="20"/>
          <w:vertAlign w:val="superscript"/>
        </w:rPr>
        <w:t>16</w:t>
      </w:r>
      <w:r w:rsidR="00333DE2" w:rsidRPr="00971906">
        <w:rPr>
          <w:rFonts w:ascii="Arial" w:hAnsi="Arial" w:cs="Arial"/>
          <w:sz w:val="20"/>
          <w:szCs w:val="20"/>
        </w:rPr>
        <w:t>O would</w:t>
      </w:r>
      <w:r w:rsidR="00927793">
        <w:rPr>
          <w:rFonts w:ascii="Arial" w:hAnsi="Arial" w:cs="Arial"/>
          <w:sz w:val="20"/>
          <w:szCs w:val="20"/>
        </w:rPr>
        <w:t xml:space="preserve"> be</w:t>
      </w:r>
      <w:r w:rsidR="00333DE2" w:rsidRPr="00971906">
        <w:rPr>
          <w:rFonts w:ascii="Arial" w:hAnsi="Arial" w:cs="Arial"/>
          <w:sz w:val="20"/>
          <w:szCs w:val="20"/>
        </w:rPr>
        <w:t xml:space="preserve"> </w:t>
      </w:r>
      <w:r w:rsidR="00927793">
        <w:rPr>
          <w:rFonts w:ascii="Arial" w:hAnsi="Arial" w:cs="Arial"/>
          <w:sz w:val="20"/>
          <w:szCs w:val="20"/>
        </w:rPr>
        <w:t xml:space="preserve">preferentially </w:t>
      </w:r>
      <w:r w:rsidR="00333DE2" w:rsidRPr="00971906">
        <w:rPr>
          <w:rFonts w:ascii="Arial" w:hAnsi="Arial" w:cs="Arial"/>
          <w:sz w:val="20"/>
          <w:szCs w:val="20"/>
        </w:rPr>
        <w:t>evaporated)</w:t>
      </w:r>
      <w:r w:rsidR="005E6524" w:rsidRPr="00971906">
        <w:rPr>
          <w:rFonts w:ascii="Arial" w:hAnsi="Arial" w:cs="Arial"/>
          <w:sz w:val="20"/>
          <w:szCs w:val="20"/>
        </w:rPr>
        <w:t>,</w:t>
      </w:r>
      <w:r w:rsidR="00333DE2" w:rsidRPr="00971906">
        <w:rPr>
          <w:rFonts w:ascii="Arial" w:hAnsi="Arial" w:cs="Arial"/>
          <w:sz w:val="20"/>
          <w:szCs w:val="20"/>
        </w:rPr>
        <w:t xml:space="preserve"> but </w:t>
      </w:r>
      <w:r w:rsidR="00927793">
        <w:rPr>
          <w:rFonts w:ascii="Arial" w:hAnsi="Arial" w:cs="Arial"/>
          <w:sz w:val="20"/>
          <w:szCs w:val="20"/>
        </w:rPr>
        <w:t xml:space="preserve">does </w:t>
      </w:r>
      <w:r w:rsidR="00333DE2" w:rsidRPr="00971906">
        <w:rPr>
          <w:rFonts w:ascii="Arial" w:hAnsi="Arial" w:cs="Arial"/>
          <w:sz w:val="20"/>
          <w:szCs w:val="20"/>
        </w:rPr>
        <w:t>not imp</w:t>
      </w:r>
      <w:r w:rsidR="00927793">
        <w:rPr>
          <w:rFonts w:ascii="Arial" w:hAnsi="Arial" w:cs="Arial"/>
          <w:sz w:val="20"/>
          <w:szCs w:val="20"/>
        </w:rPr>
        <w:t>ly</w:t>
      </w:r>
      <w:r w:rsidR="00333DE2" w:rsidRPr="00971906">
        <w:rPr>
          <w:rFonts w:ascii="Arial" w:hAnsi="Arial" w:cs="Arial"/>
          <w:sz w:val="20"/>
          <w:szCs w:val="20"/>
        </w:rPr>
        <w:t xml:space="preserve"> </w:t>
      </w:r>
      <w:r w:rsidR="005E6524" w:rsidRPr="00971906">
        <w:rPr>
          <w:rFonts w:ascii="Arial" w:hAnsi="Arial" w:cs="Arial"/>
          <w:sz w:val="20"/>
          <w:szCs w:val="20"/>
        </w:rPr>
        <w:t xml:space="preserve">significant </w:t>
      </w:r>
      <w:r w:rsidR="00333DE2" w:rsidRPr="00971906">
        <w:rPr>
          <w:rFonts w:ascii="Arial" w:hAnsi="Arial" w:cs="Arial"/>
          <w:sz w:val="20"/>
          <w:szCs w:val="20"/>
        </w:rPr>
        <w:t xml:space="preserve">kinetic fractionation during </w:t>
      </w:r>
      <w:r w:rsidR="005E6524" w:rsidRPr="00971906">
        <w:rPr>
          <w:rFonts w:ascii="Arial" w:hAnsi="Arial" w:cs="Arial"/>
          <w:sz w:val="20"/>
          <w:szCs w:val="20"/>
        </w:rPr>
        <w:t xml:space="preserve">calcite </w:t>
      </w:r>
      <w:r w:rsidR="00333DE2" w:rsidRPr="00971906">
        <w:rPr>
          <w:rFonts w:ascii="Arial" w:hAnsi="Arial" w:cs="Arial"/>
          <w:sz w:val="20"/>
          <w:szCs w:val="20"/>
        </w:rPr>
        <w:t xml:space="preserve">precipitation </w:t>
      </w:r>
      <w:r w:rsidR="005E6524" w:rsidRPr="00971906">
        <w:rPr>
          <w:rFonts w:ascii="Arial" w:hAnsi="Arial" w:cs="Arial"/>
          <w:sz w:val="20"/>
          <w:szCs w:val="20"/>
        </w:rPr>
        <w:t>(as the other effects do). Because equilibrium condition</w:t>
      </w:r>
      <w:r w:rsidR="00927793">
        <w:rPr>
          <w:rFonts w:ascii="Arial" w:hAnsi="Arial" w:cs="Arial"/>
          <w:sz w:val="20"/>
          <w:szCs w:val="20"/>
        </w:rPr>
        <w:t>s</w:t>
      </w:r>
      <w:r w:rsidR="005E6524" w:rsidRPr="00971906">
        <w:rPr>
          <w:rFonts w:ascii="Arial" w:hAnsi="Arial" w:cs="Arial"/>
          <w:sz w:val="20"/>
          <w:szCs w:val="20"/>
        </w:rPr>
        <w:t xml:space="preserve"> appear to be maintained </w:t>
      </w:r>
      <w:r w:rsidR="00927793">
        <w:rPr>
          <w:rFonts w:ascii="Arial" w:hAnsi="Arial" w:cs="Arial"/>
          <w:sz w:val="20"/>
          <w:szCs w:val="20"/>
        </w:rPr>
        <w:t xml:space="preserve">throughout </w:t>
      </w:r>
      <w:r w:rsidR="005E6524" w:rsidRPr="00971906">
        <w:rPr>
          <w:rFonts w:ascii="Arial" w:hAnsi="Arial" w:cs="Arial"/>
          <w:sz w:val="20"/>
          <w:szCs w:val="20"/>
        </w:rPr>
        <w:t xml:space="preserve">the </w:t>
      </w:r>
      <w:r w:rsidR="00927793">
        <w:rPr>
          <w:rFonts w:ascii="Arial" w:hAnsi="Arial" w:cs="Arial"/>
          <w:sz w:val="20"/>
          <w:szCs w:val="20"/>
        </w:rPr>
        <w:t xml:space="preserve">deposition of </w:t>
      </w:r>
      <w:r w:rsidR="00971906" w:rsidRPr="00971906">
        <w:rPr>
          <w:rFonts w:ascii="Arial" w:hAnsi="Arial" w:cs="Arial"/>
          <w:sz w:val="20"/>
          <w:szCs w:val="20"/>
        </w:rPr>
        <w:t>LoNAP514</w:t>
      </w:r>
      <w:r w:rsidR="005E6524" w:rsidRPr="00971906">
        <w:rPr>
          <w:rFonts w:ascii="Arial" w:hAnsi="Arial" w:cs="Arial"/>
          <w:sz w:val="20"/>
          <w:szCs w:val="20"/>
        </w:rPr>
        <w:t xml:space="preserve"> </w:t>
      </w:r>
      <w:r w:rsidR="00927793">
        <w:rPr>
          <w:rFonts w:ascii="Arial" w:hAnsi="Arial" w:cs="Arial"/>
          <w:sz w:val="20"/>
          <w:szCs w:val="20"/>
        </w:rPr>
        <w:t>owing to its consistent fabric</w:t>
      </w:r>
      <w:r w:rsidR="005E6524" w:rsidRPr="00971906">
        <w:rPr>
          <w:rFonts w:ascii="Arial" w:hAnsi="Arial" w:cs="Arial"/>
          <w:sz w:val="20"/>
          <w:szCs w:val="20"/>
        </w:rPr>
        <w:t xml:space="preserve">, we therefore consider evaporation in the soil and in the </w:t>
      </w:r>
      <w:proofErr w:type="spellStart"/>
      <w:r w:rsidR="005E6524" w:rsidRPr="00971906">
        <w:rPr>
          <w:rFonts w:ascii="Arial" w:hAnsi="Arial" w:cs="Arial"/>
          <w:sz w:val="20"/>
          <w:szCs w:val="20"/>
        </w:rPr>
        <w:t>epikarst</w:t>
      </w:r>
      <w:proofErr w:type="spellEnd"/>
      <w:r w:rsidR="005E6524" w:rsidRPr="00971906">
        <w:rPr>
          <w:rFonts w:ascii="Arial" w:hAnsi="Arial" w:cs="Arial"/>
          <w:sz w:val="20"/>
          <w:szCs w:val="20"/>
        </w:rPr>
        <w:t xml:space="preserve"> as the main factor causing the enriched </w:t>
      </w:r>
      <w:r w:rsidR="005E6524" w:rsidRPr="00971906">
        <w:rPr>
          <w:rFonts w:ascii="Arial" w:hAnsi="Arial" w:cs="Arial"/>
          <w:sz w:val="20"/>
          <w:szCs w:val="20"/>
          <w:vertAlign w:val="superscript"/>
        </w:rPr>
        <w:t>13</w:t>
      </w:r>
      <w:r w:rsidR="005E6524" w:rsidRPr="00971906">
        <w:rPr>
          <w:rFonts w:ascii="Arial" w:hAnsi="Arial" w:cs="Arial"/>
          <w:sz w:val="20"/>
          <w:szCs w:val="20"/>
        </w:rPr>
        <w:t xml:space="preserve">C composition of </w:t>
      </w:r>
      <w:r w:rsidR="00971906" w:rsidRPr="00971906">
        <w:rPr>
          <w:rFonts w:ascii="Arial" w:hAnsi="Arial" w:cs="Arial"/>
          <w:sz w:val="20"/>
          <w:szCs w:val="20"/>
        </w:rPr>
        <w:t>LoNAP514</w:t>
      </w:r>
      <w:r w:rsidR="00927793">
        <w:rPr>
          <w:rFonts w:ascii="Arial" w:hAnsi="Arial" w:cs="Arial"/>
          <w:sz w:val="20"/>
          <w:szCs w:val="20"/>
        </w:rPr>
        <w:t xml:space="preserve"> (</w:t>
      </w:r>
      <w:proofErr w:type="gramStart"/>
      <w:r w:rsidR="00927793">
        <w:rPr>
          <w:rFonts w:ascii="Arial" w:hAnsi="Arial" w:cs="Arial"/>
          <w:sz w:val="20"/>
          <w:szCs w:val="20"/>
        </w:rPr>
        <w:t>see</w:t>
      </w:r>
      <w:r w:rsidR="007476E9" w:rsidRPr="00971906">
        <w:rPr>
          <w:rFonts w:ascii="Arial" w:hAnsi="Arial" w:cs="Arial"/>
          <w:sz w:val="20"/>
          <w:szCs w:val="20"/>
        </w:rPr>
        <w:t xml:space="preserve"> also</w:t>
      </w:r>
      <w:proofErr w:type="gramEnd"/>
      <w:r w:rsidR="007476E9" w:rsidRPr="00971906">
        <w:rPr>
          <w:rFonts w:ascii="Arial" w:hAnsi="Arial" w:cs="Arial"/>
          <w:sz w:val="20"/>
          <w:szCs w:val="20"/>
        </w:rPr>
        <w:t xml:space="preserve"> the main text</w:t>
      </w:r>
      <w:r w:rsidR="00927793">
        <w:rPr>
          <w:rFonts w:ascii="Arial" w:hAnsi="Arial" w:cs="Arial"/>
          <w:sz w:val="20"/>
          <w:szCs w:val="20"/>
        </w:rPr>
        <w:t>)</w:t>
      </w:r>
      <w:r w:rsidR="007476E9" w:rsidRPr="00971906">
        <w:rPr>
          <w:rFonts w:ascii="Arial" w:hAnsi="Arial" w:cs="Arial"/>
          <w:sz w:val="20"/>
          <w:szCs w:val="20"/>
        </w:rPr>
        <w:t>.</w:t>
      </w:r>
      <w:r w:rsidR="00333DE2" w:rsidRPr="00971906">
        <w:rPr>
          <w:rFonts w:ascii="Arial" w:hAnsi="Arial" w:cs="Arial"/>
          <w:sz w:val="20"/>
          <w:szCs w:val="20"/>
        </w:rPr>
        <w:t xml:space="preserve"> </w:t>
      </w:r>
      <w:r w:rsidR="007476E9" w:rsidRPr="00971906">
        <w:rPr>
          <w:rFonts w:ascii="Arial" w:hAnsi="Arial" w:cs="Arial"/>
          <w:sz w:val="20"/>
          <w:szCs w:val="20"/>
        </w:rPr>
        <w:t xml:space="preserve">Furthermore, it is noteworthy that all the </w:t>
      </w:r>
      <w:proofErr w:type="spellStart"/>
      <w:r w:rsidR="00313C92" w:rsidRPr="00971906">
        <w:rPr>
          <w:rFonts w:ascii="Arial" w:hAnsi="Arial" w:cs="Arial"/>
          <w:sz w:val="20"/>
          <w:szCs w:val="20"/>
        </w:rPr>
        <w:t>abovementioned</w:t>
      </w:r>
      <w:proofErr w:type="spellEnd"/>
      <w:r w:rsidR="007476E9" w:rsidRPr="00971906">
        <w:rPr>
          <w:rFonts w:ascii="Arial" w:hAnsi="Arial" w:cs="Arial"/>
          <w:sz w:val="20"/>
          <w:szCs w:val="20"/>
        </w:rPr>
        <w:t xml:space="preserve"> effects</w:t>
      </w:r>
      <w:r w:rsidR="001E0372" w:rsidRPr="00971906">
        <w:rPr>
          <w:rFonts w:ascii="Arial" w:hAnsi="Arial" w:cs="Arial"/>
          <w:sz w:val="20"/>
          <w:szCs w:val="20"/>
        </w:rPr>
        <w:t xml:space="preserve"> </w:t>
      </w:r>
      <w:r w:rsidR="00927793">
        <w:rPr>
          <w:rFonts w:ascii="Arial" w:hAnsi="Arial" w:cs="Arial"/>
          <w:sz w:val="20"/>
          <w:szCs w:val="20"/>
        </w:rPr>
        <w:t xml:space="preserve">shift the isotopic signal </w:t>
      </w:r>
      <w:r w:rsidR="001E0372" w:rsidRPr="00971906">
        <w:rPr>
          <w:rFonts w:ascii="Arial" w:hAnsi="Arial" w:cs="Arial"/>
          <w:sz w:val="20"/>
          <w:szCs w:val="20"/>
        </w:rPr>
        <w:t>in the same direction, driv</w:t>
      </w:r>
      <w:r w:rsidR="00927793">
        <w:rPr>
          <w:rFonts w:ascii="Arial" w:hAnsi="Arial" w:cs="Arial"/>
          <w:sz w:val="20"/>
          <w:szCs w:val="20"/>
        </w:rPr>
        <w:t>ing</w:t>
      </w:r>
      <w:r w:rsidR="001E0372" w:rsidRPr="00971906">
        <w:rPr>
          <w:rFonts w:ascii="Arial" w:hAnsi="Arial" w:cs="Arial"/>
          <w:sz w:val="20"/>
          <w:szCs w:val="20"/>
        </w:rPr>
        <w:t xml:space="preserve"> the speleothem δ</w:t>
      </w:r>
      <w:r w:rsidR="001E0372" w:rsidRPr="00971906">
        <w:rPr>
          <w:rFonts w:ascii="Arial" w:hAnsi="Arial" w:cs="Arial"/>
          <w:sz w:val="20"/>
          <w:szCs w:val="20"/>
          <w:vertAlign w:val="superscript"/>
        </w:rPr>
        <w:t>13</w:t>
      </w:r>
      <w:r w:rsidR="001E0372" w:rsidRPr="00971906">
        <w:rPr>
          <w:rFonts w:ascii="Arial" w:hAnsi="Arial" w:cs="Arial"/>
          <w:sz w:val="20"/>
          <w:szCs w:val="20"/>
        </w:rPr>
        <w:t>C toward less negative ratios</w:t>
      </w:r>
      <w:r w:rsidR="000A58F9" w:rsidRPr="00971906">
        <w:rPr>
          <w:rFonts w:ascii="Arial" w:hAnsi="Arial" w:cs="Arial"/>
          <w:sz w:val="20"/>
          <w:szCs w:val="20"/>
        </w:rPr>
        <w:t xml:space="preserve"> when the climate is drier. This </w:t>
      </w:r>
      <w:r w:rsidR="007476E9" w:rsidRPr="00971906">
        <w:rPr>
          <w:rFonts w:ascii="Arial" w:hAnsi="Arial" w:cs="Arial"/>
          <w:sz w:val="20"/>
          <w:szCs w:val="20"/>
        </w:rPr>
        <w:t xml:space="preserve">further </w:t>
      </w:r>
      <w:r w:rsidR="000A58F9" w:rsidRPr="00971906">
        <w:rPr>
          <w:rFonts w:ascii="Arial" w:hAnsi="Arial" w:cs="Arial"/>
          <w:sz w:val="20"/>
          <w:szCs w:val="20"/>
        </w:rPr>
        <w:t>support</w:t>
      </w:r>
      <w:r w:rsidR="00927793">
        <w:rPr>
          <w:rFonts w:ascii="Arial" w:hAnsi="Arial" w:cs="Arial"/>
          <w:sz w:val="20"/>
          <w:szCs w:val="20"/>
        </w:rPr>
        <w:t>s</w:t>
      </w:r>
      <w:r w:rsidR="000A58F9" w:rsidRPr="00971906">
        <w:rPr>
          <w:rFonts w:ascii="Arial" w:hAnsi="Arial" w:cs="Arial"/>
          <w:sz w:val="20"/>
          <w:szCs w:val="20"/>
        </w:rPr>
        <w:t xml:space="preserve"> the use of </w:t>
      </w:r>
      <w:r w:rsidR="00971906" w:rsidRPr="00971906">
        <w:rPr>
          <w:rFonts w:ascii="Arial" w:hAnsi="Arial" w:cs="Arial"/>
          <w:sz w:val="20"/>
          <w:szCs w:val="20"/>
        </w:rPr>
        <w:t>LoNAP514</w:t>
      </w:r>
      <w:r w:rsidR="007476E9" w:rsidRPr="00971906">
        <w:rPr>
          <w:rFonts w:ascii="Arial" w:hAnsi="Arial" w:cs="Arial"/>
          <w:sz w:val="20"/>
          <w:szCs w:val="20"/>
        </w:rPr>
        <w:t xml:space="preserve"> </w:t>
      </w:r>
      <w:r w:rsidR="000A58F9" w:rsidRPr="00971906">
        <w:rPr>
          <w:rFonts w:ascii="Arial" w:hAnsi="Arial" w:cs="Arial"/>
          <w:sz w:val="20"/>
          <w:szCs w:val="20"/>
        </w:rPr>
        <w:t>δ</w:t>
      </w:r>
      <w:r w:rsidR="000A58F9" w:rsidRPr="00971906">
        <w:rPr>
          <w:rFonts w:ascii="Arial" w:hAnsi="Arial" w:cs="Arial"/>
          <w:sz w:val="20"/>
          <w:szCs w:val="20"/>
          <w:vertAlign w:val="superscript"/>
        </w:rPr>
        <w:t>13</w:t>
      </w:r>
      <w:r w:rsidR="000A58F9" w:rsidRPr="00971906">
        <w:rPr>
          <w:rFonts w:ascii="Arial" w:hAnsi="Arial" w:cs="Arial"/>
          <w:sz w:val="20"/>
          <w:szCs w:val="20"/>
        </w:rPr>
        <w:t xml:space="preserve">C </w:t>
      </w:r>
      <w:r w:rsidR="007476E9" w:rsidRPr="00971906">
        <w:rPr>
          <w:rFonts w:ascii="Arial" w:hAnsi="Arial" w:cs="Arial"/>
          <w:sz w:val="20"/>
          <w:szCs w:val="20"/>
        </w:rPr>
        <w:t xml:space="preserve">ratios </w:t>
      </w:r>
      <w:r w:rsidR="000A58F9" w:rsidRPr="00971906">
        <w:rPr>
          <w:rFonts w:ascii="Arial" w:hAnsi="Arial" w:cs="Arial"/>
          <w:sz w:val="20"/>
          <w:szCs w:val="20"/>
        </w:rPr>
        <w:t xml:space="preserve">as </w:t>
      </w:r>
      <w:r w:rsidR="00927793">
        <w:rPr>
          <w:rFonts w:ascii="Arial" w:hAnsi="Arial" w:cs="Arial"/>
          <w:sz w:val="20"/>
          <w:szCs w:val="20"/>
        </w:rPr>
        <w:t xml:space="preserve">the most reliable </w:t>
      </w:r>
      <w:proofErr w:type="spellStart"/>
      <w:r w:rsidR="000A58F9" w:rsidRPr="00971906">
        <w:rPr>
          <w:rFonts w:ascii="Arial" w:hAnsi="Arial" w:cs="Arial"/>
          <w:sz w:val="20"/>
          <w:szCs w:val="20"/>
        </w:rPr>
        <w:t>hydroclimatic</w:t>
      </w:r>
      <w:proofErr w:type="spellEnd"/>
      <w:r w:rsidR="000A58F9" w:rsidRPr="00971906">
        <w:rPr>
          <w:rFonts w:ascii="Arial" w:hAnsi="Arial" w:cs="Arial"/>
          <w:sz w:val="20"/>
          <w:szCs w:val="20"/>
        </w:rPr>
        <w:t xml:space="preserve"> proxy.</w:t>
      </w:r>
    </w:p>
    <w:p w14:paraId="5B764251" w14:textId="0A45E21B" w:rsidR="000A58F9" w:rsidRPr="00994D27" w:rsidRDefault="00971906" w:rsidP="00971906">
      <w:pPr>
        <w:shd w:val="clear" w:color="auto" w:fill="E7E6E6" w:themeFill="background2"/>
        <w:spacing w:line="276" w:lineRule="auto"/>
        <w:jc w:val="center"/>
        <w:rPr>
          <w:rFonts w:ascii="Arial" w:hAnsi="Arial" w:cs="Arial"/>
          <w:b/>
          <w:sz w:val="20"/>
          <w:szCs w:val="20"/>
        </w:rPr>
      </w:pPr>
      <w:r w:rsidRPr="00994D27">
        <w:rPr>
          <w:rFonts w:ascii="Arial" w:hAnsi="Arial" w:cs="Arial"/>
          <w:b/>
          <w:sz w:val="20"/>
          <w:szCs w:val="20"/>
        </w:rPr>
        <w:t>SI Appendix references</w:t>
      </w:r>
    </w:p>
    <w:p w14:paraId="792B8FE3" w14:textId="2A0D739D" w:rsidR="000A58F9" w:rsidRDefault="000A58F9" w:rsidP="000A58F9">
      <w:pPr>
        <w:spacing w:line="276" w:lineRule="auto"/>
        <w:jc w:val="both"/>
        <w:rPr>
          <w:rFonts w:ascii="Arial" w:hAnsi="Arial" w:cs="Arial"/>
          <w:sz w:val="20"/>
          <w:szCs w:val="20"/>
        </w:rPr>
      </w:pPr>
      <w:proofErr w:type="spellStart"/>
      <w:r w:rsidRPr="005E7005">
        <w:rPr>
          <w:rFonts w:ascii="Arial" w:hAnsi="Arial" w:cs="Arial"/>
          <w:sz w:val="20"/>
          <w:szCs w:val="20"/>
        </w:rPr>
        <w:t>Bajo</w:t>
      </w:r>
      <w:proofErr w:type="spellEnd"/>
      <w:r w:rsidRPr="005E7005">
        <w:rPr>
          <w:rFonts w:ascii="Arial" w:hAnsi="Arial" w:cs="Arial"/>
          <w:sz w:val="20"/>
          <w:szCs w:val="20"/>
        </w:rPr>
        <w:t xml:space="preserve">, P., </w:t>
      </w:r>
      <w:proofErr w:type="spellStart"/>
      <w:r w:rsidRPr="005E7005">
        <w:rPr>
          <w:rFonts w:ascii="Arial" w:hAnsi="Arial" w:cs="Arial"/>
          <w:sz w:val="20"/>
          <w:szCs w:val="20"/>
        </w:rPr>
        <w:t>Borsato</w:t>
      </w:r>
      <w:proofErr w:type="spellEnd"/>
      <w:r w:rsidRPr="005E7005">
        <w:rPr>
          <w:rFonts w:ascii="Arial" w:hAnsi="Arial" w:cs="Arial"/>
          <w:sz w:val="20"/>
          <w:szCs w:val="20"/>
        </w:rPr>
        <w:t xml:space="preserve">, A., Drysdale, R., Hua, Q., Frisia, S., Zanchetta, G., Hellstrom, J.C., Woodhead, J., 2017. Stalagmite carbon isotopes and dead carbon proportion (DCP) in a near-closed-system situation: an interplay between sulphuric and carbonic acid dissolution. </w:t>
      </w:r>
      <w:proofErr w:type="spellStart"/>
      <w:r w:rsidRPr="005E7005">
        <w:rPr>
          <w:rFonts w:ascii="Arial" w:hAnsi="Arial" w:cs="Arial"/>
          <w:sz w:val="20"/>
          <w:szCs w:val="20"/>
        </w:rPr>
        <w:t>Geochimica</w:t>
      </w:r>
      <w:proofErr w:type="spellEnd"/>
      <w:r w:rsidRPr="005E7005">
        <w:rPr>
          <w:rFonts w:ascii="Arial" w:hAnsi="Arial" w:cs="Arial"/>
          <w:sz w:val="20"/>
          <w:szCs w:val="20"/>
        </w:rPr>
        <w:t xml:space="preserve"> and </w:t>
      </w:r>
      <w:proofErr w:type="spellStart"/>
      <w:r w:rsidRPr="005E7005">
        <w:rPr>
          <w:rFonts w:ascii="Arial" w:hAnsi="Arial" w:cs="Arial"/>
          <w:sz w:val="20"/>
          <w:szCs w:val="20"/>
        </w:rPr>
        <w:t>Cosmochimica</w:t>
      </w:r>
      <w:proofErr w:type="spellEnd"/>
      <w:r w:rsidRPr="005E7005">
        <w:rPr>
          <w:rFonts w:ascii="Arial" w:hAnsi="Arial" w:cs="Arial"/>
          <w:sz w:val="20"/>
          <w:szCs w:val="20"/>
        </w:rPr>
        <w:t xml:space="preserve"> </w:t>
      </w:r>
      <w:proofErr w:type="spellStart"/>
      <w:r w:rsidRPr="005E7005">
        <w:rPr>
          <w:rFonts w:ascii="Arial" w:hAnsi="Arial" w:cs="Arial"/>
          <w:sz w:val="20"/>
          <w:szCs w:val="20"/>
        </w:rPr>
        <w:t>Acta</w:t>
      </w:r>
      <w:proofErr w:type="spellEnd"/>
      <w:r w:rsidRPr="005E7005">
        <w:rPr>
          <w:rFonts w:ascii="Arial" w:hAnsi="Arial" w:cs="Arial"/>
          <w:sz w:val="20"/>
          <w:szCs w:val="20"/>
        </w:rPr>
        <w:t xml:space="preserve"> 210, 208-227.</w:t>
      </w:r>
    </w:p>
    <w:p w14:paraId="1B3E6384" w14:textId="77777777" w:rsidR="00971906" w:rsidRPr="005E7005" w:rsidRDefault="00971906" w:rsidP="00971906">
      <w:pPr>
        <w:spacing w:line="276" w:lineRule="auto"/>
        <w:jc w:val="both"/>
        <w:rPr>
          <w:rFonts w:ascii="Arial" w:hAnsi="Arial" w:cs="Arial"/>
          <w:sz w:val="20"/>
          <w:szCs w:val="20"/>
        </w:rPr>
      </w:pPr>
      <w:proofErr w:type="spellStart"/>
      <w:r w:rsidRPr="005E7005">
        <w:rPr>
          <w:rFonts w:ascii="Arial" w:hAnsi="Arial" w:cs="Arial"/>
          <w:sz w:val="20"/>
          <w:szCs w:val="20"/>
        </w:rPr>
        <w:t>Berberian</w:t>
      </w:r>
      <w:proofErr w:type="spellEnd"/>
      <w:r w:rsidRPr="005E7005">
        <w:rPr>
          <w:rFonts w:ascii="Arial" w:hAnsi="Arial" w:cs="Arial"/>
          <w:sz w:val="20"/>
          <w:szCs w:val="20"/>
        </w:rPr>
        <w:t xml:space="preserve">, M. (1995). Master “blind” thrust faults hidden under the Zagros folds: Active basement tectonics and surface </w:t>
      </w:r>
      <w:proofErr w:type="spellStart"/>
      <w:r w:rsidRPr="005E7005">
        <w:rPr>
          <w:rFonts w:ascii="Arial" w:hAnsi="Arial" w:cs="Arial"/>
          <w:sz w:val="20"/>
          <w:szCs w:val="20"/>
        </w:rPr>
        <w:t>morphotectonics</w:t>
      </w:r>
      <w:proofErr w:type="spellEnd"/>
      <w:r w:rsidRPr="005E7005">
        <w:rPr>
          <w:rFonts w:ascii="Arial" w:hAnsi="Arial" w:cs="Arial"/>
          <w:sz w:val="20"/>
          <w:szCs w:val="20"/>
        </w:rPr>
        <w:t xml:space="preserve">. Tectonophysics, 241(3–4), 193–224. </w:t>
      </w:r>
    </w:p>
    <w:p w14:paraId="437C91E6" w14:textId="77777777" w:rsidR="00971906" w:rsidRPr="005E7005" w:rsidRDefault="00971906" w:rsidP="00971906">
      <w:pPr>
        <w:spacing w:line="276" w:lineRule="auto"/>
        <w:jc w:val="both"/>
        <w:rPr>
          <w:rFonts w:ascii="Arial" w:hAnsi="Arial" w:cs="Arial"/>
          <w:sz w:val="20"/>
          <w:szCs w:val="20"/>
        </w:rPr>
      </w:pPr>
      <w:r w:rsidRPr="005E7005">
        <w:rPr>
          <w:rFonts w:ascii="Arial" w:hAnsi="Arial" w:cs="Arial"/>
          <w:sz w:val="20"/>
          <w:szCs w:val="20"/>
        </w:rPr>
        <w:t>Blanc, E. J</w:t>
      </w:r>
      <w:r>
        <w:rPr>
          <w:rFonts w:ascii="Arial" w:hAnsi="Arial" w:cs="Arial"/>
          <w:sz w:val="20"/>
          <w:szCs w:val="20"/>
        </w:rPr>
        <w:t xml:space="preserve">.-P., Allen, M. B., </w:t>
      </w:r>
      <w:proofErr w:type="spellStart"/>
      <w:r>
        <w:rPr>
          <w:rFonts w:ascii="Arial" w:hAnsi="Arial" w:cs="Arial"/>
          <w:sz w:val="20"/>
          <w:szCs w:val="20"/>
        </w:rPr>
        <w:t>Inger</w:t>
      </w:r>
      <w:proofErr w:type="spellEnd"/>
      <w:r>
        <w:rPr>
          <w:rFonts w:ascii="Arial" w:hAnsi="Arial" w:cs="Arial"/>
          <w:sz w:val="20"/>
          <w:szCs w:val="20"/>
        </w:rPr>
        <w:t>, S.,</w:t>
      </w:r>
      <w:r w:rsidRPr="005E7005">
        <w:rPr>
          <w:rFonts w:ascii="Arial" w:hAnsi="Arial" w:cs="Arial"/>
          <w:sz w:val="20"/>
          <w:szCs w:val="20"/>
        </w:rPr>
        <w:t xml:space="preserve"> </w:t>
      </w:r>
      <w:proofErr w:type="spellStart"/>
      <w:r w:rsidRPr="005E7005">
        <w:rPr>
          <w:rFonts w:ascii="Arial" w:hAnsi="Arial" w:cs="Arial"/>
          <w:sz w:val="20"/>
          <w:szCs w:val="20"/>
        </w:rPr>
        <w:t>Hassani</w:t>
      </w:r>
      <w:proofErr w:type="spellEnd"/>
      <w:r w:rsidRPr="005E7005">
        <w:rPr>
          <w:rFonts w:ascii="Arial" w:hAnsi="Arial" w:cs="Arial"/>
          <w:sz w:val="20"/>
          <w:szCs w:val="20"/>
        </w:rPr>
        <w:t xml:space="preserve">, H. (2003). Structural styles in the Zagros simple folded zone, Iran. Journal of the Geological Society, 160(3), </w:t>
      </w:r>
    </w:p>
    <w:p w14:paraId="6EF43D72" w14:textId="77777777" w:rsidR="000A58F9" w:rsidRPr="005E7005" w:rsidRDefault="000A58F9" w:rsidP="000A58F9">
      <w:pPr>
        <w:spacing w:line="276" w:lineRule="auto"/>
        <w:jc w:val="both"/>
        <w:rPr>
          <w:rFonts w:ascii="Arial" w:hAnsi="Arial" w:cs="Arial"/>
          <w:sz w:val="20"/>
          <w:szCs w:val="20"/>
        </w:rPr>
      </w:pPr>
      <w:proofErr w:type="spellStart"/>
      <w:r w:rsidRPr="005E7005">
        <w:rPr>
          <w:rFonts w:ascii="Arial" w:hAnsi="Arial" w:cs="Arial"/>
          <w:sz w:val="20"/>
          <w:szCs w:val="20"/>
        </w:rPr>
        <w:t>Browicz</w:t>
      </w:r>
      <w:proofErr w:type="spellEnd"/>
      <w:r w:rsidRPr="005E7005">
        <w:rPr>
          <w:rFonts w:ascii="Arial" w:hAnsi="Arial" w:cs="Arial"/>
          <w:sz w:val="20"/>
          <w:szCs w:val="20"/>
        </w:rPr>
        <w:t xml:space="preserve"> K, </w:t>
      </w:r>
      <w:proofErr w:type="spellStart"/>
      <w:r w:rsidRPr="005E7005">
        <w:rPr>
          <w:rFonts w:ascii="Arial" w:hAnsi="Arial" w:cs="Arial"/>
          <w:sz w:val="20"/>
          <w:szCs w:val="20"/>
        </w:rPr>
        <w:t>Zieliński</w:t>
      </w:r>
      <w:proofErr w:type="spellEnd"/>
      <w:r w:rsidRPr="005E7005">
        <w:rPr>
          <w:rFonts w:ascii="Arial" w:hAnsi="Arial" w:cs="Arial"/>
          <w:sz w:val="20"/>
          <w:szCs w:val="20"/>
        </w:rPr>
        <w:t xml:space="preserve"> J (1982) Chorology of trees and Shrubs in South-west Asia and Adjacent Regions. Volume 1. Polish Scientific Publishers.</w:t>
      </w:r>
    </w:p>
    <w:p w14:paraId="71ED63AD" w14:textId="7F99537A" w:rsidR="000A58F9" w:rsidRDefault="000A58F9" w:rsidP="000A58F9">
      <w:pPr>
        <w:spacing w:line="276" w:lineRule="auto"/>
        <w:jc w:val="both"/>
        <w:rPr>
          <w:rFonts w:ascii="Arial" w:hAnsi="Arial" w:cs="Arial"/>
          <w:sz w:val="20"/>
          <w:szCs w:val="20"/>
        </w:rPr>
      </w:pPr>
      <w:proofErr w:type="spellStart"/>
      <w:r w:rsidRPr="005E7005">
        <w:rPr>
          <w:rFonts w:ascii="Arial" w:hAnsi="Arial" w:cs="Arial"/>
          <w:sz w:val="20"/>
          <w:szCs w:val="20"/>
        </w:rPr>
        <w:t>Cerling</w:t>
      </w:r>
      <w:proofErr w:type="spellEnd"/>
      <w:r w:rsidRPr="005E7005">
        <w:rPr>
          <w:rFonts w:ascii="Arial" w:hAnsi="Arial" w:cs="Arial"/>
          <w:sz w:val="20"/>
          <w:szCs w:val="20"/>
        </w:rPr>
        <w:t xml:space="preserve">, T.E., Solomon, D.K., </w:t>
      </w:r>
      <w:proofErr w:type="spellStart"/>
      <w:r w:rsidRPr="005E7005">
        <w:rPr>
          <w:rFonts w:ascii="Arial" w:hAnsi="Arial" w:cs="Arial"/>
          <w:sz w:val="20"/>
          <w:szCs w:val="20"/>
        </w:rPr>
        <w:t>Quade</w:t>
      </w:r>
      <w:proofErr w:type="spellEnd"/>
      <w:r w:rsidRPr="005E7005">
        <w:rPr>
          <w:rFonts w:ascii="Arial" w:hAnsi="Arial" w:cs="Arial"/>
          <w:sz w:val="20"/>
          <w:szCs w:val="20"/>
        </w:rPr>
        <w:t xml:space="preserve">, J.A.Y., Bowman, J.R., 1991. On the isotopic composition of carbon in soil carbon dioxide. Geochem. </w:t>
      </w:r>
      <w:proofErr w:type="spellStart"/>
      <w:r w:rsidRPr="005E7005">
        <w:rPr>
          <w:rFonts w:ascii="Arial" w:hAnsi="Arial" w:cs="Arial"/>
          <w:sz w:val="20"/>
          <w:szCs w:val="20"/>
        </w:rPr>
        <w:t>Cosmochim</w:t>
      </w:r>
      <w:proofErr w:type="spellEnd"/>
      <w:r w:rsidRPr="005E7005">
        <w:rPr>
          <w:rFonts w:ascii="Arial" w:hAnsi="Arial" w:cs="Arial"/>
          <w:sz w:val="20"/>
          <w:szCs w:val="20"/>
        </w:rPr>
        <w:t xml:space="preserve">. </w:t>
      </w:r>
      <w:proofErr w:type="spellStart"/>
      <w:r w:rsidRPr="005E7005">
        <w:rPr>
          <w:rFonts w:ascii="Arial" w:hAnsi="Arial" w:cs="Arial"/>
          <w:sz w:val="20"/>
          <w:szCs w:val="20"/>
        </w:rPr>
        <w:t>Acta</w:t>
      </w:r>
      <w:proofErr w:type="spellEnd"/>
      <w:r w:rsidRPr="005E7005">
        <w:rPr>
          <w:rFonts w:ascii="Arial" w:hAnsi="Arial" w:cs="Arial"/>
          <w:sz w:val="20"/>
          <w:szCs w:val="20"/>
        </w:rPr>
        <w:t xml:space="preserve"> 55 (11), 3403-3405.</w:t>
      </w:r>
    </w:p>
    <w:p w14:paraId="6924D602" w14:textId="77777777" w:rsidR="00971906" w:rsidRPr="005E7005" w:rsidRDefault="00971906" w:rsidP="00971906">
      <w:pPr>
        <w:spacing w:line="276" w:lineRule="auto"/>
        <w:jc w:val="both"/>
        <w:rPr>
          <w:rFonts w:ascii="Arial" w:hAnsi="Arial" w:cs="Arial"/>
          <w:sz w:val="20"/>
          <w:szCs w:val="20"/>
        </w:rPr>
      </w:pPr>
      <w:proofErr w:type="spellStart"/>
      <w:r w:rsidRPr="00B32636">
        <w:rPr>
          <w:rFonts w:ascii="Arial" w:hAnsi="Arial" w:cs="Arial"/>
          <w:sz w:val="20"/>
          <w:szCs w:val="20"/>
        </w:rPr>
        <w:t>Csontos</w:t>
      </w:r>
      <w:proofErr w:type="spellEnd"/>
      <w:r w:rsidRPr="00B32636">
        <w:rPr>
          <w:rFonts w:ascii="Arial" w:hAnsi="Arial" w:cs="Arial"/>
          <w:sz w:val="20"/>
          <w:szCs w:val="20"/>
        </w:rPr>
        <w:t xml:space="preserve">, L., </w:t>
      </w:r>
      <w:proofErr w:type="spellStart"/>
      <w:r w:rsidRPr="00B32636">
        <w:rPr>
          <w:rFonts w:ascii="Arial" w:hAnsi="Arial" w:cs="Arial"/>
          <w:sz w:val="20"/>
          <w:szCs w:val="20"/>
        </w:rPr>
        <w:t>Sasvári</w:t>
      </w:r>
      <w:proofErr w:type="spellEnd"/>
      <w:r w:rsidRPr="00B32636">
        <w:rPr>
          <w:rFonts w:ascii="Arial" w:hAnsi="Arial" w:cs="Arial"/>
          <w:sz w:val="20"/>
          <w:szCs w:val="20"/>
        </w:rPr>
        <w:t xml:space="preserve">, Á, </w:t>
      </w:r>
      <w:proofErr w:type="spellStart"/>
      <w:r w:rsidRPr="00B32636">
        <w:rPr>
          <w:rFonts w:ascii="Arial" w:hAnsi="Arial" w:cs="Arial"/>
          <w:sz w:val="20"/>
          <w:szCs w:val="20"/>
        </w:rPr>
        <w:t>Pocsai</w:t>
      </w:r>
      <w:proofErr w:type="spellEnd"/>
      <w:r w:rsidRPr="00B32636">
        <w:rPr>
          <w:rFonts w:ascii="Arial" w:hAnsi="Arial" w:cs="Arial"/>
          <w:sz w:val="20"/>
          <w:szCs w:val="20"/>
        </w:rPr>
        <w:t xml:space="preserve">, T., </w:t>
      </w:r>
      <w:proofErr w:type="spellStart"/>
      <w:r w:rsidRPr="00B32636">
        <w:rPr>
          <w:rFonts w:ascii="Arial" w:hAnsi="Arial" w:cs="Arial"/>
          <w:sz w:val="20"/>
          <w:szCs w:val="20"/>
        </w:rPr>
        <w:t>Kósa</w:t>
      </w:r>
      <w:proofErr w:type="spellEnd"/>
      <w:r w:rsidRPr="00B32636">
        <w:rPr>
          <w:rFonts w:ascii="Arial" w:hAnsi="Arial" w:cs="Arial"/>
          <w:sz w:val="20"/>
          <w:szCs w:val="20"/>
        </w:rPr>
        <w:t xml:space="preserve">, L., </w:t>
      </w:r>
      <w:proofErr w:type="spellStart"/>
      <w:r w:rsidRPr="00B32636">
        <w:rPr>
          <w:rFonts w:ascii="Arial" w:hAnsi="Arial" w:cs="Arial"/>
          <w:sz w:val="20"/>
          <w:szCs w:val="20"/>
        </w:rPr>
        <w:t>Salae</w:t>
      </w:r>
      <w:proofErr w:type="spellEnd"/>
      <w:r w:rsidRPr="00B32636">
        <w:rPr>
          <w:rFonts w:ascii="Arial" w:hAnsi="Arial" w:cs="Arial"/>
          <w:sz w:val="20"/>
          <w:szCs w:val="20"/>
        </w:rPr>
        <w:t xml:space="preserve">, A. T., Ali, A. (2012). </w:t>
      </w:r>
      <w:r w:rsidRPr="005E7005">
        <w:rPr>
          <w:rFonts w:ascii="Arial" w:hAnsi="Arial" w:cs="Arial"/>
          <w:sz w:val="20"/>
          <w:szCs w:val="20"/>
        </w:rPr>
        <w:t xml:space="preserve">Structural evolution of the </w:t>
      </w:r>
      <w:proofErr w:type="spellStart"/>
      <w:r w:rsidRPr="005E7005">
        <w:rPr>
          <w:rFonts w:ascii="Arial" w:hAnsi="Arial" w:cs="Arial"/>
          <w:sz w:val="20"/>
          <w:szCs w:val="20"/>
        </w:rPr>
        <w:t>northwestern</w:t>
      </w:r>
      <w:proofErr w:type="spellEnd"/>
      <w:r w:rsidRPr="005E7005">
        <w:rPr>
          <w:rFonts w:ascii="Arial" w:hAnsi="Arial" w:cs="Arial"/>
          <w:sz w:val="20"/>
          <w:szCs w:val="20"/>
        </w:rPr>
        <w:t xml:space="preserve"> Zagros, Kurdistan region, Iraq: Implications on oil migration. </w:t>
      </w:r>
      <w:proofErr w:type="spellStart"/>
      <w:r w:rsidRPr="005E7005">
        <w:rPr>
          <w:rFonts w:ascii="Arial" w:hAnsi="Arial" w:cs="Arial"/>
          <w:sz w:val="20"/>
          <w:szCs w:val="20"/>
        </w:rPr>
        <w:t>GeoArabia</w:t>
      </w:r>
      <w:proofErr w:type="spellEnd"/>
      <w:r w:rsidRPr="005E7005">
        <w:rPr>
          <w:rFonts w:ascii="Arial" w:hAnsi="Arial" w:cs="Arial"/>
          <w:sz w:val="20"/>
          <w:szCs w:val="20"/>
        </w:rPr>
        <w:t>, 17, 81–116</w:t>
      </w:r>
    </w:p>
    <w:p w14:paraId="7B09C597" w14:textId="77777777" w:rsidR="00994D27" w:rsidRPr="005E7005" w:rsidRDefault="00994D27" w:rsidP="00994D27">
      <w:pPr>
        <w:spacing w:line="276" w:lineRule="auto"/>
        <w:jc w:val="both"/>
        <w:rPr>
          <w:rFonts w:ascii="Arial" w:hAnsi="Arial" w:cs="Arial"/>
          <w:sz w:val="20"/>
          <w:szCs w:val="20"/>
        </w:rPr>
      </w:pPr>
      <w:r w:rsidRPr="005E7005">
        <w:rPr>
          <w:rFonts w:ascii="Arial" w:hAnsi="Arial" w:cs="Arial"/>
          <w:sz w:val="20"/>
          <w:szCs w:val="20"/>
        </w:rPr>
        <w:t xml:space="preserve">Daëron, M., Drysdale, R.N., </w:t>
      </w:r>
      <w:proofErr w:type="spellStart"/>
      <w:r w:rsidRPr="005E7005">
        <w:rPr>
          <w:rFonts w:ascii="Arial" w:hAnsi="Arial" w:cs="Arial"/>
          <w:sz w:val="20"/>
          <w:szCs w:val="20"/>
        </w:rPr>
        <w:t>Peral</w:t>
      </w:r>
      <w:proofErr w:type="spellEnd"/>
      <w:r w:rsidRPr="005E7005">
        <w:rPr>
          <w:rFonts w:ascii="Arial" w:hAnsi="Arial" w:cs="Arial"/>
          <w:sz w:val="20"/>
          <w:szCs w:val="20"/>
        </w:rPr>
        <w:t xml:space="preserve">, M., </w:t>
      </w:r>
      <w:proofErr w:type="spellStart"/>
      <w:r w:rsidRPr="005E7005">
        <w:rPr>
          <w:rFonts w:ascii="Arial" w:hAnsi="Arial" w:cs="Arial"/>
          <w:sz w:val="20"/>
          <w:szCs w:val="20"/>
        </w:rPr>
        <w:t>Huyghe</w:t>
      </w:r>
      <w:proofErr w:type="spellEnd"/>
      <w:r w:rsidRPr="005E7005">
        <w:rPr>
          <w:rFonts w:ascii="Arial" w:hAnsi="Arial" w:cs="Arial"/>
          <w:sz w:val="20"/>
          <w:szCs w:val="20"/>
        </w:rPr>
        <w:t xml:space="preserve">, D., </w:t>
      </w:r>
      <w:proofErr w:type="spellStart"/>
      <w:r w:rsidRPr="005E7005">
        <w:rPr>
          <w:rFonts w:ascii="Arial" w:hAnsi="Arial" w:cs="Arial"/>
          <w:sz w:val="20"/>
          <w:szCs w:val="20"/>
        </w:rPr>
        <w:t>Blamart</w:t>
      </w:r>
      <w:proofErr w:type="spellEnd"/>
      <w:r w:rsidRPr="005E7005">
        <w:rPr>
          <w:rFonts w:ascii="Arial" w:hAnsi="Arial" w:cs="Arial"/>
          <w:sz w:val="20"/>
          <w:szCs w:val="20"/>
        </w:rPr>
        <w:t xml:space="preserve">, D., </w:t>
      </w:r>
      <w:proofErr w:type="spellStart"/>
      <w:r w:rsidRPr="005E7005">
        <w:rPr>
          <w:rFonts w:ascii="Arial" w:hAnsi="Arial" w:cs="Arial"/>
          <w:sz w:val="20"/>
          <w:szCs w:val="20"/>
        </w:rPr>
        <w:t>Coplen</w:t>
      </w:r>
      <w:proofErr w:type="spellEnd"/>
      <w:r w:rsidRPr="005E7005">
        <w:rPr>
          <w:rFonts w:ascii="Arial" w:hAnsi="Arial" w:cs="Arial"/>
          <w:sz w:val="20"/>
          <w:szCs w:val="20"/>
        </w:rPr>
        <w:t xml:space="preserve">, T.B., </w:t>
      </w:r>
      <w:proofErr w:type="spellStart"/>
      <w:r w:rsidRPr="005E7005">
        <w:rPr>
          <w:rFonts w:ascii="Arial" w:hAnsi="Arial" w:cs="Arial"/>
          <w:sz w:val="20"/>
          <w:szCs w:val="20"/>
        </w:rPr>
        <w:t>Lartaud</w:t>
      </w:r>
      <w:proofErr w:type="spellEnd"/>
      <w:r w:rsidRPr="005E7005">
        <w:rPr>
          <w:rFonts w:ascii="Arial" w:hAnsi="Arial" w:cs="Arial"/>
          <w:sz w:val="20"/>
          <w:szCs w:val="20"/>
        </w:rPr>
        <w:t>, F., Zanchetta, G., 2019. Most Earth-surface calcites precipitate out of isotopic equilibrium. Nature Communication 10 (1), 1-7.</w:t>
      </w:r>
    </w:p>
    <w:p w14:paraId="4532F5E0" w14:textId="77777777" w:rsidR="00971906" w:rsidRPr="005E7005" w:rsidRDefault="00971906" w:rsidP="00971906">
      <w:pPr>
        <w:spacing w:line="276" w:lineRule="auto"/>
        <w:jc w:val="both"/>
        <w:rPr>
          <w:rFonts w:ascii="Arial" w:hAnsi="Arial" w:cs="Arial"/>
          <w:sz w:val="20"/>
          <w:szCs w:val="20"/>
        </w:rPr>
      </w:pPr>
      <w:proofErr w:type="spellStart"/>
      <w:r w:rsidRPr="005E7005">
        <w:rPr>
          <w:rFonts w:ascii="Arial" w:hAnsi="Arial" w:cs="Arial"/>
          <w:sz w:val="20"/>
          <w:szCs w:val="20"/>
        </w:rPr>
        <w:t>Dercourt</w:t>
      </w:r>
      <w:proofErr w:type="spellEnd"/>
      <w:r w:rsidRPr="005E7005">
        <w:rPr>
          <w:rFonts w:ascii="Arial" w:hAnsi="Arial" w:cs="Arial"/>
          <w:sz w:val="20"/>
          <w:szCs w:val="20"/>
        </w:rPr>
        <w:t xml:space="preserve">, J., </w:t>
      </w:r>
      <w:proofErr w:type="spellStart"/>
      <w:r w:rsidRPr="005E7005">
        <w:rPr>
          <w:rFonts w:ascii="Arial" w:hAnsi="Arial" w:cs="Arial"/>
          <w:sz w:val="20"/>
          <w:szCs w:val="20"/>
        </w:rPr>
        <w:t>Zonenshain</w:t>
      </w:r>
      <w:proofErr w:type="spellEnd"/>
      <w:r w:rsidRPr="005E7005">
        <w:rPr>
          <w:rFonts w:ascii="Arial" w:hAnsi="Arial" w:cs="Arial"/>
          <w:sz w:val="20"/>
          <w:szCs w:val="20"/>
        </w:rPr>
        <w:t xml:space="preserve">, L. P., </w:t>
      </w:r>
      <w:proofErr w:type="spellStart"/>
      <w:r w:rsidRPr="005E7005">
        <w:rPr>
          <w:rFonts w:ascii="Arial" w:hAnsi="Arial" w:cs="Arial"/>
          <w:sz w:val="20"/>
          <w:szCs w:val="20"/>
        </w:rPr>
        <w:t>Ricou</w:t>
      </w:r>
      <w:proofErr w:type="spellEnd"/>
      <w:r w:rsidRPr="005E7005">
        <w:rPr>
          <w:rFonts w:ascii="Arial" w:hAnsi="Arial" w:cs="Arial"/>
          <w:sz w:val="20"/>
          <w:szCs w:val="20"/>
        </w:rPr>
        <w:t xml:space="preserve">, L.-E., </w:t>
      </w:r>
      <w:proofErr w:type="spellStart"/>
      <w:r w:rsidRPr="005E7005">
        <w:rPr>
          <w:rFonts w:ascii="Arial" w:hAnsi="Arial" w:cs="Arial"/>
          <w:sz w:val="20"/>
          <w:szCs w:val="20"/>
        </w:rPr>
        <w:t>Kazmin</w:t>
      </w:r>
      <w:proofErr w:type="spellEnd"/>
      <w:r w:rsidRPr="005E7005">
        <w:rPr>
          <w:rFonts w:ascii="Arial" w:hAnsi="Arial" w:cs="Arial"/>
          <w:sz w:val="20"/>
          <w:szCs w:val="20"/>
        </w:rPr>
        <w:t xml:space="preserve">, V. </w:t>
      </w:r>
      <w:proofErr w:type="spellStart"/>
      <w:r w:rsidRPr="005E7005">
        <w:rPr>
          <w:rFonts w:ascii="Arial" w:hAnsi="Arial" w:cs="Arial"/>
          <w:sz w:val="20"/>
          <w:szCs w:val="20"/>
        </w:rPr>
        <w:t>G.,Le</w:t>
      </w:r>
      <w:proofErr w:type="spellEnd"/>
      <w:r w:rsidRPr="005E7005">
        <w:rPr>
          <w:rFonts w:ascii="Arial" w:hAnsi="Arial" w:cs="Arial"/>
          <w:sz w:val="20"/>
          <w:szCs w:val="20"/>
        </w:rPr>
        <w:t xml:space="preserve"> </w:t>
      </w:r>
      <w:proofErr w:type="spellStart"/>
      <w:r w:rsidRPr="005E7005">
        <w:rPr>
          <w:rFonts w:ascii="Arial" w:hAnsi="Arial" w:cs="Arial"/>
          <w:sz w:val="20"/>
          <w:szCs w:val="20"/>
        </w:rPr>
        <w:t>Pichon</w:t>
      </w:r>
      <w:proofErr w:type="spellEnd"/>
      <w:r w:rsidRPr="005E7005">
        <w:rPr>
          <w:rFonts w:ascii="Arial" w:hAnsi="Arial" w:cs="Arial"/>
          <w:sz w:val="20"/>
          <w:szCs w:val="20"/>
        </w:rPr>
        <w:t xml:space="preserve">, X., </w:t>
      </w:r>
      <w:proofErr w:type="spellStart"/>
      <w:r w:rsidRPr="005E7005">
        <w:rPr>
          <w:rFonts w:ascii="Arial" w:hAnsi="Arial" w:cs="Arial"/>
          <w:sz w:val="20"/>
          <w:szCs w:val="20"/>
        </w:rPr>
        <w:t>Knipper</w:t>
      </w:r>
      <w:proofErr w:type="spellEnd"/>
      <w:r w:rsidRPr="005E7005">
        <w:rPr>
          <w:rFonts w:ascii="Arial" w:hAnsi="Arial" w:cs="Arial"/>
          <w:sz w:val="20"/>
          <w:szCs w:val="20"/>
        </w:rPr>
        <w:t xml:space="preserve">, A. L., </w:t>
      </w:r>
      <w:proofErr w:type="spellStart"/>
      <w:r w:rsidRPr="005E7005">
        <w:rPr>
          <w:rFonts w:ascii="Arial" w:hAnsi="Arial" w:cs="Arial"/>
          <w:sz w:val="20"/>
          <w:szCs w:val="20"/>
        </w:rPr>
        <w:t>Grandjacquet</w:t>
      </w:r>
      <w:proofErr w:type="spellEnd"/>
      <w:r w:rsidRPr="005E7005">
        <w:rPr>
          <w:rFonts w:ascii="Arial" w:hAnsi="Arial" w:cs="Arial"/>
          <w:sz w:val="20"/>
          <w:szCs w:val="20"/>
        </w:rPr>
        <w:t xml:space="preserve">, C., </w:t>
      </w:r>
      <w:proofErr w:type="spellStart"/>
      <w:r w:rsidRPr="005E7005">
        <w:rPr>
          <w:rFonts w:ascii="Arial" w:hAnsi="Arial" w:cs="Arial"/>
          <w:sz w:val="20"/>
          <w:szCs w:val="20"/>
        </w:rPr>
        <w:t>Sbortshikov</w:t>
      </w:r>
      <w:proofErr w:type="spellEnd"/>
      <w:r w:rsidRPr="005E7005">
        <w:rPr>
          <w:rFonts w:ascii="Arial" w:hAnsi="Arial" w:cs="Arial"/>
          <w:sz w:val="20"/>
          <w:szCs w:val="20"/>
        </w:rPr>
        <w:t xml:space="preserve">, I. M., </w:t>
      </w:r>
      <w:proofErr w:type="spellStart"/>
      <w:r w:rsidRPr="005E7005">
        <w:rPr>
          <w:rFonts w:ascii="Arial" w:hAnsi="Arial" w:cs="Arial"/>
          <w:sz w:val="20"/>
          <w:szCs w:val="20"/>
        </w:rPr>
        <w:t>Geyssant</w:t>
      </w:r>
      <w:proofErr w:type="spellEnd"/>
      <w:r w:rsidRPr="005E7005">
        <w:rPr>
          <w:rFonts w:ascii="Arial" w:hAnsi="Arial" w:cs="Arial"/>
          <w:sz w:val="20"/>
          <w:szCs w:val="20"/>
        </w:rPr>
        <w:t xml:space="preserve">, J., </w:t>
      </w:r>
      <w:proofErr w:type="spellStart"/>
      <w:r w:rsidRPr="005E7005">
        <w:rPr>
          <w:rFonts w:ascii="Arial" w:hAnsi="Arial" w:cs="Arial"/>
          <w:sz w:val="20"/>
          <w:szCs w:val="20"/>
        </w:rPr>
        <w:t>Lepvrier</w:t>
      </w:r>
      <w:proofErr w:type="spellEnd"/>
      <w:r w:rsidRPr="005E7005">
        <w:rPr>
          <w:rFonts w:ascii="Arial" w:hAnsi="Arial" w:cs="Arial"/>
          <w:sz w:val="20"/>
          <w:szCs w:val="20"/>
        </w:rPr>
        <w:t xml:space="preserve">, C., </w:t>
      </w:r>
      <w:proofErr w:type="spellStart"/>
      <w:r w:rsidRPr="005E7005">
        <w:rPr>
          <w:rFonts w:ascii="Arial" w:hAnsi="Arial" w:cs="Arial"/>
          <w:sz w:val="20"/>
          <w:szCs w:val="20"/>
        </w:rPr>
        <w:t>Pechersky,D</w:t>
      </w:r>
      <w:proofErr w:type="spellEnd"/>
      <w:r w:rsidRPr="005E7005">
        <w:rPr>
          <w:rFonts w:ascii="Arial" w:hAnsi="Arial" w:cs="Arial"/>
          <w:sz w:val="20"/>
          <w:szCs w:val="20"/>
        </w:rPr>
        <w:t xml:space="preserve">. H., </w:t>
      </w:r>
      <w:proofErr w:type="spellStart"/>
      <w:r w:rsidRPr="005E7005">
        <w:rPr>
          <w:rFonts w:ascii="Arial" w:hAnsi="Arial" w:cs="Arial"/>
          <w:sz w:val="20"/>
          <w:szCs w:val="20"/>
        </w:rPr>
        <w:t>Boulin</w:t>
      </w:r>
      <w:proofErr w:type="spellEnd"/>
      <w:r w:rsidRPr="005E7005">
        <w:rPr>
          <w:rFonts w:ascii="Arial" w:hAnsi="Arial" w:cs="Arial"/>
          <w:sz w:val="20"/>
          <w:szCs w:val="20"/>
        </w:rPr>
        <w:t xml:space="preserve">, J., </w:t>
      </w:r>
      <w:proofErr w:type="spellStart"/>
      <w:r w:rsidRPr="005E7005">
        <w:rPr>
          <w:rFonts w:ascii="Arial" w:hAnsi="Arial" w:cs="Arial"/>
          <w:sz w:val="20"/>
          <w:szCs w:val="20"/>
        </w:rPr>
        <w:t>Sibuet</w:t>
      </w:r>
      <w:proofErr w:type="spellEnd"/>
      <w:r w:rsidRPr="005E7005">
        <w:rPr>
          <w:rFonts w:ascii="Arial" w:hAnsi="Arial" w:cs="Arial"/>
          <w:sz w:val="20"/>
          <w:szCs w:val="20"/>
        </w:rPr>
        <w:t xml:space="preserve">, J.-C., </w:t>
      </w:r>
      <w:proofErr w:type="spellStart"/>
      <w:r w:rsidRPr="005E7005">
        <w:rPr>
          <w:rFonts w:ascii="Arial" w:hAnsi="Arial" w:cs="Arial"/>
          <w:sz w:val="20"/>
          <w:szCs w:val="20"/>
        </w:rPr>
        <w:t>Savostin</w:t>
      </w:r>
      <w:proofErr w:type="spellEnd"/>
      <w:r w:rsidRPr="005E7005">
        <w:rPr>
          <w:rFonts w:ascii="Arial" w:hAnsi="Arial" w:cs="Arial"/>
          <w:sz w:val="20"/>
          <w:szCs w:val="20"/>
        </w:rPr>
        <w:t>, L. A.,</w:t>
      </w:r>
      <w:proofErr w:type="spellStart"/>
      <w:r w:rsidRPr="005E7005">
        <w:rPr>
          <w:rFonts w:ascii="Arial" w:hAnsi="Arial" w:cs="Arial"/>
          <w:sz w:val="20"/>
          <w:szCs w:val="20"/>
        </w:rPr>
        <w:t>Sorokhtin</w:t>
      </w:r>
      <w:proofErr w:type="spellEnd"/>
      <w:r w:rsidRPr="005E7005">
        <w:rPr>
          <w:rFonts w:ascii="Arial" w:hAnsi="Arial" w:cs="Arial"/>
          <w:sz w:val="20"/>
          <w:szCs w:val="20"/>
        </w:rPr>
        <w:t xml:space="preserve">, O., </w:t>
      </w:r>
      <w:proofErr w:type="spellStart"/>
      <w:r w:rsidRPr="005E7005">
        <w:rPr>
          <w:rFonts w:ascii="Arial" w:hAnsi="Arial" w:cs="Arial"/>
          <w:sz w:val="20"/>
          <w:szCs w:val="20"/>
        </w:rPr>
        <w:t>Westphal</w:t>
      </w:r>
      <w:proofErr w:type="spellEnd"/>
      <w:r w:rsidRPr="005E7005">
        <w:rPr>
          <w:rFonts w:ascii="Arial" w:hAnsi="Arial" w:cs="Arial"/>
          <w:sz w:val="20"/>
          <w:szCs w:val="20"/>
        </w:rPr>
        <w:t xml:space="preserve">, M., &amp; </w:t>
      </w:r>
      <w:proofErr w:type="spellStart"/>
      <w:r w:rsidRPr="005E7005">
        <w:rPr>
          <w:rFonts w:ascii="Arial" w:hAnsi="Arial" w:cs="Arial"/>
          <w:sz w:val="20"/>
          <w:szCs w:val="20"/>
        </w:rPr>
        <w:t>Bazhenov</w:t>
      </w:r>
      <w:proofErr w:type="spellEnd"/>
      <w:r w:rsidRPr="005E7005">
        <w:rPr>
          <w:rFonts w:ascii="Arial" w:hAnsi="Arial" w:cs="Arial"/>
          <w:sz w:val="20"/>
          <w:szCs w:val="20"/>
        </w:rPr>
        <w:t xml:space="preserve">, M. L. (1986). Geological evolution of the </w:t>
      </w:r>
      <w:proofErr w:type="spellStart"/>
      <w:proofErr w:type="gramStart"/>
      <w:r w:rsidRPr="005E7005">
        <w:rPr>
          <w:rFonts w:ascii="Arial" w:hAnsi="Arial" w:cs="Arial"/>
          <w:sz w:val="20"/>
          <w:szCs w:val="20"/>
        </w:rPr>
        <w:t>tethys</w:t>
      </w:r>
      <w:proofErr w:type="spellEnd"/>
      <w:proofErr w:type="gramEnd"/>
      <w:r w:rsidRPr="005E7005">
        <w:rPr>
          <w:rFonts w:ascii="Arial" w:hAnsi="Arial" w:cs="Arial"/>
          <w:sz w:val="20"/>
          <w:szCs w:val="20"/>
        </w:rPr>
        <w:t xml:space="preserve"> belt from the </w:t>
      </w:r>
      <w:proofErr w:type="spellStart"/>
      <w:r w:rsidRPr="005E7005">
        <w:rPr>
          <w:rFonts w:ascii="Arial" w:hAnsi="Arial" w:cs="Arial"/>
          <w:sz w:val="20"/>
          <w:szCs w:val="20"/>
        </w:rPr>
        <w:t>atlantic</w:t>
      </w:r>
      <w:proofErr w:type="spellEnd"/>
      <w:r w:rsidRPr="005E7005">
        <w:rPr>
          <w:rFonts w:ascii="Arial" w:hAnsi="Arial" w:cs="Arial"/>
          <w:sz w:val="20"/>
          <w:szCs w:val="20"/>
        </w:rPr>
        <w:t xml:space="preserve"> to the </w:t>
      </w:r>
      <w:proofErr w:type="spellStart"/>
      <w:r w:rsidRPr="005E7005">
        <w:rPr>
          <w:rFonts w:ascii="Arial" w:hAnsi="Arial" w:cs="Arial"/>
          <w:sz w:val="20"/>
          <w:szCs w:val="20"/>
        </w:rPr>
        <w:t>pamirs</w:t>
      </w:r>
      <w:proofErr w:type="spellEnd"/>
      <w:r w:rsidRPr="005E7005">
        <w:rPr>
          <w:rFonts w:ascii="Arial" w:hAnsi="Arial" w:cs="Arial"/>
          <w:sz w:val="20"/>
          <w:szCs w:val="20"/>
        </w:rPr>
        <w:t xml:space="preserve"> since the LIAS. Tectonophysics, 123(1-4), 241–315</w:t>
      </w:r>
    </w:p>
    <w:p w14:paraId="4F0F6279" w14:textId="77777777" w:rsidR="00971906" w:rsidRPr="00971906" w:rsidRDefault="00971906" w:rsidP="00971906">
      <w:pPr>
        <w:spacing w:line="276" w:lineRule="auto"/>
        <w:jc w:val="both"/>
        <w:rPr>
          <w:rFonts w:ascii="Arial" w:hAnsi="Arial" w:cs="Arial"/>
          <w:sz w:val="20"/>
          <w:szCs w:val="20"/>
        </w:rPr>
      </w:pPr>
      <w:r w:rsidRPr="005E7005">
        <w:rPr>
          <w:rFonts w:ascii="Arial" w:hAnsi="Arial" w:cs="Arial"/>
          <w:sz w:val="20"/>
          <w:szCs w:val="20"/>
        </w:rPr>
        <w:t xml:space="preserve">Dewey, J. F., </w:t>
      </w:r>
      <w:r>
        <w:rPr>
          <w:rFonts w:ascii="Arial" w:hAnsi="Arial" w:cs="Arial"/>
          <w:sz w:val="20"/>
          <w:szCs w:val="20"/>
        </w:rPr>
        <w:t>Pitman, W. C., Ryan, W. B. F.,</w:t>
      </w:r>
      <w:r w:rsidRPr="005E7005">
        <w:rPr>
          <w:rFonts w:ascii="Arial" w:hAnsi="Arial" w:cs="Arial"/>
          <w:sz w:val="20"/>
          <w:szCs w:val="20"/>
        </w:rPr>
        <w:t xml:space="preserve"> </w:t>
      </w:r>
      <w:proofErr w:type="spellStart"/>
      <w:r w:rsidRPr="005E7005">
        <w:rPr>
          <w:rFonts w:ascii="Arial" w:hAnsi="Arial" w:cs="Arial"/>
          <w:sz w:val="20"/>
          <w:szCs w:val="20"/>
        </w:rPr>
        <w:t>Bonnin</w:t>
      </w:r>
      <w:proofErr w:type="spellEnd"/>
      <w:r w:rsidRPr="005E7005">
        <w:rPr>
          <w:rFonts w:ascii="Arial" w:hAnsi="Arial" w:cs="Arial"/>
          <w:sz w:val="20"/>
          <w:szCs w:val="20"/>
        </w:rPr>
        <w:t xml:space="preserve">, J. (1973). Plate tectonics and the evolution of the alpine system. </w:t>
      </w:r>
      <w:r w:rsidRPr="00971906">
        <w:rPr>
          <w:rFonts w:ascii="Arial" w:hAnsi="Arial" w:cs="Arial"/>
          <w:sz w:val="20"/>
          <w:szCs w:val="20"/>
        </w:rPr>
        <w:t xml:space="preserve">Geological Society of America Bulletin, 84(10), 3137– 3180. </w:t>
      </w:r>
    </w:p>
    <w:p w14:paraId="4CE63421" w14:textId="315149BF" w:rsidR="007476E9" w:rsidRDefault="000A58F9" w:rsidP="007476E9">
      <w:pPr>
        <w:spacing w:line="276" w:lineRule="auto"/>
        <w:jc w:val="both"/>
        <w:rPr>
          <w:rFonts w:ascii="Arial" w:hAnsi="Arial" w:cs="Arial"/>
          <w:sz w:val="20"/>
          <w:szCs w:val="20"/>
        </w:rPr>
      </w:pPr>
      <w:proofErr w:type="spellStart"/>
      <w:r w:rsidRPr="005E7005">
        <w:rPr>
          <w:rFonts w:ascii="Arial" w:hAnsi="Arial" w:cs="Arial"/>
          <w:sz w:val="20"/>
          <w:szCs w:val="20"/>
        </w:rPr>
        <w:t>Djamali</w:t>
      </w:r>
      <w:proofErr w:type="spellEnd"/>
      <w:r w:rsidRPr="005E7005">
        <w:rPr>
          <w:rFonts w:ascii="Arial" w:hAnsi="Arial" w:cs="Arial"/>
          <w:sz w:val="20"/>
          <w:szCs w:val="20"/>
        </w:rPr>
        <w:t xml:space="preserve">, M., </w:t>
      </w:r>
      <w:proofErr w:type="spellStart"/>
      <w:r w:rsidRPr="005E7005">
        <w:rPr>
          <w:rFonts w:ascii="Arial" w:hAnsi="Arial" w:cs="Arial"/>
          <w:sz w:val="20"/>
          <w:szCs w:val="20"/>
        </w:rPr>
        <w:t>Akhani</w:t>
      </w:r>
      <w:proofErr w:type="spellEnd"/>
      <w:r w:rsidRPr="005E7005">
        <w:rPr>
          <w:rFonts w:ascii="Arial" w:hAnsi="Arial" w:cs="Arial"/>
          <w:sz w:val="20"/>
          <w:szCs w:val="20"/>
        </w:rPr>
        <w:t xml:space="preserve">, H., </w:t>
      </w:r>
      <w:proofErr w:type="spellStart"/>
      <w:r w:rsidRPr="005E7005">
        <w:rPr>
          <w:rFonts w:ascii="Arial" w:hAnsi="Arial" w:cs="Arial"/>
          <w:sz w:val="20"/>
          <w:szCs w:val="20"/>
        </w:rPr>
        <w:t>Andrieu-Ponel</w:t>
      </w:r>
      <w:proofErr w:type="spellEnd"/>
      <w:r w:rsidRPr="005E7005">
        <w:rPr>
          <w:rFonts w:ascii="Arial" w:hAnsi="Arial" w:cs="Arial"/>
          <w:sz w:val="20"/>
          <w:szCs w:val="20"/>
        </w:rPr>
        <w:t xml:space="preserve">, V., </w:t>
      </w:r>
      <w:proofErr w:type="spellStart"/>
      <w:r w:rsidRPr="005E7005">
        <w:rPr>
          <w:rFonts w:ascii="Arial" w:hAnsi="Arial" w:cs="Arial"/>
          <w:sz w:val="20"/>
          <w:szCs w:val="20"/>
        </w:rPr>
        <w:t>Braconnot</w:t>
      </w:r>
      <w:proofErr w:type="spellEnd"/>
      <w:r w:rsidRPr="005E7005">
        <w:rPr>
          <w:rFonts w:ascii="Arial" w:hAnsi="Arial" w:cs="Arial"/>
          <w:sz w:val="20"/>
          <w:szCs w:val="20"/>
        </w:rPr>
        <w:t xml:space="preserve">, P., Brewer, S., de Beaulieu, J. L., </w:t>
      </w:r>
      <w:proofErr w:type="spellStart"/>
      <w:r w:rsidR="007476E9" w:rsidRPr="007476E9">
        <w:rPr>
          <w:rFonts w:ascii="Arial" w:hAnsi="Arial" w:cs="Arial"/>
          <w:sz w:val="20"/>
          <w:szCs w:val="20"/>
        </w:rPr>
        <w:t>Fleitmann</w:t>
      </w:r>
      <w:proofErr w:type="spellEnd"/>
      <w:r w:rsidR="007476E9" w:rsidRPr="007476E9">
        <w:rPr>
          <w:rFonts w:ascii="Arial" w:hAnsi="Arial" w:cs="Arial"/>
          <w:sz w:val="20"/>
          <w:szCs w:val="20"/>
        </w:rPr>
        <w:t>,</w:t>
      </w:r>
      <w:r w:rsidR="007476E9">
        <w:rPr>
          <w:rFonts w:ascii="Arial" w:hAnsi="Arial" w:cs="Arial"/>
          <w:sz w:val="20"/>
          <w:szCs w:val="20"/>
        </w:rPr>
        <w:t xml:space="preserve"> D.,</w:t>
      </w:r>
      <w:r w:rsidR="007476E9" w:rsidRPr="007476E9">
        <w:rPr>
          <w:rFonts w:ascii="Arial" w:hAnsi="Arial" w:cs="Arial"/>
          <w:sz w:val="20"/>
          <w:szCs w:val="20"/>
        </w:rPr>
        <w:t xml:space="preserve"> </w:t>
      </w:r>
      <w:r w:rsidR="007476E9">
        <w:rPr>
          <w:rFonts w:ascii="Arial" w:hAnsi="Arial" w:cs="Arial"/>
          <w:sz w:val="20"/>
          <w:szCs w:val="20"/>
        </w:rPr>
        <w:t>Fleury, J.,</w:t>
      </w:r>
      <w:r w:rsidR="007476E9" w:rsidRPr="007476E9">
        <w:rPr>
          <w:rFonts w:ascii="Arial" w:hAnsi="Arial" w:cs="Arial"/>
          <w:sz w:val="20"/>
          <w:szCs w:val="20"/>
        </w:rPr>
        <w:t xml:space="preserve"> </w:t>
      </w:r>
      <w:proofErr w:type="spellStart"/>
      <w:r w:rsidR="007476E9" w:rsidRPr="007476E9">
        <w:rPr>
          <w:rFonts w:ascii="Arial" w:hAnsi="Arial" w:cs="Arial"/>
          <w:sz w:val="20"/>
          <w:szCs w:val="20"/>
        </w:rPr>
        <w:t>Gasse</w:t>
      </w:r>
      <w:proofErr w:type="spellEnd"/>
      <w:r w:rsidR="007476E9">
        <w:rPr>
          <w:rFonts w:ascii="Arial" w:hAnsi="Arial" w:cs="Arial"/>
          <w:sz w:val="20"/>
          <w:szCs w:val="20"/>
        </w:rPr>
        <w:t xml:space="preserve"> F.,</w:t>
      </w:r>
      <w:r w:rsidR="007476E9" w:rsidRPr="007476E9">
        <w:rPr>
          <w:rFonts w:ascii="Arial" w:hAnsi="Arial" w:cs="Arial"/>
          <w:sz w:val="20"/>
          <w:szCs w:val="20"/>
        </w:rPr>
        <w:t xml:space="preserve"> </w:t>
      </w:r>
      <w:proofErr w:type="spellStart"/>
      <w:r w:rsidR="007476E9">
        <w:rPr>
          <w:rFonts w:ascii="Arial" w:hAnsi="Arial" w:cs="Arial"/>
          <w:sz w:val="20"/>
          <w:szCs w:val="20"/>
        </w:rPr>
        <w:t>G</w:t>
      </w:r>
      <w:r w:rsidR="007476E9" w:rsidRPr="007476E9">
        <w:rPr>
          <w:rFonts w:ascii="Arial" w:hAnsi="Arial" w:cs="Arial"/>
          <w:sz w:val="20"/>
          <w:szCs w:val="20"/>
        </w:rPr>
        <w:t>uibal</w:t>
      </w:r>
      <w:proofErr w:type="spellEnd"/>
      <w:r w:rsidR="007476E9">
        <w:rPr>
          <w:rFonts w:ascii="Arial" w:hAnsi="Arial" w:cs="Arial"/>
          <w:sz w:val="20"/>
          <w:szCs w:val="20"/>
        </w:rPr>
        <w:t xml:space="preserve"> F., </w:t>
      </w:r>
      <w:r w:rsidR="007476E9" w:rsidRPr="007476E9">
        <w:rPr>
          <w:rFonts w:ascii="Arial" w:hAnsi="Arial" w:cs="Arial"/>
          <w:sz w:val="20"/>
          <w:szCs w:val="20"/>
        </w:rPr>
        <w:t>Jackson</w:t>
      </w:r>
      <w:r w:rsidR="007476E9">
        <w:rPr>
          <w:rFonts w:ascii="Arial" w:hAnsi="Arial" w:cs="Arial"/>
          <w:sz w:val="20"/>
          <w:szCs w:val="20"/>
        </w:rPr>
        <w:t xml:space="preserve"> S.T.</w:t>
      </w:r>
      <w:r w:rsidR="007476E9" w:rsidRPr="007476E9">
        <w:rPr>
          <w:rFonts w:ascii="Arial" w:hAnsi="Arial" w:cs="Arial"/>
          <w:sz w:val="20"/>
          <w:szCs w:val="20"/>
        </w:rPr>
        <w:t xml:space="preserve">, </w:t>
      </w:r>
      <w:proofErr w:type="spellStart"/>
      <w:r w:rsidR="007476E9" w:rsidRPr="007476E9">
        <w:rPr>
          <w:rFonts w:ascii="Arial" w:hAnsi="Arial" w:cs="Arial"/>
          <w:sz w:val="20"/>
          <w:szCs w:val="20"/>
        </w:rPr>
        <w:t>Lézine</w:t>
      </w:r>
      <w:proofErr w:type="spellEnd"/>
      <w:r w:rsidR="007476E9">
        <w:rPr>
          <w:rFonts w:ascii="Arial" w:hAnsi="Arial" w:cs="Arial"/>
          <w:sz w:val="20"/>
          <w:szCs w:val="20"/>
        </w:rPr>
        <w:t xml:space="preserve"> A-M.,</w:t>
      </w:r>
      <w:r w:rsidR="007476E9" w:rsidRPr="007476E9">
        <w:rPr>
          <w:rFonts w:ascii="Arial" w:hAnsi="Arial" w:cs="Arial"/>
          <w:sz w:val="20"/>
          <w:szCs w:val="20"/>
        </w:rPr>
        <w:t xml:space="preserve"> </w:t>
      </w:r>
      <w:proofErr w:type="spellStart"/>
      <w:r w:rsidR="007476E9" w:rsidRPr="007476E9">
        <w:rPr>
          <w:rFonts w:ascii="Arial" w:hAnsi="Arial" w:cs="Arial"/>
          <w:sz w:val="20"/>
          <w:szCs w:val="20"/>
        </w:rPr>
        <w:t>Médail</w:t>
      </w:r>
      <w:proofErr w:type="spellEnd"/>
      <w:r w:rsidR="007476E9">
        <w:rPr>
          <w:rFonts w:ascii="Arial" w:hAnsi="Arial" w:cs="Arial"/>
          <w:sz w:val="20"/>
          <w:szCs w:val="20"/>
        </w:rPr>
        <w:t>, F.,</w:t>
      </w:r>
      <w:r w:rsidR="007476E9" w:rsidRPr="007476E9">
        <w:rPr>
          <w:rFonts w:ascii="Arial" w:hAnsi="Arial" w:cs="Arial"/>
          <w:sz w:val="20"/>
          <w:szCs w:val="20"/>
        </w:rPr>
        <w:t xml:space="preserve"> </w:t>
      </w:r>
      <w:proofErr w:type="spellStart"/>
      <w:r w:rsidR="007476E9" w:rsidRPr="007476E9">
        <w:rPr>
          <w:rFonts w:ascii="Arial" w:hAnsi="Arial" w:cs="Arial"/>
          <w:sz w:val="20"/>
          <w:szCs w:val="20"/>
        </w:rPr>
        <w:t>Ponel</w:t>
      </w:r>
      <w:proofErr w:type="spellEnd"/>
      <w:r w:rsidR="007476E9" w:rsidRPr="007476E9">
        <w:rPr>
          <w:rFonts w:ascii="Arial" w:hAnsi="Arial" w:cs="Arial"/>
          <w:sz w:val="20"/>
          <w:szCs w:val="20"/>
        </w:rPr>
        <w:t>,</w:t>
      </w:r>
      <w:r w:rsidR="007476E9">
        <w:rPr>
          <w:rFonts w:ascii="Arial" w:hAnsi="Arial" w:cs="Arial"/>
          <w:sz w:val="20"/>
          <w:szCs w:val="20"/>
        </w:rPr>
        <w:t xml:space="preserve"> P.,</w:t>
      </w:r>
      <w:r w:rsidR="007476E9" w:rsidRPr="007476E9">
        <w:rPr>
          <w:rFonts w:ascii="Arial" w:hAnsi="Arial" w:cs="Arial"/>
          <w:sz w:val="20"/>
          <w:szCs w:val="20"/>
        </w:rPr>
        <w:t xml:space="preserve"> Roberts</w:t>
      </w:r>
      <w:r w:rsidR="007476E9">
        <w:rPr>
          <w:rFonts w:ascii="Arial" w:hAnsi="Arial" w:cs="Arial"/>
          <w:sz w:val="20"/>
          <w:szCs w:val="20"/>
        </w:rPr>
        <w:t xml:space="preserve">, N.C., </w:t>
      </w:r>
      <w:r w:rsidRPr="005E7005">
        <w:rPr>
          <w:rFonts w:ascii="Arial" w:hAnsi="Arial" w:cs="Arial"/>
          <w:sz w:val="20"/>
          <w:szCs w:val="20"/>
        </w:rPr>
        <w:t>Stevens, L. (2010). Indian Summer Monsoon variations could have affected the early-Holocene woodland expansion in the Near East. The Holocene, 20(5), 813-820.</w:t>
      </w:r>
    </w:p>
    <w:p w14:paraId="4FDFF644" w14:textId="45AF5E9B" w:rsidR="00971906" w:rsidRPr="00B32636" w:rsidRDefault="00971906" w:rsidP="00971906">
      <w:pPr>
        <w:spacing w:line="276" w:lineRule="auto"/>
        <w:rPr>
          <w:rFonts w:ascii="Arial" w:hAnsi="Arial" w:cs="Arial"/>
          <w:sz w:val="20"/>
          <w:szCs w:val="20"/>
          <w:lang w:val="it-IT"/>
        </w:rPr>
      </w:pPr>
      <w:r w:rsidRPr="00EE4DAE">
        <w:rPr>
          <w:rFonts w:ascii="Arial" w:hAnsi="Arial" w:cs="Arial"/>
          <w:sz w:val="20"/>
          <w:szCs w:val="20"/>
        </w:rPr>
        <w:t xml:space="preserve">Drysdale, R.N., Zanchetta, G., Hellstrom, J.C., </w:t>
      </w:r>
      <w:proofErr w:type="spellStart"/>
      <w:r w:rsidRPr="00EE4DAE">
        <w:rPr>
          <w:rFonts w:ascii="Arial" w:hAnsi="Arial" w:cs="Arial"/>
          <w:sz w:val="20"/>
          <w:szCs w:val="20"/>
        </w:rPr>
        <w:t>Fallick</w:t>
      </w:r>
      <w:proofErr w:type="spellEnd"/>
      <w:r w:rsidRPr="00EE4DAE">
        <w:rPr>
          <w:rFonts w:ascii="Arial" w:hAnsi="Arial" w:cs="Arial"/>
          <w:sz w:val="20"/>
          <w:szCs w:val="20"/>
        </w:rPr>
        <w:t>, A.E., Zhao, J.X., 2005. Stalagmite</w:t>
      </w:r>
      <w:r>
        <w:rPr>
          <w:rFonts w:ascii="Arial" w:hAnsi="Arial" w:cs="Arial"/>
          <w:sz w:val="20"/>
          <w:szCs w:val="20"/>
        </w:rPr>
        <w:t xml:space="preserve"> </w:t>
      </w:r>
      <w:r w:rsidRPr="00EE4DAE">
        <w:rPr>
          <w:rFonts w:ascii="Arial" w:hAnsi="Arial" w:cs="Arial"/>
          <w:sz w:val="20"/>
          <w:szCs w:val="20"/>
        </w:rPr>
        <w:t xml:space="preserve">evidence for the onset of the Last Interglacial in southern Europe at 129±1 </w:t>
      </w:r>
      <w:proofErr w:type="spellStart"/>
      <w:r w:rsidRPr="00EE4DAE">
        <w:rPr>
          <w:rFonts w:ascii="Arial" w:hAnsi="Arial" w:cs="Arial"/>
          <w:sz w:val="20"/>
          <w:szCs w:val="20"/>
        </w:rPr>
        <w:t>ka.</w:t>
      </w:r>
      <w:r>
        <w:rPr>
          <w:rFonts w:ascii="Arial" w:hAnsi="Arial" w:cs="Arial"/>
          <w:sz w:val="20"/>
          <w:szCs w:val="20"/>
        </w:rPr>
        <w:t>mG</w:t>
      </w:r>
      <w:r w:rsidRPr="00EE4DAE">
        <w:rPr>
          <w:rFonts w:ascii="Arial" w:hAnsi="Arial" w:cs="Arial"/>
          <w:sz w:val="20"/>
          <w:szCs w:val="20"/>
        </w:rPr>
        <w:t>eophys</w:t>
      </w:r>
      <w:proofErr w:type="spellEnd"/>
      <w:r w:rsidRPr="00EE4DAE">
        <w:rPr>
          <w:rFonts w:ascii="Arial" w:hAnsi="Arial" w:cs="Arial"/>
          <w:sz w:val="20"/>
          <w:szCs w:val="20"/>
        </w:rPr>
        <w:t xml:space="preserve">. Res. </w:t>
      </w:r>
      <w:proofErr w:type="spellStart"/>
      <w:r w:rsidRPr="00B32636">
        <w:rPr>
          <w:rFonts w:ascii="Arial" w:hAnsi="Arial" w:cs="Arial"/>
          <w:sz w:val="20"/>
          <w:szCs w:val="20"/>
          <w:lang w:val="it-IT"/>
        </w:rPr>
        <w:t>Lett</w:t>
      </w:r>
      <w:proofErr w:type="spellEnd"/>
      <w:r w:rsidRPr="00B32636">
        <w:rPr>
          <w:rFonts w:ascii="Arial" w:hAnsi="Arial" w:cs="Arial"/>
          <w:sz w:val="20"/>
          <w:szCs w:val="20"/>
          <w:lang w:val="it-IT"/>
        </w:rPr>
        <w:t>. 32 (24).</w:t>
      </w:r>
    </w:p>
    <w:p w14:paraId="2530BEFA" w14:textId="77777777" w:rsidR="00971906" w:rsidRPr="00CB2736" w:rsidRDefault="00971906" w:rsidP="00971906">
      <w:pPr>
        <w:jc w:val="both"/>
        <w:rPr>
          <w:rFonts w:ascii="Arial" w:hAnsi="Arial" w:cs="Arial"/>
          <w:sz w:val="20"/>
          <w:szCs w:val="20"/>
        </w:rPr>
      </w:pPr>
      <w:r w:rsidRPr="005E7005">
        <w:rPr>
          <w:rFonts w:ascii="Arial" w:hAnsi="Arial" w:cs="Arial"/>
          <w:sz w:val="20"/>
          <w:szCs w:val="20"/>
          <w:lang w:val="it-IT"/>
        </w:rPr>
        <w:t xml:space="preserve">Forti, L., Perego, A., Brandolini, F., Mariani, G. S., Zebari, M., Nicoll, K., Regattieri, E., Barbaro C.C., Bonacossi, D.M., </w:t>
      </w:r>
      <w:proofErr w:type="spellStart"/>
      <w:r w:rsidRPr="005E7005">
        <w:rPr>
          <w:rFonts w:ascii="Arial" w:hAnsi="Arial" w:cs="Arial"/>
          <w:sz w:val="20"/>
          <w:szCs w:val="20"/>
          <w:lang w:val="it-IT"/>
        </w:rPr>
        <w:t>Qasinm</w:t>
      </w:r>
      <w:proofErr w:type="spellEnd"/>
      <w:r w:rsidRPr="005E7005">
        <w:rPr>
          <w:rFonts w:ascii="Arial" w:hAnsi="Arial" w:cs="Arial"/>
          <w:sz w:val="20"/>
          <w:szCs w:val="20"/>
          <w:lang w:val="it-IT"/>
        </w:rPr>
        <w:t xml:space="preserve"> H.A., Cremaschi, M., Zerboni, A. 2021. </w:t>
      </w:r>
      <w:r w:rsidRPr="005E7005">
        <w:rPr>
          <w:rFonts w:ascii="Arial" w:hAnsi="Arial" w:cs="Arial"/>
          <w:sz w:val="20"/>
          <w:szCs w:val="20"/>
        </w:rPr>
        <w:t xml:space="preserve">Geomorphology of the </w:t>
      </w:r>
      <w:proofErr w:type="spellStart"/>
      <w:r w:rsidRPr="005E7005">
        <w:rPr>
          <w:rFonts w:ascii="Arial" w:hAnsi="Arial" w:cs="Arial"/>
          <w:sz w:val="20"/>
          <w:szCs w:val="20"/>
        </w:rPr>
        <w:t>northwestern</w:t>
      </w:r>
      <w:proofErr w:type="spellEnd"/>
      <w:r w:rsidRPr="005E7005">
        <w:rPr>
          <w:rFonts w:ascii="Arial" w:hAnsi="Arial" w:cs="Arial"/>
          <w:sz w:val="20"/>
          <w:szCs w:val="20"/>
        </w:rPr>
        <w:t xml:space="preserve"> Kurdistan Region of Iraq: landscapes of the Zagros Mountains drained by the Tigris and Great </w:t>
      </w:r>
      <w:proofErr w:type="spellStart"/>
      <w:r w:rsidRPr="005E7005">
        <w:rPr>
          <w:rFonts w:ascii="Arial" w:hAnsi="Arial" w:cs="Arial"/>
          <w:sz w:val="20"/>
          <w:szCs w:val="20"/>
        </w:rPr>
        <w:t>Zab</w:t>
      </w:r>
      <w:proofErr w:type="spellEnd"/>
      <w:r w:rsidRPr="005E7005">
        <w:rPr>
          <w:rFonts w:ascii="Arial" w:hAnsi="Arial" w:cs="Arial"/>
          <w:sz w:val="20"/>
          <w:szCs w:val="20"/>
        </w:rPr>
        <w:t xml:space="preserve"> Rivers. </w:t>
      </w:r>
      <w:r w:rsidRPr="00CB2736">
        <w:rPr>
          <w:rFonts w:ascii="Arial" w:hAnsi="Arial" w:cs="Arial"/>
          <w:sz w:val="20"/>
          <w:szCs w:val="20"/>
        </w:rPr>
        <w:t>Journal of Maps, 1-12.</w:t>
      </w:r>
    </w:p>
    <w:p w14:paraId="61CD919F" w14:textId="2A642BE8" w:rsidR="00971906" w:rsidRPr="005E7005" w:rsidRDefault="00971906" w:rsidP="00971906">
      <w:pPr>
        <w:autoSpaceDE w:val="0"/>
        <w:autoSpaceDN w:val="0"/>
        <w:adjustRightInd w:val="0"/>
        <w:spacing w:line="240" w:lineRule="auto"/>
        <w:jc w:val="both"/>
        <w:rPr>
          <w:rFonts w:ascii="Arial" w:hAnsi="Arial" w:cs="Arial"/>
          <w:sz w:val="20"/>
          <w:szCs w:val="20"/>
        </w:rPr>
      </w:pPr>
      <w:r w:rsidRPr="005E7005">
        <w:rPr>
          <w:rFonts w:ascii="Arial" w:hAnsi="Arial" w:cs="Arial"/>
          <w:sz w:val="20"/>
          <w:szCs w:val="20"/>
        </w:rPr>
        <w:lastRenderedPageBreak/>
        <w:t>Fouad, S. F. A. (2014). Western Zagros fold – Thrust Belt, part II: The high folded zone. Iraqi Bulletin of Geology</w:t>
      </w:r>
      <w:r>
        <w:rPr>
          <w:rFonts w:ascii="Arial" w:hAnsi="Arial" w:cs="Arial"/>
          <w:sz w:val="20"/>
          <w:szCs w:val="20"/>
        </w:rPr>
        <w:t xml:space="preserve"> </w:t>
      </w:r>
      <w:r w:rsidRPr="005E7005">
        <w:rPr>
          <w:rFonts w:ascii="Arial" w:hAnsi="Arial" w:cs="Arial"/>
          <w:sz w:val="20"/>
          <w:szCs w:val="20"/>
        </w:rPr>
        <w:t>and Mining, 6, 53–71.</w:t>
      </w:r>
    </w:p>
    <w:p w14:paraId="620FE87F" w14:textId="77777777" w:rsidR="00971906" w:rsidRPr="005E7005" w:rsidRDefault="00971906" w:rsidP="00971906">
      <w:pPr>
        <w:spacing w:line="276" w:lineRule="auto"/>
        <w:jc w:val="both"/>
        <w:rPr>
          <w:rFonts w:ascii="Arial" w:hAnsi="Arial" w:cs="Arial"/>
          <w:sz w:val="20"/>
          <w:szCs w:val="20"/>
        </w:rPr>
      </w:pPr>
      <w:r w:rsidRPr="005E7005">
        <w:rPr>
          <w:rFonts w:ascii="Arial" w:hAnsi="Arial" w:cs="Arial"/>
          <w:sz w:val="20"/>
          <w:szCs w:val="20"/>
        </w:rPr>
        <w:t xml:space="preserve">Frisia, S., 2015. Microstratigraphic logging of calcite fabrics in speleothems as tool for </w:t>
      </w:r>
      <w:proofErr w:type="spellStart"/>
      <w:r w:rsidRPr="005E7005">
        <w:rPr>
          <w:rFonts w:ascii="Arial" w:hAnsi="Arial" w:cs="Arial"/>
          <w:sz w:val="20"/>
          <w:szCs w:val="20"/>
        </w:rPr>
        <w:t>palaeoclimate</w:t>
      </w:r>
      <w:proofErr w:type="spellEnd"/>
      <w:r w:rsidRPr="005E7005">
        <w:rPr>
          <w:rFonts w:ascii="Arial" w:hAnsi="Arial" w:cs="Arial"/>
          <w:sz w:val="20"/>
          <w:szCs w:val="20"/>
        </w:rPr>
        <w:t xml:space="preserve"> studies. International Journal of Speleology 44 (1), 1-16.</w:t>
      </w:r>
    </w:p>
    <w:p w14:paraId="17574075" w14:textId="54D7720C" w:rsidR="00971906" w:rsidRDefault="00971906" w:rsidP="00971906">
      <w:pPr>
        <w:spacing w:line="276" w:lineRule="auto"/>
        <w:jc w:val="both"/>
        <w:rPr>
          <w:rFonts w:ascii="Arial" w:hAnsi="Arial" w:cs="Arial"/>
          <w:sz w:val="20"/>
          <w:szCs w:val="20"/>
        </w:rPr>
      </w:pPr>
      <w:r w:rsidRPr="00CB2736">
        <w:rPr>
          <w:rFonts w:ascii="Arial" w:hAnsi="Arial" w:cs="Arial"/>
          <w:sz w:val="20"/>
          <w:szCs w:val="20"/>
        </w:rPr>
        <w:t xml:space="preserve">Frisia, S., </w:t>
      </w:r>
      <w:proofErr w:type="spellStart"/>
      <w:r w:rsidRPr="00CB2736">
        <w:rPr>
          <w:rFonts w:ascii="Arial" w:hAnsi="Arial" w:cs="Arial"/>
          <w:sz w:val="20"/>
          <w:szCs w:val="20"/>
        </w:rPr>
        <w:t>Borsato</w:t>
      </w:r>
      <w:proofErr w:type="spellEnd"/>
      <w:r w:rsidRPr="00CB2736">
        <w:rPr>
          <w:rFonts w:ascii="Arial" w:hAnsi="Arial" w:cs="Arial"/>
          <w:sz w:val="20"/>
          <w:szCs w:val="20"/>
        </w:rPr>
        <w:t xml:space="preserve">, A., 2010. Karst. </w:t>
      </w:r>
      <w:r w:rsidRPr="005E7005">
        <w:rPr>
          <w:rFonts w:ascii="Arial" w:hAnsi="Arial" w:cs="Arial"/>
          <w:sz w:val="20"/>
          <w:szCs w:val="20"/>
        </w:rPr>
        <w:t>Development in Sedimentology 61, 269-318.</w:t>
      </w:r>
    </w:p>
    <w:p w14:paraId="5765BA4D" w14:textId="77777777" w:rsidR="00971906" w:rsidRPr="005E7005" w:rsidRDefault="00971906" w:rsidP="00971906">
      <w:pPr>
        <w:spacing w:line="276" w:lineRule="auto"/>
        <w:jc w:val="both"/>
        <w:rPr>
          <w:rFonts w:ascii="Arial" w:hAnsi="Arial" w:cs="Arial"/>
          <w:sz w:val="20"/>
          <w:szCs w:val="20"/>
        </w:rPr>
      </w:pPr>
      <w:proofErr w:type="spellStart"/>
      <w:r w:rsidRPr="005E7005">
        <w:rPr>
          <w:rFonts w:ascii="Arial" w:hAnsi="Arial" w:cs="Arial"/>
          <w:sz w:val="20"/>
          <w:szCs w:val="20"/>
        </w:rPr>
        <w:t>Frizon</w:t>
      </w:r>
      <w:proofErr w:type="spellEnd"/>
      <w:r w:rsidRPr="005E7005">
        <w:rPr>
          <w:rFonts w:ascii="Arial" w:hAnsi="Arial" w:cs="Arial"/>
          <w:sz w:val="20"/>
          <w:szCs w:val="20"/>
        </w:rPr>
        <w:t xml:space="preserve"> de </w:t>
      </w:r>
      <w:proofErr w:type="spellStart"/>
      <w:r w:rsidRPr="005E7005">
        <w:rPr>
          <w:rFonts w:ascii="Arial" w:hAnsi="Arial" w:cs="Arial"/>
          <w:sz w:val="20"/>
          <w:szCs w:val="20"/>
        </w:rPr>
        <w:t>Lamotte</w:t>
      </w:r>
      <w:proofErr w:type="spellEnd"/>
      <w:r w:rsidRPr="005E7005">
        <w:rPr>
          <w:rFonts w:ascii="Arial" w:hAnsi="Arial" w:cs="Arial"/>
          <w:sz w:val="20"/>
          <w:szCs w:val="20"/>
        </w:rPr>
        <w:t xml:space="preserve">, D., </w:t>
      </w:r>
      <w:proofErr w:type="spellStart"/>
      <w:r w:rsidRPr="005E7005">
        <w:rPr>
          <w:rFonts w:ascii="Arial" w:hAnsi="Arial" w:cs="Arial"/>
          <w:sz w:val="20"/>
          <w:szCs w:val="20"/>
        </w:rPr>
        <w:t>Raulin</w:t>
      </w:r>
      <w:proofErr w:type="spellEnd"/>
      <w:r w:rsidRPr="005E7005">
        <w:rPr>
          <w:rFonts w:ascii="Arial" w:hAnsi="Arial" w:cs="Arial"/>
          <w:sz w:val="20"/>
          <w:szCs w:val="20"/>
        </w:rPr>
        <w:t xml:space="preserve">, C., </w:t>
      </w:r>
      <w:proofErr w:type="spellStart"/>
      <w:r w:rsidRPr="005E7005">
        <w:rPr>
          <w:rFonts w:ascii="Arial" w:hAnsi="Arial" w:cs="Arial"/>
          <w:sz w:val="20"/>
          <w:szCs w:val="20"/>
        </w:rPr>
        <w:t>Mouchot</w:t>
      </w:r>
      <w:proofErr w:type="spellEnd"/>
      <w:r w:rsidRPr="005E7005">
        <w:rPr>
          <w:rFonts w:ascii="Arial" w:hAnsi="Arial" w:cs="Arial"/>
          <w:sz w:val="20"/>
          <w:szCs w:val="20"/>
        </w:rPr>
        <w:t xml:space="preserve">, N., </w:t>
      </w:r>
      <w:proofErr w:type="spellStart"/>
      <w:r w:rsidRPr="005E7005">
        <w:rPr>
          <w:rFonts w:ascii="Arial" w:hAnsi="Arial" w:cs="Arial"/>
          <w:sz w:val="20"/>
          <w:szCs w:val="20"/>
        </w:rPr>
        <w:t>Wrobe</w:t>
      </w:r>
      <w:r>
        <w:rPr>
          <w:rFonts w:ascii="Arial" w:hAnsi="Arial" w:cs="Arial"/>
          <w:sz w:val="20"/>
          <w:szCs w:val="20"/>
        </w:rPr>
        <w:t>l-Daveau</w:t>
      </w:r>
      <w:proofErr w:type="spellEnd"/>
      <w:r>
        <w:rPr>
          <w:rFonts w:ascii="Arial" w:hAnsi="Arial" w:cs="Arial"/>
          <w:sz w:val="20"/>
          <w:szCs w:val="20"/>
        </w:rPr>
        <w:t xml:space="preserve">, J. C., </w:t>
      </w:r>
      <w:proofErr w:type="spellStart"/>
      <w:r>
        <w:rPr>
          <w:rFonts w:ascii="Arial" w:hAnsi="Arial" w:cs="Arial"/>
          <w:sz w:val="20"/>
          <w:szCs w:val="20"/>
        </w:rPr>
        <w:t>Blanpied</w:t>
      </w:r>
      <w:proofErr w:type="spellEnd"/>
      <w:r>
        <w:rPr>
          <w:rFonts w:ascii="Arial" w:hAnsi="Arial" w:cs="Arial"/>
          <w:sz w:val="20"/>
          <w:szCs w:val="20"/>
        </w:rPr>
        <w:t>, C.,</w:t>
      </w:r>
      <w:r w:rsidRPr="005E7005">
        <w:rPr>
          <w:rFonts w:ascii="Arial" w:hAnsi="Arial" w:cs="Arial"/>
          <w:sz w:val="20"/>
          <w:szCs w:val="20"/>
        </w:rPr>
        <w:t xml:space="preserve"> </w:t>
      </w:r>
      <w:proofErr w:type="spellStart"/>
      <w:r w:rsidRPr="005E7005">
        <w:rPr>
          <w:rFonts w:ascii="Arial" w:hAnsi="Arial" w:cs="Arial"/>
          <w:sz w:val="20"/>
          <w:szCs w:val="20"/>
        </w:rPr>
        <w:t>Ringenbach</w:t>
      </w:r>
      <w:proofErr w:type="spellEnd"/>
      <w:r w:rsidRPr="005E7005">
        <w:rPr>
          <w:rFonts w:ascii="Arial" w:hAnsi="Arial" w:cs="Arial"/>
          <w:sz w:val="20"/>
          <w:szCs w:val="20"/>
        </w:rPr>
        <w:t xml:space="preserve">, J. C. (2011). The southernmost margin of the </w:t>
      </w:r>
      <w:proofErr w:type="spellStart"/>
      <w:proofErr w:type="gramStart"/>
      <w:r w:rsidRPr="005E7005">
        <w:rPr>
          <w:rFonts w:ascii="Arial" w:hAnsi="Arial" w:cs="Arial"/>
          <w:sz w:val="20"/>
          <w:szCs w:val="20"/>
        </w:rPr>
        <w:t>tethys</w:t>
      </w:r>
      <w:proofErr w:type="spellEnd"/>
      <w:proofErr w:type="gramEnd"/>
      <w:r w:rsidRPr="005E7005">
        <w:rPr>
          <w:rFonts w:ascii="Arial" w:hAnsi="Arial" w:cs="Arial"/>
          <w:sz w:val="20"/>
          <w:szCs w:val="20"/>
        </w:rPr>
        <w:t xml:space="preserve"> realm during the </w:t>
      </w:r>
      <w:proofErr w:type="spellStart"/>
      <w:r w:rsidRPr="005E7005">
        <w:rPr>
          <w:rFonts w:ascii="Arial" w:hAnsi="Arial" w:cs="Arial"/>
          <w:sz w:val="20"/>
          <w:szCs w:val="20"/>
        </w:rPr>
        <w:t>mesozoic</w:t>
      </w:r>
      <w:proofErr w:type="spellEnd"/>
      <w:r w:rsidRPr="005E7005">
        <w:rPr>
          <w:rFonts w:ascii="Arial" w:hAnsi="Arial" w:cs="Arial"/>
          <w:sz w:val="20"/>
          <w:szCs w:val="20"/>
        </w:rPr>
        <w:t xml:space="preserve"> and </w:t>
      </w:r>
      <w:proofErr w:type="spellStart"/>
      <w:r w:rsidRPr="005E7005">
        <w:rPr>
          <w:rFonts w:ascii="Arial" w:hAnsi="Arial" w:cs="Arial"/>
          <w:sz w:val="20"/>
          <w:szCs w:val="20"/>
        </w:rPr>
        <w:t>cenozoic</w:t>
      </w:r>
      <w:proofErr w:type="spellEnd"/>
      <w:r w:rsidRPr="005E7005">
        <w:rPr>
          <w:rFonts w:ascii="Arial" w:hAnsi="Arial" w:cs="Arial"/>
          <w:sz w:val="20"/>
          <w:szCs w:val="20"/>
        </w:rPr>
        <w:t xml:space="preserve">: Initial geometry and timing of the inversion processes. Tectonics, 30(3). </w:t>
      </w:r>
    </w:p>
    <w:p w14:paraId="287DE015" w14:textId="77777777" w:rsidR="00971906" w:rsidRDefault="00971906" w:rsidP="00971906">
      <w:pPr>
        <w:spacing w:line="276" w:lineRule="auto"/>
        <w:jc w:val="both"/>
        <w:rPr>
          <w:rFonts w:ascii="Arial" w:hAnsi="Arial" w:cs="Arial"/>
          <w:sz w:val="20"/>
          <w:szCs w:val="20"/>
        </w:rPr>
      </w:pPr>
      <w:r w:rsidRPr="00EE4DAE">
        <w:rPr>
          <w:rFonts w:ascii="Arial" w:hAnsi="Arial" w:cs="Arial"/>
          <w:sz w:val="20"/>
          <w:szCs w:val="20"/>
        </w:rPr>
        <w:t xml:space="preserve">Hellstrom, J., 2006. </w:t>
      </w:r>
      <w:proofErr w:type="spellStart"/>
      <w:r w:rsidRPr="00EE4DAE">
        <w:rPr>
          <w:rFonts w:ascii="Arial" w:hAnsi="Arial" w:cs="Arial"/>
          <w:sz w:val="20"/>
          <w:szCs w:val="20"/>
        </w:rPr>
        <w:t>UeTh</w:t>
      </w:r>
      <w:proofErr w:type="spellEnd"/>
      <w:r w:rsidRPr="00EE4DAE">
        <w:rPr>
          <w:rFonts w:ascii="Arial" w:hAnsi="Arial" w:cs="Arial"/>
          <w:sz w:val="20"/>
          <w:szCs w:val="20"/>
        </w:rPr>
        <w:t xml:space="preserve"> dating of speleothems with high initial 230Th using</w:t>
      </w:r>
      <w:r>
        <w:rPr>
          <w:rFonts w:ascii="Arial" w:hAnsi="Arial" w:cs="Arial"/>
          <w:sz w:val="20"/>
          <w:szCs w:val="20"/>
        </w:rPr>
        <w:t xml:space="preserve"> </w:t>
      </w:r>
      <w:proofErr w:type="spellStart"/>
      <w:r w:rsidRPr="00EE4DAE">
        <w:rPr>
          <w:rFonts w:ascii="Arial" w:hAnsi="Arial" w:cs="Arial"/>
          <w:sz w:val="20"/>
          <w:szCs w:val="20"/>
        </w:rPr>
        <w:t>stratigraphical</w:t>
      </w:r>
      <w:proofErr w:type="spellEnd"/>
      <w:r w:rsidRPr="00EE4DAE">
        <w:rPr>
          <w:rFonts w:ascii="Arial" w:hAnsi="Arial" w:cs="Arial"/>
          <w:sz w:val="20"/>
          <w:szCs w:val="20"/>
        </w:rPr>
        <w:t xml:space="preserve"> constrain</w:t>
      </w:r>
      <w:r>
        <w:rPr>
          <w:rFonts w:ascii="Arial" w:hAnsi="Arial" w:cs="Arial"/>
          <w:sz w:val="20"/>
          <w:szCs w:val="20"/>
        </w:rPr>
        <w:t xml:space="preserve">t. </w:t>
      </w:r>
      <w:proofErr w:type="spellStart"/>
      <w:r>
        <w:rPr>
          <w:rFonts w:ascii="Arial" w:hAnsi="Arial" w:cs="Arial"/>
          <w:sz w:val="20"/>
          <w:szCs w:val="20"/>
        </w:rPr>
        <w:t>Quat</w:t>
      </w:r>
      <w:proofErr w:type="spellEnd"/>
      <w:r>
        <w:rPr>
          <w:rFonts w:ascii="Arial" w:hAnsi="Arial" w:cs="Arial"/>
          <w:sz w:val="20"/>
          <w:szCs w:val="20"/>
        </w:rPr>
        <w:t xml:space="preserve">. </w:t>
      </w:r>
      <w:proofErr w:type="spellStart"/>
      <w:r>
        <w:rPr>
          <w:rFonts w:ascii="Arial" w:hAnsi="Arial" w:cs="Arial"/>
          <w:sz w:val="20"/>
          <w:szCs w:val="20"/>
        </w:rPr>
        <w:t>Geochronol</w:t>
      </w:r>
      <w:proofErr w:type="spellEnd"/>
      <w:r>
        <w:rPr>
          <w:rFonts w:ascii="Arial" w:hAnsi="Arial" w:cs="Arial"/>
          <w:sz w:val="20"/>
          <w:szCs w:val="20"/>
        </w:rPr>
        <w:t>. 1 (4), 289-</w:t>
      </w:r>
      <w:r w:rsidRPr="00EE4DAE">
        <w:rPr>
          <w:rFonts w:ascii="Arial" w:hAnsi="Arial" w:cs="Arial"/>
          <w:sz w:val="20"/>
          <w:szCs w:val="20"/>
        </w:rPr>
        <w:t>295</w:t>
      </w:r>
    </w:p>
    <w:p w14:paraId="08A47000" w14:textId="57641FE4" w:rsidR="00971906" w:rsidRDefault="00971906" w:rsidP="00971906">
      <w:pPr>
        <w:spacing w:line="276" w:lineRule="auto"/>
        <w:jc w:val="both"/>
        <w:rPr>
          <w:rFonts w:ascii="Arial" w:hAnsi="Arial" w:cs="Arial"/>
          <w:sz w:val="20"/>
          <w:szCs w:val="20"/>
          <w:lang w:val="it-IT"/>
        </w:rPr>
      </w:pPr>
      <w:r w:rsidRPr="005E7005">
        <w:rPr>
          <w:rFonts w:ascii="Arial" w:hAnsi="Arial" w:cs="Arial"/>
          <w:sz w:val="20"/>
          <w:szCs w:val="20"/>
        </w:rPr>
        <w:t xml:space="preserve">Hendy, C.H., 1971. The calculation of the effects of different modes of formation on the isotopic composition of speleothems and their applicability as </w:t>
      </w:r>
      <w:proofErr w:type="spellStart"/>
      <w:r w:rsidRPr="005E7005">
        <w:rPr>
          <w:rFonts w:ascii="Arial" w:hAnsi="Arial" w:cs="Arial"/>
          <w:sz w:val="20"/>
          <w:szCs w:val="20"/>
        </w:rPr>
        <w:t>palaeoclimatic</w:t>
      </w:r>
      <w:proofErr w:type="spellEnd"/>
      <w:r w:rsidRPr="005E7005">
        <w:rPr>
          <w:rFonts w:ascii="Arial" w:hAnsi="Arial" w:cs="Arial"/>
          <w:sz w:val="20"/>
          <w:szCs w:val="20"/>
        </w:rPr>
        <w:t xml:space="preserve"> indicators. </w:t>
      </w:r>
      <w:r w:rsidRPr="00971906">
        <w:rPr>
          <w:rFonts w:ascii="Arial" w:hAnsi="Arial" w:cs="Arial"/>
          <w:sz w:val="20"/>
          <w:szCs w:val="20"/>
          <w:lang w:val="it-IT"/>
        </w:rPr>
        <w:t xml:space="preserve">Geochimica et </w:t>
      </w:r>
      <w:proofErr w:type="spellStart"/>
      <w:r w:rsidRPr="00971906">
        <w:rPr>
          <w:rFonts w:ascii="Arial" w:hAnsi="Arial" w:cs="Arial"/>
          <w:sz w:val="20"/>
          <w:szCs w:val="20"/>
          <w:lang w:val="it-IT"/>
        </w:rPr>
        <w:t>Cosmochimica</w:t>
      </w:r>
      <w:proofErr w:type="spellEnd"/>
      <w:r w:rsidRPr="00971906">
        <w:rPr>
          <w:rFonts w:ascii="Arial" w:hAnsi="Arial" w:cs="Arial"/>
          <w:sz w:val="20"/>
          <w:szCs w:val="20"/>
          <w:lang w:val="it-IT"/>
        </w:rPr>
        <w:t xml:space="preserve"> Acta 35, 801–824.</w:t>
      </w:r>
    </w:p>
    <w:p w14:paraId="1E1BE1C4" w14:textId="76214F27" w:rsidR="00971906" w:rsidRDefault="00971906" w:rsidP="00971906">
      <w:pPr>
        <w:autoSpaceDE w:val="0"/>
        <w:autoSpaceDN w:val="0"/>
        <w:adjustRightInd w:val="0"/>
        <w:spacing w:line="240" w:lineRule="auto"/>
        <w:jc w:val="both"/>
        <w:rPr>
          <w:rFonts w:ascii="Arial" w:hAnsi="Arial" w:cs="Arial"/>
          <w:sz w:val="20"/>
          <w:szCs w:val="20"/>
        </w:rPr>
      </w:pPr>
      <w:proofErr w:type="spellStart"/>
      <w:r w:rsidRPr="00B32636">
        <w:rPr>
          <w:rFonts w:ascii="Arial" w:hAnsi="Arial" w:cs="Arial"/>
          <w:sz w:val="20"/>
          <w:szCs w:val="20"/>
          <w:lang w:val="it-IT"/>
        </w:rPr>
        <w:t>Jassim</w:t>
      </w:r>
      <w:proofErr w:type="spellEnd"/>
      <w:r w:rsidRPr="00B32636">
        <w:rPr>
          <w:rFonts w:ascii="Arial" w:hAnsi="Arial" w:cs="Arial"/>
          <w:sz w:val="20"/>
          <w:szCs w:val="20"/>
          <w:lang w:val="it-IT"/>
        </w:rPr>
        <w:t xml:space="preserve">, S. Z., </w:t>
      </w:r>
      <w:proofErr w:type="spellStart"/>
      <w:r w:rsidRPr="00B32636">
        <w:rPr>
          <w:rFonts w:ascii="Arial" w:hAnsi="Arial" w:cs="Arial"/>
          <w:sz w:val="20"/>
          <w:szCs w:val="20"/>
          <w:lang w:val="it-IT"/>
        </w:rPr>
        <w:t>Goff</w:t>
      </w:r>
      <w:proofErr w:type="spellEnd"/>
      <w:r w:rsidRPr="00B32636">
        <w:rPr>
          <w:rFonts w:ascii="Arial" w:hAnsi="Arial" w:cs="Arial"/>
          <w:sz w:val="20"/>
          <w:szCs w:val="20"/>
          <w:lang w:val="it-IT"/>
        </w:rPr>
        <w:t xml:space="preserve">, J. C. (2006). </w:t>
      </w:r>
      <w:r w:rsidRPr="005E7005">
        <w:rPr>
          <w:rFonts w:ascii="Arial" w:hAnsi="Arial" w:cs="Arial"/>
          <w:sz w:val="20"/>
          <w:szCs w:val="20"/>
        </w:rPr>
        <w:t>Geology of Iraq. First ed. (341 pp.). Dolin Prague and Moravian Museum.</w:t>
      </w:r>
    </w:p>
    <w:p w14:paraId="059D2BEA" w14:textId="77777777" w:rsidR="00971906" w:rsidRPr="005E7005" w:rsidRDefault="00971906" w:rsidP="00971906">
      <w:pPr>
        <w:spacing w:line="276" w:lineRule="auto"/>
        <w:jc w:val="both"/>
        <w:rPr>
          <w:rFonts w:ascii="Arial" w:hAnsi="Arial" w:cs="Arial"/>
          <w:sz w:val="20"/>
          <w:szCs w:val="20"/>
        </w:rPr>
      </w:pPr>
      <w:proofErr w:type="spellStart"/>
      <w:r>
        <w:rPr>
          <w:rFonts w:ascii="Arial" w:hAnsi="Arial" w:cs="Arial"/>
          <w:sz w:val="20"/>
          <w:szCs w:val="20"/>
        </w:rPr>
        <w:t>Mouthereau</w:t>
      </w:r>
      <w:proofErr w:type="spellEnd"/>
      <w:r>
        <w:rPr>
          <w:rFonts w:ascii="Arial" w:hAnsi="Arial" w:cs="Arial"/>
          <w:sz w:val="20"/>
          <w:szCs w:val="20"/>
        </w:rPr>
        <w:t xml:space="preserve">, F., Lacombe, O., </w:t>
      </w:r>
      <w:proofErr w:type="spellStart"/>
      <w:r w:rsidRPr="005E7005">
        <w:rPr>
          <w:rFonts w:ascii="Arial" w:hAnsi="Arial" w:cs="Arial"/>
          <w:sz w:val="20"/>
          <w:szCs w:val="20"/>
        </w:rPr>
        <w:t>Vergés</w:t>
      </w:r>
      <w:proofErr w:type="spellEnd"/>
      <w:r w:rsidRPr="005E7005">
        <w:rPr>
          <w:rFonts w:ascii="Arial" w:hAnsi="Arial" w:cs="Arial"/>
          <w:sz w:val="20"/>
          <w:szCs w:val="20"/>
        </w:rPr>
        <w:t xml:space="preserve">, J. (2012). Building the Zagros collisional </w:t>
      </w:r>
      <w:proofErr w:type="spellStart"/>
      <w:r w:rsidRPr="005E7005">
        <w:rPr>
          <w:rFonts w:ascii="Arial" w:hAnsi="Arial" w:cs="Arial"/>
          <w:sz w:val="20"/>
          <w:szCs w:val="20"/>
        </w:rPr>
        <w:t>orogen</w:t>
      </w:r>
      <w:proofErr w:type="spellEnd"/>
      <w:r w:rsidRPr="005E7005">
        <w:rPr>
          <w:rFonts w:ascii="Arial" w:hAnsi="Arial" w:cs="Arial"/>
          <w:sz w:val="20"/>
          <w:szCs w:val="20"/>
        </w:rPr>
        <w:t xml:space="preserve">: Timing, strain distribution and the dynamics of Arabia/Eurasia plate convergence. Tectonophysics, 532-535, 27–60. </w:t>
      </w:r>
    </w:p>
    <w:p w14:paraId="3431BA29" w14:textId="52882AFE" w:rsidR="000A58F9" w:rsidRPr="005E7005" w:rsidRDefault="000A58F9" w:rsidP="007476E9">
      <w:pPr>
        <w:spacing w:line="276" w:lineRule="auto"/>
        <w:jc w:val="both"/>
        <w:rPr>
          <w:rFonts w:ascii="Arial" w:hAnsi="Arial" w:cs="Arial"/>
          <w:sz w:val="20"/>
          <w:szCs w:val="20"/>
        </w:rPr>
      </w:pPr>
      <w:r w:rsidRPr="00971906">
        <w:rPr>
          <w:rFonts w:ascii="Arial" w:hAnsi="Arial" w:cs="Arial"/>
          <w:sz w:val="20"/>
          <w:szCs w:val="20"/>
        </w:rPr>
        <w:t xml:space="preserve">Roberts, N., Eastwood, W. J., </w:t>
      </w:r>
      <w:proofErr w:type="spellStart"/>
      <w:r w:rsidRPr="00971906">
        <w:rPr>
          <w:rFonts w:ascii="Arial" w:hAnsi="Arial" w:cs="Arial"/>
          <w:sz w:val="20"/>
          <w:szCs w:val="20"/>
        </w:rPr>
        <w:t>Kuzucuoğlu</w:t>
      </w:r>
      <w:proofErr w:type="spellEnd"/>
      <w:r w:rsidRPr="00971906">
        <w:rPr>
          <w:rFonts w:ascii="Arial" w:hAnsi="Arial" w:cs="Arial"/>
          <w:sz w:val="20"/>
          <w:szCs w:val="20"/>
        </w:rPr>
        <w:t xml:space="preserve">, C., </w:t>
      </w:r>
      <w:proofErr w:type="spellStart"/>
      <w:r w:rsidRPr="00971906">
        <w:rPr>
          <w:rFonts w:ascii="Arial" w:hAnsi="Arial" w:cs="Arial"/>
          <w:sz w:val="20"/>
          <w:szCs w:val="20"/>
        </w:rPr>
        <w:t>Fiorentino</w:t>
      </w:r>
      <w:proofErr w:type="spellEnd"/>
      <w:r w:rsidRPr="00971906">
        <w:rPr>
          <w:rFonts w:ascii="Arial" w:hAnsi="Arial" w:cs="Arial"/>
          <w:sz w:val="20"/>
          <w:szCs w:val="20"/>
        </w:rPr>
        <w:t xml:space="preserve">, G., &amp; </w:t>
      </w:r>
      <w:proofErr w:type="spellStart"/>
      <w:r w:rsidRPr="00971906">
        <w:rPr>
          <w:rFonts w:ascii="Arial" w:hAnsi="Arial" w:cs="Arial"/>
          <w:sz w:val="20"/>
          <w:szCs w:val="20"/>
        </w:rPr>
        <w:t>Caracuta</w:t>
      </w:r>
      <w:proofErr w:type="spellEnd"/>
      <w:r w:rsidRPr="00971906">
        <w:rPr>
          <w:rFonts w:ascii="Arial" w:hAnsi="Arial" w:cs="Arial"/>
          <w:sz w:val="20"/>
          <w:szCs w:val="20"/>
        </w:rPr>
        <w:t xml:space="preserve">, V. (2011). </w:t>
      </w:r>
      <w:r w:rsidRPr="005E7005">
        <w:rPr>
          <w:rFonts w:ascii="Arial" w:hAnsi="Arial" w:cs="Arial"/>
          <w:sz w:val="20"/>
          <w:szCs w:val="20"/>
        </w:rPr>
        <w:t>Climatic, vegetation and cultural change in the eastern Mediterranean during the mid-Holocene environmental transition. The Holocene, 21(1), 147-162.</w:t>
      </w:r>
    </w:p>
    <w:p w14:paraId="14F09462" w14:textId="7D0037D7" w:rsidR="000A58F9" w:rsidRPr="00CB2736" w:rsidRDefault="000A58F9" w:rsidP="000A58F9">
      <w:pPr>
        <w:spacing w:line="276" w:lineRule="auto"/>
        <w:jc w:val="both"/>
        <w:rPr>
          <w:rFonts w:ascii="Arial" w:hAnsi="Arial" w:cs="Arial"/>
          <w:sz w:val="20"/>
          <w:szCs w:val="20"/>
          <w:lang w:val="it-IT"/>
        </w:rPr>
      </w:pPr>
      <w:r w:rsidRPr="005E7005">
        <w:rPr>
          <w:rFonts w:ascii="Arial" w:hAnsi="Arial" w:cs="Arial"/>
          <w:sz w:val="20"/>
          <w:szCs w:val="20"/>
        </w:rPr>
        <w:t xml:space="preserve">Hendy, C.H., 1971. The calculation of the effects of different modes of formation on the isotopic composition of speleothems and their applicability as </w:t>
      </w:r>
      <w:proofErr w:type="spellStart"/>
      <w:r w:rsidRPr="005E7005">
        <w:rPr>
          <w:rFonts w:ascii="Arial" w:hAnsi="Arial" w:cs="Arial"/>
          <w:sz w:val="20"/>
          <w:szCs w:val="20"/>
        </w:rPr>
        <w:t>palaeoclimatic</w:t>
      </w:r>
      <w:proofErr w:type="spellEnd"/>
      <w:r w:rsidRPr="005E7005">
        <w:rPr>
          <w:rFonts w:ascii="Arial" w:hAnsi="Arial" w:cs="Arial"/>
          <w:sz w:val="20"/>
          <w:szCs w:val="20"/>
        </w:rPr>
        <w:t xml:space="preserve"> indicators. </w:t>
      </w:r>
      <w:r w:rsidRPr="00CB2736">
        <w:rPr>
          <w:rFonts w:ascii="Arial" w:hAnsi="Arial" w:cs="Arial"/>
          <w:sz w:val="20"/>
          <w:szCs w:val="20"/>
          <w:lang w:val="it-IT"/>
        </w:rPr>
        <w:t xml:space="preserve">Geochimica and </w:t>
      </w:r>
      <w:proofErr w:type="spellStart"/>
      <w:r w:rsidRPr="00CB2736">
        <w:rPr>
          <w:rFonts w:ascii="Arial" w:hAnsi="Arial" w:cs="Arial"/>
          <w:sz w:val="20"/>
          <w:szCs w:val="20"/>
          <w:lang w:val="it-IT"/>
        </w:rPr>
        <w:t>Cosmochimica</w:t>
      </w:r>
      <w:proofErr w:type="spellEnd"/>
      <w:r w:rsidRPr="00CB2736">
        <w:rPr>
          <w:rFonts w:ascii="Arial" w:hAnsi="Arial" w:cs="Arial"/>
          <w:sz w:val="20"/>
          <w:szCs w:val="20"/>
          <w:lang w:val="it-IT"/>
        </w:rPr>
        <w:t xml:space="preserve"> Acta 35, 801e824.</w:t>
      </w:r>
    </w:p>
    <w:p w14:paraId="06713CE6" w14:textId="6CF47BBC" w:rsidR="000A58F9" w:rsidRDefault="000A58F9" w:rsidP="000A58F9">
      <w:pPr>
        <w:jc w:val="both"/>
        <w:rPr>
          <w:rFonts w:ascii="Arial" w:hAnsi="Arial" w:cs="Arial"/>
          <w:sz w:val="20"/>
          <w:szCs w:val="20"/>
        </w:rPr>
      </w:pPr>
      <w:r w:rsidRPr="005E7005">
        <w:rPr>
          <w:rFonts w:ascii="Arial" w:hAnsi="Arial" w:cs="Arial"/>
          <w:sz w:val="20"/>
          <w:szCs w:val="20"/>
          <w:lang w:val="it-IT"/>
        </w:rPr>
        <w:t xml:space="preserve">Regattieri, E., Querci, S., Zanchetta, G., Zanella, E., Isola, I., Drysdale, R. N., Hellstrom, J.C., Magrì, F. 2021. </w:t>
      </w:r>
      <w:r w:rsidRPr="005E7005">
        <w:rPr>
          <w:rFonts w:ascii="Arial" w:hAnsi="Arial" w:cs="Arial"/>
          <w:sz w:val="20"/>
          <w:szCs w:val="20"/>
        </w:rPr>
        <w:t xml:space="preserve">Interstadial conditions over the Southern Alps during the early penultimate glacial (MIS 6): a </w:t>
      </w:r>
      <w:proofErr w:type="spellStart"/>
      <w:r w:rsidRPr="005E7005">
        <w:rPr>
          <w:rFonts w:ascii="Arial" w:hAnsi="Arial" w:cs="Arial"/>
          <w:sz w:val="20"/>
          <w:szCs w:val="20"/>
        </w:rPr>
        <w:t>multiproxy</w:t>
      </w:r>
      <w:proofErr w:type="spellEnd"/>
      <w:r w:rsidRPr="005E7005">
        <w:rPr>
          <w:rFonts w:ascii="Arial" w:hAnsi="Arial" w:cs="Arial"/>
          <w:sz w:val="20"/>
          <w:szCs w:val="20"/>
        </w:rPr>
        <w:t xml:space="preserve"> record from Rio Martino Cave (Italy). Quaternary Science Reviews, 257, 106856.</w:t>
      </w:r>
    </w:p>
    <w:p w14:paraId="65FBC843" w14:textId="77777777" w:rsidR="00971906" w:rsidRPr="005E7005" w:rsidRDefault="00971906" w:rsidP="00971906">
      <w:pPr>
        <w:jc w:val="both"/>
        <w:rPr>
          <w:rFonts w:ascii="Arial" w:hAnsi="Arial" w:cs="Arial"/>
          <w:sz w:val="20"/>
          <w:szCs w:val="20"/>
        </w:rPr>
      </w:pPr>
      <w:r w:rsidRPr="00B32636">
        <w:rPr>
          <w:rFonts w:ascii="Arial" w:hAnsi="Arial" w:cs="Arial"/>
          <w:sz w:val="20"/>
          <w:szCs w:val="20"/>
        </w:rPr>
        <w:t xml:space="preserve">Regattieri E., Zanchetta G., Drysdale R., Isola I., Hellstrom J., Dallai, L. 2014. </w:t>
      </w:r>
      <w:proofErr w:type="spellStart"/>
      <w:r w:rsidRPr="005E7005">
        <w:rPr>
          <w:rFonts w:ascii="Arial" w:hAnsi="Arial" w:cs="Arial"/>
          <w:sz w:val="20"/>
          <w:szCs w:val="20"/>
        </w:rPr>
        <w:t>Lateglacial</w:t>
      </w:r>
      <w:proofErr w:type="spellEnd"/>
      <w:r w:rsidRPr="005E7005">
        <w:rPr>
          <w:rFonts w:ascii="Arial" w:hAnsi="Arial" w:cs="Arial"/>
          <w:sz w:val="20"/>
          <w:szCs w:val="20"/>
        </w:rPr>
        <w:t xml:space="preserve"> to Holocene trace element record (Ba, Mg, </w:t>
      </w:r>
      <w:proofErr w:type="spellStart"/>
      <w:r w:rsidRPr="005E7005">
        <w:rPr>
          <w:rFonts w:ascii="Arial" w:hAnsi="Arial" w:cs="Arial"/>
          <w:sz w:val="20"/>
          <w:szCs w:val="20"/>
        </w:rPr>
        <w:t>Sr</w:t>
      </w:r>
      <w:proofErr w:type="spellEnd"/>
      <w:r w:rsidRPr="005E7005">
        <w:rPr>
          <w:rFonts w:ascii="Arial" w:hAnsi="Arial" w:cs="Arial"/>
          <w:sz w:val="20"/>
          <w:szCs w:val="20"/>
        </w:rPr>
        <w:t xml:space="preserve">) from </w:t>
      </w:r>
      <w:proofErr w:type="spellStart"/>
      <w:r w:rsidRPr="005E7005">
        <w:rPr>
          <w:rFonts w:ascii="Arial" w:hAnsi="Arial" w:cs="Arial"/>
          <w:sz w:val="20"/>
          <w:szCs w:val="20"/>
        </w:rPr>
        <w:t>Corchia</w:t>
      </w:r>
      <w:proofErr w:type="spellEnd"/>
      <w:r w:rsidRPr="005E7005">
        <w:rPr>
          <w:rFonts w:ascii="Arial" w:hAnsi="Arial" w:cs="Arial"/>
          <w:sz w:val="20"/>
          <w:szCs w:val="20"/>
        </w:rPr>
        <w:t xml:space="preserve"> Cave (</w:t>
      </w:r>
      <w:proofErr w:type="spellStart"/>
      <w:r w:rsidRPr="005E7005">
        <w:rPr>
          <w:rFonts w:ascii="Arial" w:hAnsi="Arial" w:cs="Arial"/>
          <w:sz w:val="20"/>
          <w:szCs w:val="20"/>
        </w:rPr>
        <w:t>Apuan</w:t>
      </w:r>
      <w:proofErr w:type="spellEnd"/>
      <w:r w:rsidRPr="005E7005">
        <w:rPr>
          <w:rFonts w:ascii="Arial" w:hAnsi="Arial" w:cs="Arial"/>
          <w:sz w:val="20"/>
          <w:szCs w:val="20"/>
        </w:rPr>
        <w:t xml:space="preserve"> Alps, central Italy): </w:t>
      </w:r>
      <w:proofErr w:type="spellStart"/>
      <w:r w:rsidRPr="005E7005">
        <w:rPr>
          <w:rFonts w:ascii="Arial" w:hAnsi="Arial" w:cs="Arial"/>
          <w:sz w:val="20"/>
          <w:szCs w:val="20"/>
        </w:rPr>
        <w:t>paleoenvironmental</w:t>
      </w:r>
      <w:proofErr w:type="spellEnd"/>
      <w:r w:rsidRPr="005E7005">
        <w:rPr>
          <w:rFonts w:ascii="Arial" w:hAnsi="Arial" w:cs="Arial"/>
          <w:sz w:val="20"/>
          <w:szCs w:val="20"/>
        </w:rPr>
        <w:t xml:space="preserve"> implications. Journal of Quaternary Science, 29(4), 381-392. </w:t>
      </w:r>
    </w:p>
    <w:p w14:paraId="69BDC8F2" w14:textId="03C3C406" w:rsidR="000A58F9" w:rsidRPr="005E7005" w:rsidRDefault="000A58F9" w:rsidP="000A58F9">
      <w:pPr>
        <w:jc w:val="both"/>
        <w:rPr>
          <w:rFonts w:ascii="Arial" w:hAnsi="Arial" w:cs="Arial"/>
          <w:sz w:val="20"/>
          <w:szCs w:val="20"/>
        </w:rPr>
      </w:pPr>
      <w:r w:rsidRPr="005E7005">
        <w:rPr>
          <w:rFonts w:ascii="Arial" w:hAnsi="Arial" w:cs="Arial"/>
          <w:sz w:val="20"/>
          <w:szCs w:val="20"/>
        </w:rPr>
        <w:t xml:space="preserve">Roberts, N., Eastwood, W. J., </w:t>
      </w:r>
      <w:proofErr w:type="spellStart"/>
      <w:r w:rsidRPr="005E7005">
        <w:rPr>
          <w:rFonts w:ascii="Arial" w:hAnsi="Arial" w:cs="Arial"/>
          <w:sz w:val="20"/>
          <w:szCs w:val="20"/>
        </w:rPr>
        <w:t>Kuzucuoğlu</w:t>
      </w:r>
      <w:proofErr w:type="spellEnd"/>
      <w:r w:rsidRPr="005E7005">
        <w:rPr>
          <w:rFonts w:ascii="Arial" w:hAnsi="Arial" w:cs="Arial"/>
          <w:sz w:val="20"/>
          <w:szCs w:val="20"/>
        </w:rPr>
        <w:t xml:space="preserve">, C., </w:t>
      </w:r>
      <w:proofErr w:type="spellStart"/>
      <w:r w:rsidRPr="005E7005">
        <w:rPr>
          <w:rFonts w:ascii="Arial" w:hAnsi="Arial" w:cs="Arial"/>
          <w:sz w:val="20"/>
          <w:szCs w:val="20"/>
        </w:rPr>
        <w:t>Fiorentino</w:t>
      </w:r>
      <w:proofErr w:type="spellEnd"/>
      <w:r w:rsidRPr="005E7005">
        <w:rPr>
          <w:rFonts w:ascii="Arial" w:hAnsi="Arial" w:cs="Arial"/>
          <w:sz w:val="20"/>
          <w:szCs w:val="20"/>
        </w:rPr>
        <w:t xml:space="preserve">, G., &amp; </w:t>
      </w:r>
      <w:proofErr w:type="spellStart"/>
      <w:r w:rsidRPr="005E7005">
        <w:rPr>
          <w:rFonts w:ascii="Arial" w:hAnsi="Arial" w:cs="Arial"/>
          <w:sz w:val="20"/>
          <w:szCs w:val="20"/>
        </w:rPr>
        <w:t>Caracuta</w:t>
      </w:r>
      <w:proofErr w:type="spellEnd"/>
      <w:r w:rsidRPr="005E7005">
        <w:rPr>
          <w:rFonts w:ascii="Arial" w:hAnsi="Arial" w:cs="Arial"/>
          <w:sz w:val="20"/>
          <w:szCs w:val="20"/>
        </w:rPr>
        <w:t>, V. (2011). Climatic, vegetation and cultural change in the eastern Mediterranean during the mid-Holocene environmental transition. The Holocene, 21(1), 147-162.</w:t>
      </w:r>
    </w:p>
    <w:p w14:paraId="12616C38" w14:textId="3E698A01" w:rsidR="000A58F9" w:rsidRPr="005E7005" w:rsidRDefault="000A58F9" w:rsidP="00F92255">
      <w:pPr>
        <w:spacing w:line="276" w:lineRule="auto"/>
        <w:jc w:val="both"/>
        <w:rPr>
          <w:rFonts w:ascii="Arial" w:hAnsi="Arial" w:cs="Arial"/>
          <w:sz w:val="20"/>
          <w:szCs w:val="20"/>
        </w:rPr>
      </w:pPr>
      <w:r w:rsidRPr="005E7005">
        <w:rPr>
          <w:rFonts w:ascii="Arial" w:hAnsi="Arial" w:cs="Arial"/>
          <w:sz w:val="20"/>
          <w:szCs w:val="20"/>
        </w:rPr>
        <w:t xml:space="preserve">Roberts N (2002) </w:t>
      </w:r>
      <w:proofErr w:type="gramStart"/>
      <w:r w:rsidRPr="005E7005">
        <w:rPr>
          <w:rFonts w:ascii="Arial" w:hAnsi="Arial" w:cs="Arial"/>
          <w:sz w:val="20"/>
          <w:szCs w:val="20"/>
        </w:rPr>
        <w:t>Did</w:t>
      </w:r>
      <w:proofErr w:type="gramEnd"/>
      <w:r w:rsidRPr="005E7005">
        <w:rPr>
          <w:rFonts w:ascii="Arial" w:hAnsi="Arial" w:cs="Arial"/>
          <w:sz w:val="20"/>
          <w:szCs w:val="20"/>
        </w:rPr>
        <w:t xml:space="preserve"> prehistoric landscape management retard the post-glacial spread of woodland in Southwest Asia? Antiquity 76: 1002–1010.</w:t>
      </w:r>
    </w:p>
    <w:p w14:paraId="71E02160" w14:textId="45A7D3B4" w:rsidR="000A58F9" w:rsidRDefault="000A58F9" w:rsidP="000A58F9">
      <w:pPr>
        <w:spacing w:line="276" w:lineRule="auto"/>
        <w:jc w:val="both"/>
        <w:rPr>
          <w:rFonts w:ascii="Arial" w:hAnsi="Arial" w:cs="Arial"/>
          <w:sz w:val="20"/>
          <w:szCs w:val="20"/>
        </w:rPr>
      </w:pPr>
      <w:proofErr w:type="spellStart"/>
      <w:r w:rsidRPr="005E7005">
        <w:rPr>
          <w:rFonts w:ascii="Arial" w:hAnsi="Arial" w:cs="Arial"/>
          <w:sz w:val="20"/>
          <w:szCs w:val="20"/>
        </w:rPr>
        <w:t>Rudzka</w:t>
      </w:r>
      <w:proofErr w:type="spellEnd"/>
      <w:r w:rsidRPr="005E7005">
        <w:rPr>
          <w:rFonts w:ascii="Arial" w:hAnsi="Arial" w:cs="Arial"/>
          <w:sz w:val="20"/>
          <w:szCs w:val="20"/>
        </w:rPr>
        <w:t xml:space="preserve">, D., McDermott, F., </w:t>
      </w:r>
      <w:proofErr w:type="spellStart"/>
      <w:r w:rsidRPr="005E7005">
        <w:rPr>
          <w:rFonts w:ascii="Arial" w:hAnsi="Arial" w:cs="Arial"/>
          <w:sz w:val="20"/>
          <w:szCs w:val="20"/>
        </w:rPr>
        <w:t>Baldini</w:t>
      </w:r>
      <w:proofErr w:type="spellEnd"/>
      <w:r w:rsidRPr="005E7005">
        <w:rPr>
          <w:rFonts w:ascii="Arial" w:hAnsi="Arial" w:cs="Arial"/>
          <w:sz w:val="20"/>
          <w:szCs w:val="20"/>
        </w:rPr>
        <w:t xml:space="preserve">, L.M., </w:t>
      </w:r>
      <w:proofErr w:type="spellStart"/>
      <w:r w:rsidRPr="005E7005">
        <w:rPr>
          <w:rFonts w:ascii="Arial" w:hAnsi="Arial" w:cs="Arial"/>
          <w:sz w:val="20"/>
          <w:szCs w:val="20"/>
        </w:rPr>
        <w:t>Fleitmann</w:t>
      </w:r>
      <w:proofErr w:type="spellEnd"/>
      <w:r w:rsidRPr="005E7005">
        <w:rPr>
          <w:rFonts w:ascii="Arial" w:hAnsi="Arial" w:cs="Arial"/>
          <w:sz w:val="20"/>
          <w:szCs w:val="20"/>
        </w:rPr>
        <w:t>, D., Moreno, A., Stoll, H., 2011. The coupled d13C-radiocarbon systematics of three Late Glacial/early Holocene speleothems; insights into soil and cave processes at climatic transitions.</w:t>
      </w:r>
    </w:p>
    <w:p w14:paraId="68F1BE01" w14:textId="77777777" w:rsidR="00971906" w:rsidRPr="005E7005" w:rsidRDefault="00971906" w:rsidP="00971906">
      <w:pPr>
        <w:autoSpaceDE w:val="0"/>
        <w:autoSpaceDN w:val="0"/>
        <w:adjustRightInd w:val="0"/>
        <w:spacing w:line="240" w:lineRule="auto"/>
        <w:jc w:val="both"/>
        <w:rPr>
          <w:rFonts w:ascii="Arial" w:hAnsi="Arial" w:cs="Arial"/>
          <w:sz w:val="20"/>
          <w:szCs w:val="20"/>
        </w:rPr>
      </w:pPr>
      <w:proofErr w:type="spellStart"/>
      <w:r w:rsidRPr="005E7005">
        <w:rPr>
          <w:rFonts w:ascii="Arial" w:hAnsi="Arial" w:cs="Arial"/>
          <w:sz w:val="20"/>
          <w:szCs w:val="20"/>
        </w:rPr>
        <w:t>Sissakian</w:t>
      </w:r>
      <w:proofErr w:type="spellEnd"/>
      <w:r w:rsidRPr="005E7005">
        <w:rPr>
          <w:rFonts w:ascii="Arial" w:hAnsi="Arial" w:cs="Arial"/>
          <w:sz w:val="20"/>
          <w:szCs w:val="20"/>
        </w:rPr>
        <w:t xml:space="preserve">, V. K. (2014). Geological Map of </w:t>
      </w:r>
      <w:proofErr w:type="spellStart"/>
      <w:r w:rsidRPr="005E7005">
        <w:rPr>
          <w:rFonts w:ascii="Arial" w:hAnsi="Arial" w:cs="Arial"/>
          <w:sz w:val="20"/>
          <w:szCs w:val="20"/>
        </w:rPr>
        <w:t>Arbeel</w:t>
      </w:r>
      <w:proofErr w:type="spellEnd"/>
      <w:r w:rsidRPr="005E7005">
        <w:rPr>
          <w:rFonts w:ascii="Arial" w:hAnsi="Arial" w:cs="Arial"/>
          <w:sz w:val="20"/>
          <w:szCs w:val="20"/>
        </w:rPr>
        <w:t xml:space="preserve"> and </w:t>
      </w:r>
      <w:proofErr w:type="spellStart"/>
      <w:r w:rsidRPr="005E7005">
        <w:rPr>
          <w:rFonts w:ascii="Arial" w:hAnsi="Arial" w:cs="Arial"/>
          <w:sz w:val="20"/>
          <w:szCs w:val="20"/>
        </w:rPr>
        <w:t>Mahabad</w:t>
      </w:r>
      <w:proofErr w:type="spellEnd"/>
      <w:r w:rsidRPr="005E7005">
        <w:rPr>
          <w:rFonts w:ascii="Arial" w:hAnsi="Arial" w:cs="Arial"/>
          <w:sz w:val="20"/>
          <w:szCs w:val="20"/>
        </w:rPr>
        <w:t xml:space="preserve"> Quadrangles Sheets NJ-38-14 and NJ-38-15, Scale 1 V 250:000</w:t>
      </w:r>
    </w:p>
    <w:p w14:paraId="1D13259A" w14:textId="77777777" w:rsidR="00971906" w:rsidRPr="005E7005" w:rsidRDefault="00971906" w:rsidP="00971906">
      <w:pPr>
        <w:autoSpaceDE w:val="0"/>
        <w:autoSpaceDN w:val="0"/>
        <w:adjustRightInd w:val="0"/>
        <w:spacing w:line="240" w:lineRule="auto"/>
        <w:jc w:val="both"/>
        <w:rPr>
          <w:rFonts w:ascii="Arial" w:hAnsi="Arial" w:cs="Arial"/>
          <w:sz w:val="20"/>
          <w:szCs w:val="20"/>
          <w:lang w:val="it-IT"/>
        </w:rPr>
      </w:pPr>
      <w:proofErr w:type="spellStart"/>
      <w:r w:rsidRPr="005E7005">
        <w:rPr>
          <w:rFonts w:ascii="Arial" w:hAnsi="Arial" w:cs="Arial"/>
          <w:sz w:val="20"/>
          <w:szCs w:val="20"/>
          <w:lang w:val="it-IT"/>
        </w:rPr>
        <w:t>Vergés</w:t>
      </w:r>
      <w:proofErr w:type="spellEnd"/>
      <w:r w:rsidRPr="005E7005">
        <w:rPr>
          <w:rFonts w:ascii="Arial" w:hAnsi="Arial" w:cs="Arial"/>
          <w:sz w:val="20"/>
          <w:szCs w:val="20"/>
          <w:lang w:val="it-IT"/>
        </w:rPr>
        <w:t xml:space="preserve">, J., Saura, E., Casciello, E., Fernandez, M., </w:t>
      </w:r>
      <w:proofErr w:type="spellStart"/>
      <w:r w:rsidRPr="005E7005">
        <w:rPr>
          <w:rFonts w:ascii="Arial" w:hAnsi="Arial" w:cs="Arial"/>
          <w:sz w:val="20"/>
          <w:szCs w:val="20"/>
          <w:lang w:val="it-IT"/>
        </w:rPr>
        <w:t>Villasenor</w:t>
      </w:r>
      <w:proofErr w:type="spellEnd"/>
      <w:r w:rsidRPr="005E7005">
        <w:rPr>
          <w:rFonts w:ascii="Arial" w:hAnsi="Arial" w:cs="Arial"/>
          <w:sz w:val="20"/>
          <w:szCs w:val="20"/>
          <w:lang w:val="it-IT"/>
        </w:rPr>
        <w:t>, A., Jimenez-Mount, I., Garcia-</w:t>
      </w:r>
      <w:proofErr w:type="spellStart"/>
      <w:r w:rsidRPr="005E7005">
        <w:rPr>
          <w:rFonts w:ascii="Arial" w:hAnsi="Arial" w:cs="Arial"/>
          <w:sz w:val="20"/>
          <w:szCs w:val="20"/>
          <w:lang w:val="it-IT"/>
        </w:rPr>
        <w:t>Castellanos</w:t>
      </w:r>
      <w:proofErr w:type="spellEnd"/>
      <w:r w:rsidRPr="005E7005">
        <w:rPr>
          <w:rFonts w:ascii="Arial" w:hAnsi="Arial" w:cs="Arial"/>
          <w:sz w:val="20"/>
          <w:szCs w:val="20"/>
          <w:lang w:val="it-IT"/>
        </w:rPr>
        <w:t>, D. (2011).</w:t>
      </w:r>
      <w:r>
        <w:rPr>
          <w:rFonts w:ascii="Arial" w:hAnsi="Arial" w:cs="Arial"/>
          <w:sz w:val="20"/>
          <w:szCs w:val="20"/>
          <w:lang w:val="it-IT"/>
        </w:rPr>
        <w:t xml:space="preserve"> </w:t>
      </w:r>
      <w:r w:rsidRPr="005E7005">
        <w:rPr>
          <w:rFonts w:ascii="Arial" w:hAnsi="Arial" w:cs="Arial"/>
          <w:sz w:val="20"/>
          <w:szCs w:val="20"/>
        </w:rPr>
        <w:t xml:space="preserve">Crustal-scale cross-sections across the NW Zagros belt: Implications for the Arabian margin reconstruction. </w:t>
      </w:r>
      <w:proofErr w:type="spellStart"/>
      <w:r w:rsidRPr="005E7005">
        <w:rPr>
          <w:rFonts w:ascii="Arial" w:hAnsi="Arial" w:cs="Arial"/>
          <w:sz w:val="20"/>
          <w:szCs w:val="20"/>
          <w:lang w:val="it-IT"/>
        </w:rPr>
        <w:t>Geological</w:t>
      </w:r>
      <w:proofErr w:type="spellEnd"/>
      <w:r w:rsidRPr="005E7005">
        <w:rPr>
          <w:rFonts w:ascii="Arial" w:hAnsi="Arial" w:cs="Arial"/>
          <w:sz w:val="20"/>
          <w:szCs w:val="20"/>
          <w:lang w:val="it-IT"/>
        </w:rPr>
        <w:t xml:space="preserve"> Magazine, 148(5-6), 739–761</w:t>
      </w:r>
    </w:p>
    <w:p w14:paraId="5D5239D6" w14:textId="77777777" w:rsidR="00971906" w:rsidRPr="00971906" w:rsidRDefault="00971906" w:rsidP="00971906">
      <w:pPr>
        <w:autoSpaceDE w:val="0"/>
        <w:autoSpaceDN w:val="0"/>
        <w:adjustRightInd w:val="0"/>
        <w:spacing w:line="240" w:lineRule="auto"/>
        <w:jc w:val="both"/>
        <w:rPr>
          <w:rFonts w:ascii="Arial" w:hAnsi="Arial" w:cs="Arial"/>
          <w:sz w:val="20"/>
          <w:szCs w:val="20"/>
        </w:rPr>
      </w:pPr>
      <w:r w:rsidRPr="00971906">
        <w:rPr>
          <w:rFonts w:ascii="Arial" w:hAnsi="Arial" w:cs="Arial"/>
          <w:sz w:val="20"/>
          <w:szCs w:val="20"/>
          <w:lang w:val="it-IT"/>
        </w:rPr>
        <w:t xml:space="preserve">Zebari, M., </w:t>
      </w:r>
      <w:proofErr w:type="spellStart"/>
      <w:r w:rsidRPr="00971906">
        <w:rPr>
          <w:rFonts w:ascii="Arial" w:hAnsi="Arial" w:cs="Arial"/>
          <w:sz w:val="20"/>
          <w:szCs w:val="20"/>
          <w:lang w:val="it-IT"/>
        </w:rPr>
        <w:t>Grützner</w:t>
      </w:r>
      <w:proofErr w:type="spellEnd"/>
      <w:r w:rsidRPr="00971906">
        <w:rPr>
          <w:rFonts w:ascii="Arial" w:hAnsi="Arial" w:cs="Arial"/>
          <w:sz w:val="20"/>
          <w:szCs w:val="20"/>
          <w:lang w:val="it-IT"/>
        </w:rPr>
        <w:t xml:space="preserve">, C., </w:t>
      </w:r>
      <w:proofErr w:type="spellStart"/>
      <w:r w:rsidRPr="00971906">
        <w:rPr>
          <w:rFonts w:ascii="Arial" w:hAnsi="Arial" w:cs="Arial"/>
          <w:sz w:val="20"/>
          <w:szCs w:val="20"/>
          <w:lang w:val="it-IT"/>
        </w:rPr>
        <w:t>Navabpour</w:t>
      </w:r>
      <w:proofErr w:type="spellEnd"/>
      <w:r w:rsidRPr="00971906">
        <w:rPr>
          <w:rFonts w:ascii="Arial" w:hAnsi="Arial" w:cs="Arial"/>
          <w:sz w:val="20"/>
          <w:szCs w:val="20"/>
          <w:lang w:val="it-IT"/>
        </w:rPr>
        <w:t xml:space="preserve">, P., </w:t>
      </w:r>
      <w:proofErr w:type="spellStart"/>
      <w:r w:rsidRPr="00971906">
        <w:rPr>
          <w:rFonts w:ascii="Arial" w:hAnsi="Arial" w:cs="Arial"/>
          <w:sz w:val="20"/>
          <w:szCs w:val="20"/>
          <w:lang w:val="it-IT"/>
        </w:rPr>
        <w:t>Ustaszewski</w:t>
      </w:r>
      <w:proofErr w:type="spellEnd"/>
      <w:r w:rsidRPr="00971906">
        <w:rPr>
          <w:rFonts w:ascii="Arial" w:hAnsi="Arial" w:cs="Arial"/>
          <w:sz w:val="20"/>
          <w:szCs w:val="20"/>
          <w:lang w:val="it-IT"/>
        </w:rPr>
        <w:t xml:space="preserve">, K. (2019). </w:t>
      </w:r>
      <w:r w:rsidRPr="005E7005">
        <w:rPr>
          <w:rFonts w:ascii="Arial" w:hAnsi="Arial" w:cs="Arial"/>
          <w:sz w:val="20"/>
          <w:szCs w:val="20"/>
        </w:rPr>
        <w:t xml:space="preserve">Relative timing of uplift along the Zagros Mountain front flexure (Kurdistan region of Iraq): constrained by geomorphic indices and landscape evolution </w:t>
      </w:r>
      <w:proofErr w:type="spellStart"/>
      <w:r w:rsidRPr="005E7005">
        <w:rPr>
          <w:rFonts w:ascii="Arial" w:hAnsi="Arial" w:cs="Arial"/>
          <w:sz w:val="20"/>
          <w:szCs w:val="20"/>
        </w:rPr>
        <w:t>modeling</w:t>
      </w:r>
      <w:proofErr w:type="spellEnd"/>
      <w:r w:rsidRPr="005E7005">
        <w:rPr>
          <w:rFonts w:ascii="Arial" w:hAnsi="Arial" w:cs="Arial"/>
          <w:sz w:val="20"/>
          <w:szCs w:val="20"/>
        </w:rPr>
        <w:t xml:space="preserve">. Solid Earth, 10(3), 663–682. </w:t>
      </w:r>
    </w:p>
    <w:p w14:paraId="46DA8858" w14:textId="4019F716" w:rsidR="007B6F6C" w:rsidRPr="00546141" w:rsidRDefault="000A58F9" w:rsidP="007B6F6C">
      <w:pPr>
        <w:spacing w:line="276" w:lineRule="auto"/>
        <w:jc w:val="both"/>
        <w:rPr>
          <w:rFonts w:ascii="Arial" w:hAnsi="Arial" w:cs="Arial"/>
          <w:sz w:val="20"/>
          <w:szCs w:val="20"/>
        </w:rPr>
      </w:pPr>
      <w:proofErr w:type="spellStart"/>
      <w:r w:rsidRPr="005E7005">
        <w:rPr>
          <w:rFonts w:ascii="Arial" w:hAnsi="Arial" w:cs="Arial"/>
          <w:sz w:val="20"/>
          <w:szCs w:val="20"/>
        </w:rPr>
        <w:t>Zohary</w:t>
      </w:r>
      <w:proofErr w:type="spellEnd"/>
      <w:r w:rsidRPr="005E7005">
        <w:rPr>
          <w:rFonts w:ascii="Arial" w:hAnsi="Arial" w:cs="Arial"/>
          <w:sz w:val="20"/>
          <w:szCs w:val="20"/>
        </w:rPr>
        <w:t xml:space="preserve"> M (1973) </w:t>
      </w:r>
      <w:proofErr w:type="spellStart"/>
      <w:r w:rsidRPr="005E7005">
        <w:rPr>
          <w:rFonts w:ascii="Arial" w:hAnsi="Arial" w:cs="Arial"/>
          <w:sz w:val="20"/>
          <w:szCs w:val="20"/>
        </w:rPr>
        <w:t>Geobotanical</w:t>
      </w:r>
      <w:proofErr w:type="spellEnd"/>
      <w:r w:rsidRPr="005E7005">
        <w:rPr>
          <w:rFonts w:ascii="Arial" w:hAnsi="Arial" w:cs="Arial"/>
          <w:sz w:val="20"/>
          <w:szCs w:val="20"/>
        </w:rPr>
        <w:t xml:space="preserve"> Foundations of the Middle East. </w:t>
      </w:r>
      <w:proofErr w:type="gramStart"/>
      <w:r w:rsidRPr="005E7005">
        <w:rPr>
          <w:rFonts w:ascii="Arial" w:hAnsi="Arial" w:cs="Arial"/>
          <w:sz w:val="20"/>
          <w:szCs w:val="20"/>
        </w:rPr>
        <w:t>2</w:t>
      </w:r>
      <w:proofErr w:type="gramEnd"/>
      <w:r w:rsidRPr="005E7005">
        <w:rPr>
          <w:rFonts w:ascii="Arial" w:hAnsi="Arial" w:cs="Arial"/>
          <w:sz w:val="20"/>
          <w:szCs w:val="20"/>
        </w:rPr>
        <w:t xml:space="preserve"> volumes. Gustav Fischer </w:t>
      </w:r>
      <w:proofErr w:type="spellStart"/>
      <w:r w:rsidRPr="005E7005">
        <w:rPr>
          <w:rFonts w:ascii="Arial" w:hAnsi="Arial" w:cs="Arial"/>
          <w:sz w:val="20"/>
          <w:szCs w:val="20"/>
        </w:rPr>
        <w:t>Verlag</w:t>
      </w:r>
      <w:proofErr w:type="spellEnd"/>
      <w:r w:rsidRPr="005E7005">
        <w:rPr>
          <w:rFonts w:ascii="Arial" w:hAnsi="Arial" w:cs="Arial"/>
          <w:sz w:val="20"/>
          <w:szCs w:val="20"/>
        </w:rPr>
        <w:t>.</w:t>
      </w:r>
    </w:p>
    <w:sectPr w:rsidR="007B6F6C" w:rsidRPr="00546141" w:rsidSect="00277C1E">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B2F6" w16cex:dateUtc="2022-03-14T19:38:00Z"/>
  <w16cex:commentExtensible w16cex:durableId="25DAB384" w16cex:dateUtc="2022-03-14T19:41:00Z"/>
  <w16cex:commentExtensible w16cex:durableId="25DAB593" w16cex:dateUtc="2022-03-14T19:49:00Z"/>
  <w16cex:commentExtensible w16cex:durableId="25DAB5A8" w16cex:dateUtc="2022-03-14T19:50:00Z"/>
  <w16cex:commentExtensible w16cex:durableId="25DAB712" w16cex:dateUtc="2022-03-14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5BBE31" w16cid:durableId="25DAB2F6"/>
  <w16cid:commentId w16cid:paraId="256F5E00" w16cid:durableId="25DAB384"/>
  <w16cid:commentId w16cid:paraId="72F387C4" w16cid:durableId="25DAB593"/>
  <w16cid:commentId w16cid:paraId="1276C5E9" w16cid:durableId="25DAB5A8"/>
  <w16cid:commentId w16cid:paraId="717DF06A" w16cid:durableId="25DAB7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B9"/>
    <w:rsid w:val="000016A0"/>
    <w:rsid w:val="0004772E"/>
    <w:rsid w:val="000676A1"/>
    <w:rsid w:val="000A58F9"/>
    <w:rsid w:val="000D498D"/>
    <w:rsid w:val="00126530"/>
    <w:rsid w:val="00133743"/>
    <w:rsid w:val="001435A4"/>
    <w:rsid w:val="00165100"/>
    <w:rsid w:val="00193E00"/>
    <w:rsid w:val="001E0372"/>
    <w:rsid w:val="00277C1E"/>
    <w:rsid w:val="00313C92"/>
    <w:rsid w:val="00333DE2"/>
    <w:rsid w:val="003410B5"/>
    <w:rsid w:val="00396F5C"/>
    <w:rsid w:val="0045409A"/>
    <w:rsid w:val="004F0F34"/>
    <w:rsid w:val="004F4CA4"/>
    <w:rsid w:val="00533ED2"/>
    <w:rsid w:val="00546141"/>
    <w:rsid w:val="00551B7A"/>
    <w:rsid w:val="00560290"/>
    <w:rsid w:val="005E6524"/>
    <w:rsid w:val="005E7005"/>
    <w:rsid w:val="005E7F0A"/>
    <w:rsid w:val="006C2D0A"/>
    <w:rsid w:val="006F6F0C"/>
    <w:rsid w:val="007244B9"/>
    <w:rsid w:val="0072605D"/>
    <w:rsid w:val="007476E9"/>
    <w:rsid w:val="007A41A3"/>
    <w:rsid w:val="007B6F6C"/>
    <w:rsid w:val="007E7ADC"/>
    <w:rsid w:val="007F13CF"/>
    <w:rsid w:val="00835F90"/>
    <w:rsid w:val="00862BB9"/>
    <w:rsid w:val="008E3D80"/>
    <w:rsid w:val="00927793"/>
    <w:rsid w:val="00951FCF"/>
    <w:rsid w:val="00971906"/>
    <w:rsid w:val="00971B9A"/>
    <w:rsid w:val="009940E6"/>
    <w:rsid w:val="00994D27"/>
    <w:rsid w:val="009974F9"/>
    <w:rsid w:val="009B16FB"/>
    <w:rsid w:val="00A0165D"/>
    <w:rsid w:val="00A7555B"/>
    <w:rsid w:val="00A75778"/>
    <w:rsid w:val="00AE51A8"/>
    <w:rsid w:val="00B32636"/>
    <w:rsid w:val="00B45F71"/>
    <w:rsid w:val="00B87E0E"/>
    <w:rsid w:val="00C02AC3"/>
    <w:rsid w:val="00C51342"/>
    <w:rsid w:val="00CB2736"/>
    <w:rsid w:val="00CB4243"/>
    <w:rsid w:val="00D112B9"/>
    <w:rsid w:val="00D175D7"/>
    <w:rsid w:val="00D84B46"/>
    <w:rsid w:val="00D9048B"/>
    <w:rsid w:val="00DB5DF1"/>
    <w:rsid w:val="00E4395F"/>
    <w:rsid w:val="00EA16A6"/>
    <w:rsid w:val="00EA5DD0"/>
    <w:rsid w:val="00EA7112"/>
    <w:rsid w:val="00EB02A1"/>
    <w:rsid w:val="00EE4DAE"/>
    <w:rsid w:val="00F16B65"/>
    <w:rsid w:val="00F31DFD"/>
    <w:rsid w:val="00F92255"/>
    <w:rsid w:val="00FE1ED4"/>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7C9B"/>
  <w15:chartTrackingRefBased/>
  <w15:docId w15:val="{2814698B-4BD5-4589-9B3C-8BE79934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62BB9"/>
    <w:rPr>
      <w:sz w:val="16"/>
      <w:szCs w:val="16"/>
    </w:rPr>
  </w:style>
  <w:style w:type="paragraph" w:styleId="Testocommento">
    <w:name w:val="annotation text"/>
    <w:basedOn w:val="Normale"/>
    <w:link w:val="TestocommentoCarattere"/>
    <w:uiPriority w:val="99"/>
    <w:unhideWhenUsed/>
    <w:rsid w:val="00862BB9"/>
    <w:pPr>
      <w:spacing w:after="0" w:line="240" w:lineRule="auto"/>
    </w:pPr>
    <w:rPr>
      <w:rFonts w:ascii="Times New Roman" w:eastAsia="Times New Roman" w:hAnsi="Times New Roman" w:cs="Times New Roman"/>
      <w:sz w:val="20"/>
      <w:szCs w:val="20"/>
      <w:lang w:val="en-US"/>
    </w:rPr>
  </w:style>
  <w:style w:type="character" w:customStyle="1" w:styleId="TestocommentoCarattere">
    <w:name w:val="Testo commento Carattere"/>
    <w:basedOn w:val="Carpredefinitoparagrafo"/>
    <w:link w:val="Testocommento"/>
    <w:uiPriority w:val="99"/>
    <w:rsid w:val="00862BB9"/>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862B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2BB9"/>
    <w:rPr>
      <w:rFonts w:ascii="Segoe UI" w:hAnsi="Segoe UI" w:cs="Segoe UI"/>
      <w:sz w:val="18"/>
      <w:szCs w:val="18"/>
    </w:rPr>
  </w:style>
  <w:style w:type="character" w:styleId="Collegamentoipertestuale">
    <w:name w:val="Hyperlink"/>
    <w:basedOn w:val="Carpredefinitoparagrafo"/>
    <w:uiPriority w:val="99"/>
    <w:unhideWhenUsed/>
    <w:rsid w:val="00CB4243"/>
    <w:rPr>
      <w:color w:val="0563C1" w:themeColor="hyperlink"/>
      <w:u w:val="single"/>
    </w:rPr>
  </w:style>
  <w:style w:type="paragraph" w:styleId="Revisione">
    <w:name w:val="Revision"/>
    <w:hidden/>
    <w:uiPriority w:val="99"/>
    <w:semiHidden/>
    <w:rsid w:val="00835F90"/>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396F5C"/>
    <w:pPr>
      <w:spacing w:after="160"/>
    </w:pPr>
    <w:rPr>
      <w:rFonts w:asciiTheme="minorHAnsi" w:eastAsiaTheme="minorHAnsi" w:hAnsiTheme="minorHAnsi" w:cstheme="minorBidi"/>
      <w:b/>
      <w:bCs/>
      <w:lang w:val="en-GB"/>
    </w:rPr>
  </w:style>
  <w:style w:type="character" w:customStyle="1" w:styleId="SoggettocommentoCarattere">
    <w:name w:val="Soggetto commento Carattere"/>
    <w:basedOn w:val="TestocommentoCarattere"/>
    <w:link w:val="Soggettocommento"/>
    <w:uiPriority w:val="99"/>
    <w:semiHidden/>
    <w:rsid w:val="00396F5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748">
      <w:bodyDiv w:val="1"/>
      <w:marLeft w:val="0"/>
      <w:marRight w:val="0"/>
      <w:marTop w:val="0"/>
      <w:marBottom w:val="0"/>
      <w:divBdr>
        <w:top w:val="none" w:sz="0" w:space="0" w:color="auto"/>
        <w:left w:val="none" w:sz="0" w:space="0" w:color="auto"/>
        <w:bottom w:val="none" w:sz="0" w:space="0" w:color="auto"/>
        <w:right w:val="none" w:sz="0" w:space="0" w:color="auto"/>
      </w:divBdr>
      <w:divsChild>
        <w:div w:id="1296762740">
          <w:marLeft w:val="0"/>
          <w:marRight w:val="0"/>
          <w:marTop w:val="0"/>
          <w:marBottom w:val="0"/>
          <w:divBdr>
            <w:top w:val="none" w:sz="0" w:space="0" w:color="auto"/>
            <w:left w:val="none" w:sz="0" w:space="0" w:color="auto"/>
            <w:bottom w:val="none" w:sz="0" w:space="0" w:color="auto"/>
            <w:right w:val="none" w:sz="0" w:space="0" w:color="auto"/>
          </w:divBdr>
        </w:div>
      </w:divsChild>
    </w:div>
    <w:div w:id="676079205">
      <w:bodyDiv w:val="1"/>
      <w:marLeft w:val="0"/>
      <w:marRight w:val="0"/>
      <w:marTop w:val="0"/>
      <w:marBottom w:val="0"/>
      <w:divBdr>
        <w:top w:val="none" w:sz="0" w:space="0" w:color="auto"/>
        <w:left w:val="none" w:sz="0" w:space="0" w:color="auto"/>
        <w:bottom w:val="none" w:sz="0" w:space="0" w:color="auto"/>
        <w:right w:val="none" w:sz="0" w:space="0" w:color="auto"/>
      </w:divBdr>
      <w:divsChild>
        <w:div w:id="1469129274">
          <w:marLeft w:val="0"/>
          <w:marRight w:val="0"/>
          <w:marTop w:val="0"/>
          <w:marBottom w:val="0"/>
          <w:divBdr>
            <w:top w:val="none" w:sz="0" w:space="0" w:color="auto"/>
            <w:left w:val="none" w:sz="0" w:space="0" w:color="auto"/>
            <w:bottom w:val="none" w:sz="0" w:space="0" w:color="auto"/>
            <w:right w:val="none" w:sz="0" w:space="0" w:color="auto"/>
          </w:divBdr>
        </w:div>
      </w:divsChild>
    </w:div>
    <w:div w:id="2106143396">
      <w:bodyDiv w:val="1"/>
      <w:marLeft w:val="0"/>
      <w:marRight w:val="0"/>
      <w:marTop w:val="0"/>
      <w:marBottom w:val="0"/>
      <w:divBdr>
        <w:top w:val="none" w:sz="0" w:space="0" w:color="auto"/>
        <w:left w:val="none" w:sz="0" w:space="0" w:color="auto"/>
        <w:bottom w:val="none" w:sz="0" w:space="0" w:color="auto"/>
        <w:right w:val="none" w:sz="0" w:space="0" w:color="auto"/>
      </w:divBdr>
      <w:divsChild>
        <w:div w:id="161043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2396</Words>
  <Characters>13662</Characters>
  <Application>Microsoft Office Word</Application>
  <DocSecurity>0</DocSecurity>
  <Lines>113</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2022-03-17T09:51:00Z</dcterms:created>
  <dcterms:modified xsi:type="dcterms:W3CDTF">2022-04-05T08:26:00Z</dcterms:modified>
</cp:coreProperties>
</file>