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212C" w14:textId="66137CB2" w:rsidR="003D7DBC" w:rsidRDefault="003D7DBC" w:rsidP="006D57B9">
      <w:pPr>
        <w:pStyle w:val="Heading2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7C7383">
        <w:rPr>
          <w:rFonts w:ascii="Garamond" w:hAnsi="Garamond" w:cs="Times New Roman"/>
          <w:b/>
          <w:bCs/>
          <w:color w:val="auto"/>
          <w:sz w:val="22"/>
          <w:szCs w:val="22"/>
        </w:rPr>
        <w:t>Characteristics and treatment of hospitalized pregnant women with Coronavirus Disease 2019</w:t>
      </w:r>
      <w:r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, </w:t>
      </w:r>
      <w:r w:rsidRPr="007C7383">
        <w:rPr>
          <w:rFonts w:ascii="Garamond" w:hAnsi="Garamond" w:cs="Times New Roman"/>
          <w:b/>
          <w:bCs/>
          <w:color w:val="auto"/>
          <w:sz w:val="22"/>
          <w:szCs w:val="22"/>
        </w:rPr>
        <w:t>COVID-19</w:t>
      </w:r>
    </w:p>
    <w:p w14:paraId="14A39308" w14:textId="77777777" w:rsidR="003D7DBC" w:rsidRPr="003D7DBC" w:rsidRDefault="003D7DBC" w:rsidP="003D7DBC"/>
    <w:p w14:paraId="39AF0F3D" w14:textId="06B8F5E6" w:rsidR="006D57B9" w:rsidRDefault="006D57B9" w:rsidP="006D57B9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EB062B">
        <w:rPr>
          <w:rFonts w:ascii="Garamond" w:hAnsi="Garamond"/>
          <w:b/>
          <w:bCs/>
          <w:color w:val="auto"/>
          <w:sz w:val="22"/>
          <w:szCs w:val="22"/>
        </w:rPr>
        <w:t xml:space="preserve">Supplemental Tables 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&amp; Appendix </w:t>
      </w:r>
    </w:p>
    <w:p w14:paraId="0BE8646A" w14:textId="77777777" w:rsidR="006D57B9" w:rsidRDefault="006D57B9" w:rsidP="006D57B9"/>
    <w:p w14:paraId="6D60F465" w14:textId="77777777" w:rsidR="006D57B9" w:rsidRPr="00A8701D" w:rsidRDefault="006D57B9" w:rsidP="006D57B9">
      <w:pPr>
        <w:rPr>
          <w:rFonts w:ascii="Garamond" w:hAnsi="Garamond"/>
          <w:b/>
          <w:bCs/>
        </w:rPr>
      </w:pPr>
      <w:r w:rsidRPr="00A8701D">
        <w:rPr>
          <w:rFonts w:ascii="Garamond" w:hAnsi="Garamond"/>
          <w:b/>
          <w:bCs/>
        </w:rPr>
        <w:t>Table S1. Description of COVID-19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6D57B9" w:rsidRPr="00F36FE9" w14:paraId="4FB3139D" w14:textId="77777777" w:rsidTr="000E2245">
        <w:tc>
          <w:tcPr>
            <w:tcW w:w="3865" w:type="dxa"/>
          </w:tcPr>
          <w:p w14:paraId="3B8CC83E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Symptoms</w:t>
            </w:r>
          </w:p>
        </w:tc>
        <w:tc>
          <w:tcPr>
            <w:tcW w:w="5485" w:type="dxa"/>
          </w:tcPr>
          <w:p w14:paraId="22EACE9D" w14:textId="77777777" w:rsidR="006D57B9" w:rsidRPr="00AA2C7F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AA2C7F">
              <w:rPr>
                <w:rFonts w:ascii="Garamond" w:hAnsi="Garamond" w:cstheme="minorHAnsi"/>
              </w:rPr>
              <w:t>Respiratory: congested/runny nose, cough, hemoptysis/bloody sputum, shortness of breath/respiratory distress, sore throat, upper respiratory infection, influenza-like illness, wheezing</w:t>
            </w:r>
          </w:p>
          <w:p w14:paraId="25051994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AA2C7F">
              <w:rPr>
                <w:rFonts w:ascii="Garamond" w:hAnsi="Garamond" w:cstheme="minorHAnsi"/>
              </w:rPr>
              <w:t>Non-respiratory: abdominal pain, altered mental status/confusion, anosmia/decreased smell, chest pain, conjunctivitis, diarrhea, dysgeusia/decreased taste, fatigue, fever/chills, headache, muscle aches/myalgias, nausea/vomiting, rash, seizures</w:t>
            </w:r>
          </w:p>
        </w:tc>
      </w:tr>
    </w:tbl>
    <w:p w14:paraId="24044780" w14:textId="77777777" w:rsidR="006D57B9" w:rsidRPr="00B31773" w:rsidRDefault="006D57B9" w:rsidP="006D57B9"/>
    <w:p w14:paraId="5337CEB1" w14:textId="77777777" w:rsidR="006D57B9" w:rsidRDefault="006D57B9" w:rsidP="006D57B9">
      <w:pPr>
        <w:rPr>
          <w:rFonts w:ascii="Garamond" w:hAnsi="Garamond"/>
          <w:b/>
        </w:rPr>
      </w:pPr>
      <w:r w:rsidRPr="001B4364">
        <w:rPr>
          <w:rFonts w:ascii="Garamond" w:hAnsi="Garamond"/>
          <w:b/>
        </w:rPr>
        <w:t>Table S</w:t>
      </w:r>
      <w:r>
        <w:rPr>
          <w:rFonts w:ascii="Garamond" w:hAnsi="Garamond"/>
          <w:b/>
        </w:rPr>
        <w:t>2</w:t>
      </w:r>
      <w:r w:rsidRPr="001B4364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Categorization of underlying medical condition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6D57B9" w:rsidRPr="00F36FE9" w14:paraId="50A4E947" w14:textId="77777777" w:rsidTr="000E2245">
        <w:tc>
          <w:tcPr>
            <w:tcW w:w="3865" w:type="dxa"/>
            <w:hideMark/>
          </w:tcPr>
          <w:p w14:paraId="1F014A4C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Chronic Lung Disease</w:t>
            </w:r>
            <w:r>
              <w:rPr>
                <w:rFonts w:ascii="Garamond" w:hAnsi="Garamond" w:cstheme="minorHAnsi"/>
              </w:rPr>
              <w:t xml:space="preserve"> (except asthma)</w:t>
            </w:r>
          </w:p>
        </w:tc>
        <w:tc>
          <w:tcPr>
            <w:tcW w:w="5485" w:type="dxa"/>
            <w:hideMark/>
          </w:tcPr>
          <w:p w14:paraId="0F8C11F7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Active tuberculosis</w:t>
            </w:r>
          </w:p>
          <w:p w14:paraId="0B99E7BB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Asbestosis</w:t>
            </w:r>
          </w:p>
          <w:p w14:paraId="2A5BB0D9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Bronchiectasis</w:t>
            </w:r>
          </w:p>
          <w:p w14:paraId="1A9C4C5A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Bronchiolitis obliterans</w:t>
            </w:r>
          </w:p>
          <w:p w14:paraId="7929D22A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Chronic bronchitis</w:t>
            </w:r>
          </w:p>
          <w:p w14:paraId="54707B4F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Chronic respiratory failure</w:t>
            </w:r>
          </w:p>
          <w:p w14:paraId="7A376ED2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Cystic fibrosis</w:t>
            </w:r>
          </w:p>
          <w:p w14:paraId="3BA3686C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Emphysema/Chronic Obstructive Pulmonary Disease </w:t>
            </w:r>
          </w:p>
          <w:p w14:paraId="06E9D413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Interstitial lung disease</w:t>
            </w:r>
          </w:p>
          <w:p w14:paraId="53799266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Obstructive sleep apnea </w:t>
            </w:r>
          </w:p>
          <w:p w14:paraId="79F2476A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Oxygen dependent</w:t>
            </w:r>
          </w:p>
          <w:p w14:paraId="5EAAB115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Pulmonary fibrosis</w:t>
            </w:r>
          </w:p>
          <w:p w14:paraId="55584AF8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Restrictive lung disease</w:t>
            </w:r>
          </w:p>
          <w:p w14:paraId="3740EBDA" w14:textId="77777777" w:rsidR="006D57B9" w:rsidRPr="00F36FE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Sarcoidosis</w:t>
            </w:r>
          </w:p>
        </w:tc>
      </w:tr>
      <w:tr w:rsidR="006D57B9" w:rsidRPr="00F36FE9" w14:paraId="01D5A5F9" w14:textId="77777777" w:rsidTr="000E2245">
        <w:tc>
          <w:tcPr>
            <w:tcW w:w="3865" w:type="dxa"/>
          </w:tcPr>
          <w:p w14:paraId="619635E3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Asthma</w:t>
            </w:r>
          </w:p>
        </w:tc>
        <w:tc>
          <w:tcPr>
            <w:tcW w:w="5485" w:type="dxa"/>
          </w:tcPr>
          <w:p w14:paraId="5A9E3149" w14:textId="77777777" w:rsidR="006D57B9" w:rsidRPr="00656C82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Asthma/Reactive airway disease</w:t>
            </w:r>
          </w:p>
        </w:tc>
      </w:tr>
      <w:tr w:rsidR="006D57B9" w:rsidRPr="00F36FE9" w14:paraId="518E3F03" w14:textId="77777777" w:rsidTr="000E2245">
        <w:tc>
          <w:tcPr>
            <w:tcW w:w="3865" w:type="dxa"/>
            <w:hideMark/>
          </w:tcPr>
          <w:p w14:paraId="7C4CFCDF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Diabetes</w:t>
            </w:r>
          </w:p>
        </w:tc>
        <w:tc>
          <w:tcPr>
            <w:tcW w:w="5485" w:type="dxa"/>
          </w:tcPr>
          <w:p w14:paraId="308DF8CB" w14:textId="77777777" w:rsidR="006D57B9" w:rsidRPr="00656C82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Type 1 or Type 2 Diabetes Mellitus</w:t>
            </w:r>
          </w:p>
        </w:tc>
      </w:tr>
      <w:tr w:rsidR="006D57B9" w:rsidRPr="00F36FE9" w14:paraId="4C9FCD06" w14:textId="77777777" w:rsidTr="000E2245">
        <w:tc>
          <w:tcPr>
            <w:tcW w:w="3865" w:type="dxa"/>
          </w:tcPr>
          <w:p w14:paraId="591449EE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Thyroid Dysfunction</w:t>
            </w:r>
          </w:p>
        </w:tc>
        <w:tc>
          <w:tcPr>
            <w:tcW w:w="5485" w:type="dxa"/>
          </w:tcPr>
          <w:p w14:paraId="7A650241" w14:textId="77777777" w:rsidR="006D57B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Grave’s disease</w:t>
            </w:r>
          </w:p>
          <w:p w14:paraId="10146CCE" w14:textId="77777777" w:rsidR="006D57B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Hashimoto’s Disease</w:t>
            </w:r>
          </w:p>
          <w:p w14:paraId="7A9ED19B" w14:textId="77777777" w:rsidR="006D57B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Hyperthyroidism</w:t>
            </w:r>
          </w:p>
          <w:p w14:paraId="39DC1F0B" w14:textId="77777777" w:rsidR="006D57B9" w:rsidRDefault="006D57B9" w:rsidP="000E22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Hypothyroidism</w:t>
            </w:r>
          </w:p>
        </w:tc>
      </w:tr>
      <w:tr w:rsidR="006D57B9" w:rsidRPr="00F36FE9" w14:paraId="02A8F185" w14:textId="77777777" w:rsidTr="000E2245">
        <w:tc>
          <w:tcPr>
            <w:tcW w:w="3865" w:type="dxa"/>
            <w:hideMark/>
          </w:tcPr>
          <w:p w14:paraId="29894BD4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Other </w:t>
            </w:r>
            <w:r>
              <w:rPr>
                <w:rFonts w:ascii="Garamond" w:hAnsi="Garamond" w:cstheme="minorHAnsi"/>
              </w:rPr>
              <w:t>C</w:t>
            </w:r>
            <w:r w:rsidRPr="00F36FE9">
              <w:rPr>
                <w:rFonts w:ascii="Garamond" w:hAnsi="Garamond" w:cstheme="minorHAnsi"/>
              </w:rPr>
              <w:t xml:space="preserve">hronic Metabolic Disease (except </w:t>
            </w:r>
            <w:r>
              <w:rPr>
                <w:rFonts w:ascii="Garamond" w:hAnsi="Garamond" w:cstheme="minorHAnsi"/>
              </w:rPr>
              <w:t>d</w:t>
            </w:r>
            <w:r w:rsidRPr="00F36FE9">
              <w:rPr>
                <w:rFonts w:ascii="Garamond" w:hAnsi="Garamond" w:cstheme="minorHAnsi"/>
              </w:rPr>
              <w:t xml:space="preserve">iabetes </w:t>
            </w:r>
            <w:r>
              <w:rPr>
                <w:rFonts w:ascii="Garamond" w:hAnsi="Garamond" w:cstheme="minorHAnsi"/>
              </w:rPr>
              <w:t>m</w:t>
            </w:r>
            <w:r w:rsidRPr="00F36FE9">
              <w:rPr>
                <w:rFonts w:ascii="Garamond" w:hAnsi="Garamond" w:cstheme="minorHAnsi"/>
              </w:rPr>
              <w:t>ellitus</w:t>
            </w:r>
            <w:r>
              <w:rPr>
                <w:rFonts w:ascii="Garamond" w:hAnsi="Garamond" w:cstheme="minorHAnsi"/>
              </w:rPr>
              <w:t xml:space="preserve"> and Thyroid dysfunction</w:t>
            </w:r>
            <w:r w:rsidRPr="00F36FE9">
              <w:rPr>
                <w:rFonts w:ascii="Garamond" w:hAnsi="Garamond" w:cstheme="minorHAnsi"/>
              </w:rPr>
              <w:t>)</w:t>
            </w:r>
          </w:p>
        </w:tc>
        <w:tc>
          <w:tcPr>
            <w:tcW w:w="5485" w:type="dxa"/>
            <w:hideMark/>
          </w:tcPr>
          <w:p w14:paraId="132EC608" w14:textId="77777777" w:rsidR="006D57B9" w:rsidRPr="00F36FE9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Adrenal Disorders (Addison’s, Adrenal Insufficiency, Cushing Syndrome, Congenital Adrenal Hyperplasia)</w:t>
            </w:r>
          </w:p>
          <w:p w14:paraId="046FD55C" w14:textId="77777777" w:rsidR="006D57B9" w:rsidRPr="00F36FE9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Glycogen or other storage diseases </w:t>
            </w:r>
          </w:p>
          <w:p w14:paraId="5158E397" w14:textId="77777777" w:rsidR="006D57B9" w:rsidRPr="00F36FE9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Hyper/Hypo function of pituitary gland</w:t>
            </w:r>
          </w:p>
          <w:p w14:paraId="5A200866" w14:textId="77777777" w:rsidR="006D57B9" w:rsidRPr="00F36FE9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Inborn errors of metabolism </w:t>
            </w:r>
          </w:p>
          <w:p w14:paraId="19EF0427" w14:textId="77777777" w:rsidR="006D57B9" w:rsidRPr="00F36FE9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Metabolic Syndrome</w:t>
            </w:r>
          </w:p>
          <w:p w14:paraId="017F1082" w14:textId="77777777" w:rsidR="006D57B9" w:rsidRPr="00656C82" w:rsidRDefault="006D57B9" w:rsidP="000E22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Parathyroid Dysfunction (Hyperparathyroidism, Hypoparathyroidism)</w:t>
            </w:r>
          </w:p>
        </w:tc>
      </w:tr>
      <w:tr w:rsidR="006D57B9" w:rsidRPr="00F36FE9" w14:paraId="3E3F18E0" w14:textId="77777777" w:rsidTr="000E2245">
        <w:tc>
          <w:tcPr>
            <w:tcW w:w="3865" w:type="dxa"/>
            <w:hideMark/>
          </w:tcPr>
          <w:p w14:paraId="264627D4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Cardiovascular Disease (except hypertension)</w:t>
            </w:r>
          </w:p>
        </w:tc>
        <w:tc>
          <w:tcPr>
            <w:tcW w:w="5485" w:type="dxa"/>
            <w:hideMark/>
          </w:tcPr>
          <w:p w14:paraId="6C72AAF1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Aortic aneurysm, history of</w:t>
            </w:r>
          </w:p>
          <w:p w14:paraId="0614D694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lastRenderedPageBreak/>
              <w:t>Aortic/Mitral/Tricuspid/Pulmonic valve replacement, history of</w:t>
            </w:r>
          </w:p>
          <w:p w14:paraId="6878A0BD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Aortic regurgitation</w:t>
            </w:r>
          </w:p>
          <w:p w14:paraId="76BB5C9B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Aortic stenosis</w:t>
            </w:r>
          </w:p>
          <w:p w14:paraId="0CDCA05F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Atherosclerotic cardiovascular disease</w:t>
            </w:r>
          </w:p>
          <w:p w14:paraId="07010BF2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Atrial fibrillation</w:t>
            </w:r>
          </w:p>
          <w:p w14:paraId="4E33F591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Atrioventricular blocks</w:t>
            </w:r>
          </w:p>
          <w:p w14:paraId="3A608D6C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Automated implantable devices/Pacemaker</w:t>
            </w:r>
          </w:p>
          <w:p w14:paraId="251E4898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Bundle branch block</w:t>
            </w:r>
          </w:p>
          <w:p w14:paraId="15D3B953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Cardiomyopathy</w:t>
            </w:r>
          </w:p>
          <w:p w14:paraId="76797147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Carotid stenosis</w:t>
            </w:r>
          </w:p>
          <w:p w14:paraId="2BFB9F9D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Cerebral vascular accident/Incident/Stroke, history of</w:t>
            </w:r>
          </w:p>
          <w:p w14:paraId="6F271662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Congenital heart disease </w:t>
            </w:r>
          </w:p>
          <w:p w14:paraId="4992B153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Coronary artery bypass grafting, history of</w:t>
            </w:r>
          </w:p>
          <w:p w14:paraId="1BA9A395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Coronary artery disease</w:t>
            </w:r>
          </w:p>
          <w:p w14:paraId="55F54A38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Deep vein thrombosis, history of</w:t>
            </w:r>
          </w:p>
          <w:p w14:paraId="3E2D1DEF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Heart failure/congestive heart failure</w:t>
            </w:r>
          </w:p>
          <w:p w14:paraId="63E240A0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Myocardial infarction, history of</w:t>
            </w:r>
          </w:p>
          <w:p w14:paraId="79D61C0E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Mitral regurgitation</w:t>
            </w:r>
          </w:p>
          <w:p w14:paraId="25FF2E70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Mitral stenosis</w:t>
            </w:r>
          </w:p>
          <w:p w14:paraId="49A54126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Peripheral artery disease</w:t>
            </w:r>
          </w:p>
          <w:p w14:paraId="63C12D10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Peripheral vascular disease</w:t>
            </w:r>
          </w:p>
          <w:p w14:paraId="04EAABFD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Pulmonary embolism, history of</w:t>
            </w:r>
          </w:p>
          <w:p w14:paraId="39D4AEF9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Pulmonary hypertension</w:t>
            </w:r>
          </w:p>
          <w:p w14:paraId="2F496ACA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Pulmonic regurgitation</w:t>
            </w:r>
          </w:p>
          <w:p w14:paraId="2E92832D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Pulmonic stenosis</w:t>
            </w:r>
          </w:p>
          <w:p w14:paraId="45BF2D3D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Transient ischemic attack, history of</w:t>
            </w:r>
          </w:p>
          <w:p w14:paraId="52375979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Tricuspid regurgitation</w:t>
            </w:r>
          </w:p>
          <w:p w14:paraId="30704868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Tricuspid stenosis</w:t>
            </w:r>
          </w:p>
          <w:p w14:paraId="5E968244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Ventricular fibrillation, history of</w:t>
            </w:r>
          </w:p>
          <w:p w14:paraId="4F10454A" w14:textId="77777777" w:rsidR="006D57B9" w:rsidRPr="00F36FE9" w:rsidRDefault="006D57B9" w:rsidP="000E22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Ventricular tachycardia, history of</w:t>
            </w:r>
          </w:p>
        </w:tc>
      </w:tr>
      <w:tr w:rsidR="006D57B9" w:rsidRPr="00F36FE9" w14:paraId="59589ADE" w14:textId="77777777" w:rsidTr="000E2245">
        <w:tc>
          <w:tcPr>
            <w:tcW w:w="3865" w:type="dxa"/>
            <w:hideMark/>
          </w:tcPr>
          <w:p w14:paraId="15AA1FEC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lastRenderedPageBreak/>
              <w:t>Hypertension</w:t>
            </w:r>
          </w:p>
        </w:tc>
        <w:tc>
          <w:tcPr>
            <w:tcW w:w="5485" w:type="dxa"/>
          </w:tcPr>
          <w:p w14:paraId="3A974C58" w14:textId="77777777" w:rsidR="006D57B9" w:rsidRPr="002A1C76" w:rsidRDefault="006D57B9" w:rsidP="000E224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Hypertension</w:t>
            </w:r>
          </w:p>
        </w:tc>
      </w:tr>
      <w:tr w:rsidR="006D57B9" w:rsidRPr="00F36FE9" w14:paraId="16D18E12" w14:textId="77777777" w:rsidTr="000E2245">
        <w:tc>
          <w:tcPr>
            <w:tcW w:w="3865" w:type="dxa"/>
            <w:hideMark/>
          </w:tcPr>
          <w:p w14:paraId="373A1AC1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Neurologic Disorder</w:t>
            </w:r>
          </w:p>
        </w:tc>
        <w:tc>
          <w:tcPr>
            <w:tcW w:w="5485" w:type="dxa"/>
            <w:hideMark/>
          </w:tcPr>
          <w:p w14:paraId="4B212B5D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Amyotrophic lateral sclerosis</w:t>
            </w:r>
          </w:p>
          <w:p w14:paraId="5289730A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Cerebral palsy</w:t>
            </w:r>
          </w:p>
          <w:p w14:paraId="7E0F21D1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Cognitive dysfunction</w:t>
            </w:r>
          </w:p>
          <w:p w14:paraId="2591514E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Dementia/Alzheimer’s disease</w:t>
            </w:r>
          </w:p>
          <w:p w14:paraId="52E8D2E9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Developmental delay</w:t>
            </w:r>
          </w:p>
          <w:p w14:paraId="48F0099D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Down syndrome/Trisomy 21</w:t>
            </w:r>
          </w:p>
          <w:p w14:paraId="3BADA520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Edward’s syndrome/Trisomy 18</w:t>
            </w:r>
          </w:p>
          <w:p w14:paraId="0FA49558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Epilepsy/seizure/seizure disorder</w:t>
            </w:r>
          </w:p>
          <w:p w14:paraId="380206D8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Mitochondrial disorder</w:t>
            </w:r>
          </w:p>
          <w:p w14:paraId="40CD56F3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Multiple sclerosis</w:t>
            </w:r>
          </w:p>
          <w:p w14:paraId="208D70E3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Muscular dystrophy</w:t>
            </w:r>
          </w:p>
          <w:p w14:paraId="6D306850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Myasthenia gravis</w:t>
            </w:r>
          </w:p>
          <w:p w14:paraId="751EB993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Neural tube defects/Spina bifida</w:t>
            </w:r>
          </w:p>
          <w:p w14:paraId="36C227A0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Neuropathy</w:t>
            </w:r>
          </w:p>
          <w:p w14:paraId="5176FC44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lastRenderedPageBreak/>
              <w:t>Parkinson’s disease</w:t>
            </w:r>
          </w:p>
          <w:p w14:paraId="5CB8A00E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proofErr w:type="spellStart"/>
            <w:r w:rsidRPr="00F36FE9">
              <w:rPr>
                <w:rFonts w:ascii="Garamond" w:hAnsi="Garamond" w:cstheme="minorHAnsi"/>
              </w:rPr>
              <w:t>Plegias</w:t>
            </w:r>
            <w:proofErr w:type="spellEnd"/>
            <w:r w:rsidRPr="00F36FE9">
              <w:rPr>
                <w:rFonts w:ascii="Garamond" w:hAnsi="Garamond" w:cstheme="minorHAnsi"/>
              </w:rPr>
              <w:t>/Paralysis/Quadriplegia</w:t>
            </w:r>
          </w:p>
          <w:p w14:paraId="31E133BF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Scoliosis/Kyphoscoliosis</w:t>
            </w:r>
          </w:p>
          <w:p w14:paraId="278AE720" w14:textId="77777777" w:rsidR="006D57B9" w:rsidRPr="00F36FE9" w:rsidRDefault="006D57B9" w:rsidP="000E224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contextualSpacing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Traumatic brain injury, history of</w:t>
            </w:r>
          </w:p>
        </w:tc>
      </w:tr>
      <w:tr w:rsidR="006D57B9" w:rsidRPr="00F36FE9" w14:paraId="7807900D" w14:textId="77777777" w:rsidTr="000E2245">
        <w:tc>
          <w:tcPr>
            <w:tcW w:w="3865" w:type="dxa"/>
            <w:hideMark/>
          </w:tcPr>
          <w:p w14:paraId="0043FB0C" w14:textId="77777777" w:rsidR="006D57B9" w:rsidRPr="00F36FE9" w:rsidRDefault="006D57B9" w:rsidP="000E2245">
            <w:pPr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lastRenderedPageBreak/>
              <w:t>Liver Disease</w:t>
            </w:r>
          </w:p>
        </w:tc>
        <w:tc>
          <w:tcPr>
            <w:tcW w:w="5485" w:type="dxa"/>
            <w:hideMark/>
          </w:tcPr>
          <w:p w14:paraId="4B0298CE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Alcoholic hepatitis</w:t>
            </w:r>
          </w:p>
          <w:p w14:paraId="3DACFF70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Autoimmune hepatitis</w:t>
            </w:r>
          </w:p>
          <w:p w14:paraId="30D0436E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Barrett’s esophagitis</w:t>
            </w:r>
          </w:p>
          <w:p w14:paraId="40B7A156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Chronic liver disease</w:t>
            </w:r>
          </w:p>
          <w:p w14:paraId="5FB539EE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Chronic pancreatitis</w:t>
            </w:r>
          </w:p>
          <w:p w14:paraId="467C498F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Cirrhosis/End stage liver disease</w:t>
            </w:r>
          </w:p>
          <w:p w14:paraId="291ED495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Crohn’s disease</w:t>
            </w:r>
          </w:p>
          <w:p w14:paraId="1ECE259B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Esophageal varices</w:t>
            </w:r>
          </w:p>
          <w:p w14:paraId="65857E1A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Esophageal strictures</w:t>
            </w:r>
          </w:p>
          <w:p w14:paraId="4D43A0A2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 xml:space="preserve">Hepatitis B, chronic </w:t>
            </w:r>
          </w:p>
          <w:p w14:paraId="367643FD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Hepatitis C, chronic</w:t>
            </w:r>
          </w:p>
          <w:p w14:paraId="721B1248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Non-alcoholic fatty liver disease/Non-alcoholic steatohepatitis</w:t>
            </w:r>
          </w:p>
          <w:p w14:paraId="1399380A" w14:textId="77777777" w:rsidR="006D57B9" w:rsidRPr="00F36FE9" w:rsidRDefault="006D57B9" w:rsidP="000E22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 w:cstheme="minorHAnsi"/>
              </w:rPr>
            </w:pPr>
            <w:r w:rsidRPr="00F36FE9">
              <w:rPr>
                <w:rFonts w:ascii="Garamond" w:hAnsi="Garamond" w:cstheme="minorHAnsi"/>
              </w:rPr>
              <w:t>Ulcerative colitis</w:t>
            </w:r>
          </w:p>
        </w:tc>
      </w:tr>
    </w:tbl>
    <w:p w14:paraId="552E3A4F" w14:textId="77777777" w:rsidR="006D57B9" w:rsidRPr="001B4364" w:rsidRDefault="006D57B9" w:rsidP="006D57B9">
      <w:pPr>
        <w:spacing w:line="480" w:lineRule="auto"/>
        <w:rPr>
          <w:rFonts w:ascii="Garamond" w:hAnsi="Garamond"/>
          <w:b/>
        </w:rPr>
      </w:pPr>
    </w:p>
    <w:p w14:paraId="697FBEA4" w14:textId="77777777" w:rsidR="006D57B9" w:rsidRDefault="006D57B9" w:rsidP="006D57B9">
      <w:pPr>
        <w:rPr>
          <w:rFonts w:ascii="Garamond" w:hAnsi="Garamond"/>
          <w:b/>
          <w:color w:val="000000"/>
        </w:rPr>
        <w:sectPr w:rsidR="006D57B9" w:rsidSect="000139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4C18087" w14:textId="77777777" w:rsidR="006D57B9" w:rsidRDefault="006D57B9" w:rsidP="006D57B9">
      <w:pPr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Table S3. Characteristics of hospitalized </w:t>
      </w:r>
      <w:r w:rsidRPr="000B6413">
        <w:rPr>
          <w:rFonts w:ascii="Garamond" w:hAnsi="Garamond"/>
          <w:b/>
          <w:bCs/>
          <w:color w:val="000000"/>
        </w:rPr>
        <w:t>SARS-CoV-2 positive</w:t>
      </w:r>
      <w:r>
        <w:rPr>
          <w:rFonts w:ascii="Garamond" w:hAnsi="Garamond"/>
          <w:b/>
          <w:bCs/>
          <w:color w:val="000000"/>
        </w:rPr>
        <w:t xml:space="preserve"> </w:t>
      </w:r>
      <w:r w:rsidRPr="000B6413">
        <w:rPr>
          <w:rFonts w:ascii="Garamond" w:hAnsi="Garamond"/>
          <w:b/>
          <w:bCs/>
          <w:color w:val="000000"/>
        </w:rPr>
        <w:t>pregnant patients</w:t>
      </w:r>
      <w:r>
        <w:rPr>
          <w:rFonts w:ascii="Garamond" w:hAnsi="Garamond"/>
          <w:b/>
          <w:bCs/>
          <w:color w:val="000000"/>
        </w:rPr>
        <w:t xml:space="preserve"> by symptom status</w:t>
      </w:r>
      <w:r w:rsidRPr="000B6413">
        <w:rPr>
          <w:rFonts w:ascii="Garamond" w:hAnsi="Garamond"/>
          <w:b/>
          <w:bCs/>
          <w:color w:val="000000"/>
          <w:vertAlign w:val="superscript"/>
        </w:rPr>
        <w:t>*</w:t>
      </w:r>
      <w:r w:rsidRPr="000B6413">
        <w:rPr>
          <w:rFonts w:ascii="Garamond" w:hAnsi="Garamond"/>
          <w:b/>
          <w:bCs/>
          <w:color w:val="000000"/>
        </w:rPr>
        <w:t xml:space="preserve">  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4248"/>
        <w:gridCol w:w="526"/>
        <w:gridCol w:w="1113"/>
        <w:gridCol w:w="722"/>
        <w:gridCol w:w="1113"/>
        <w:gridCol w:w="526"/>
        <w:gridCol w:w="1113"/>
        <w:gridCol w:w="775"/>
      </w:tblGrid>
      <w:tr w:rsidR="006D57B9" w:rsidRPr="00CB1355" w14:paraId="78A3DFB9" w14:textId="77777777" w:rsidTr="000E224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AAE9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58DC0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 xml:space="preserve">Overall </w:t>
            </w:r>
          </w:p>
          <w:p w14:paraId="567BE82C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(n=905)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CFA0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Symptomatic</w:t>
            </w:r>
            <w:r w:rsidRPr="001940E5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†</w:t>
            </w: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 xml:space="preserve"> (n=336, 37.0%)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1FB1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Asymptomatic</w:t>
            </w:r>
          </w:p>
          <w:p w14:paraId="0E4498BA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(n=569, 63.0%)</w:t>
            </w:r>
          </w:p>
        </w:tc>
      </w:tr>
      <w:tr w:rsidR="006D57B9" w:rsidRPr="00CB1355" w14:paraId="3289D07D" w14:textId="77777777" w:rsidTr="000E224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B956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Variable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4FF45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1CA8B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Weighted 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ED1F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C81B2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Weighted %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75C9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B7E0E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Weighted %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FB75A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p-value</w:t>
            </w:r>
            <w:r w:rsidRPr="001940E5">
              <w:rPr>
                <w:rFonts w:ascii="Garamond" w:hAnsi="Garamond"/>
                <w:b/>
                <w:bCs/>
                <w:vertAlign w:val="superscript"/>
              </w:rPr>
              <w:t>‡</w:t>
            </w:r>
          </w:p>
        </w:tc>
      </w:tr>
      <w:tr w:rsidR="006D57B9" w:rsidRPr="00CB1355" w14:paraId="6AC73CCE" w14:textId="77777777" w:rsidTr="000E224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0840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 xml:space="preserve">Age </w:t>
            </w:r>
            <w:r>
              <w:rPr>
                <w:rFonts w:ascii="Garamond" w:eastAsia="Times New Roman" w:hAnsi="Garamond"/>
                <w:b/>
                <w:bCs/>
                <w:color w:val="000000"/>
              </w:rPr>
              <w:t>g</w:t>
            </w: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roup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6BF9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F882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9740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04E31" w14:textId="77777777" w:rsidR="006D57B9" w:rsidRPr="00CB1355" w:rsidRDefault="006D57B9" w:rsidP="000E2245">
            <w:pPr>
              <w:jc w:val="both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5C67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9DAE0" w14:textId="77777777" w:rsidR="006D57B9" w:rsidRPr="00CB1355" w:rsidRDefault="006D57B9" w:rsidP="000E2245">
            <w:pPr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75BA" w14:textId="77777777" w:rsidR="006D57B9" w:rsidRPr="00361032" w:rsidRDefault="006D57B9" w:rsidP="000E2245">
            <w:pPr>
              <w:jc w:val="center"/>
              <w:rPr>
                <w:rFonts w:ascii="Garamond" w:eastAsia="Times New Roman" w:hAnsi="Garamond"/>
                <w:color w:val="FF0000"/>
              </w:rPr>
            </w:pPr>
          </w:p>
        </w:tc>
      </w:tr>
      <w:tr w:rsidR="006D57B9" w:rsidRPr="00CB1355" w14:paraId="5E512B5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BAD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24 year</w:t>
            </w:r>
            <w:r>
              <w:rPr>
                <w:rFonts w:ascii="Garamond" w:eastAsia="Times New Roman" w:hAnsi="Garamond"/>
                <w:color w:val="000000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C852AF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BCE2DF6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23.8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DCE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78B8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20.6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107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193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4399D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25.6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FF18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0.161</w:t>
            </w:r>
          </w:p>
        </w:tc>
      </w:tr>
      <w:tr w:rsidR="006D57B9" w:rsidRPr="00CB1355" w14:paraId="020AC0A9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5B23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25</w:t>
            </w:r>
            <w:r>
              <w:rPr>
                <w:rFonts w:eastAsia="Times New Roman"/>
                <w:color w:val="000000"/>
              </w:rP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34 year</w:t>
            </w:r>
            <w:r>
              <w:rPr>
                <w:rFonts w:ascii="Garamond" w:eastAsia="Times New Roman" w:hAnsi="Garamond"/>
                <w:color w:val="000000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B2A2B1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BC35E5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57.9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20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35E8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61.9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504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7230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55.6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E98E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09BD4D9B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BF3A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35</w:t>
            </w:r>
            <w:r>
              <w:rPr>
                <w:rFonts w:eastAsia="Times New Roman"/>
                <w:color w:val="000000"/>
              </w:rP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49 year</w:t>
            </w:r>
            <w:r>
              <w:rPr>
                <w:rFonts w:ascii="Garamond" w:eastAsia="Times New Roman" w:hAnsi="Garamond"/>
                <w:color w:val="000000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5EDF7E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54B3B31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18.3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B97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8FA98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17.5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6B3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05B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18.8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8822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0.430</w:t>
            </w:r>
          </w:p>
        </w:tc>
      </w:tr>
      <w:tr w:rsidR="006D57B9" w:rsidRPr="00CB1355" w14:paraId="495E1E1A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F133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Race/</w:t>
            </w:r>
            <w:r>
              <w:rPr>
                <w:rFonts w:ascii="Garamond" w:eastAsia="Times New Roman" w:hAnsi="Garamond"/>
                <w:b/>
                <w:bCs/>
                <w:color w:val="000000"/>
              </w:rPr>
              <w:t>e</w:t>
            </w: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thnicity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8700CB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DA4A47D" w14:textId="77777777" w:rsidR="006D57B9" w:rsidRPr="006E5C75" w:rsidRDefault="006D57B9" w:rsidP="000E2245">
            <w:pPr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51B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6882A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6CF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AA13C" w14:textId="77777777" w:rsidR="006D57B9" w:rsidRPr="006E5C75" w:rsidRDefault="006D57B9" w:rsidP="000E2245">
            <w:pPr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5769" w14:textId="77777777" w:rsidR="006D57B9" w:rsidRPr="00C029E4" w:rsidRDefault="006D57B9" w:rsidP="000E2245">
            <w:pPr>
              <w:jc w:val="center"/>
              <w:rPr>
                <w:rFonts w:ascii="Garamond" w:eastAsia="Times New Roman" w:hAnsi="Garamond"/>
                <w:color w:val="FF0000"/>
              </w:rPr>
            </w:pPr>
          </w:p>
        </w:tc>
      </w:tr>
      <w:tr w:rsidR="006D57B9" w:rsidRPr="00CB1355" w14:paraId="03F1E1A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A5CF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American Indian</w:t>
            </w:r>
            <w:r>
              <w:rPr>
                <w:rFonts w:ascii="Garamond" w:eastAsia="Times New Roman" w:hAnsi="Garamond"/>
                <w:color w:val="000000"/>
              </w:rPr>
              <w:t>/</w:t>
            </w:r>
            <w:r w:rsidRPr="00CB1355">
              <w:rPr>
                <w:rFonts w:ascii="Garamond" w:eastAsia="Times New Roman" w:hAnsi="Garamond"/>
                <w:color w:val="000000"/>
              </w:rPr>
              <w:t>Alaska Native,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5A6D24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BDE1D6D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AF7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681E0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69E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9BD87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DDCE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&lt;.001</w:t>
            </w:r>
          </w:p>
        </w:tc>
      </w:tr>
      <w:tr w:rsidR="006D57B9" w:rsidRPr="00CB1355" w14:paraId="5C904E65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B2BD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Asian</w:t>
            </w:r>
            <w:r>
              <w:rPr>
                <w:rFonts w:ascii="Garamond" w:eastAsia="Times New Roman" w:hAnsi="Garamond"/>
                <w:color w:val="000000"/>
              </w:rPr>
              <w:t>/</w:t>
            </w:r>
            <w:r w:rsidRPr="00CB1355">
              <w:rPr>
                <w:rFonts w:ascii="Garamond" w:eastAsia="Times New Roman" w:hAnsi="Garamond"/>
                <w:color w:val="000000"/>
              </w:rPr>
              <w:t>Pacific Islander,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BB4F76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883A58B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CD1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3C90B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A06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A7D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0EAA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0.792</w:t>
            </w:r>
          </w:p>
        </w:tc>
      </w:tr>
      <w:tr w:rsidR="006D57B9" w:rsidRPr="00CB1355" w14:paraId="13FCCBD0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7333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Black,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97C44B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F6419FB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33.7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B0AA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7349D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39.6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301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4DAD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6D09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0.031</w:t>
            </w:r>
          </w:p>
        </w:tc>
      </w:tr>
      <w:tr w:rsidR="006D57B9" w:rsidRPr="00CB1355" w14:paraId="10836C73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05C" w14:textId="77777777" w:rsidR="006D57B9" w:rsidRPr="00EC739E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EC739E">
              <w:rPr>
                <w:rFonts w:ascii="Garamond" w:eastAsia="Times New Roman" w:hAnsi="Garamond"/>
                <w:color w:val="000000"/>
              </w:rPr>
              <w:t>Hispanic or Latino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5CBD34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775D756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27.3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D81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86F4D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24.8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B65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ADC02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28.8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72AD8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0.403</w:t>
            </w:r>
          </w:p>
        </w:tc>
      </w:tr>
      <w:tr w:rsidR="006D57B9" w:rsidRPr="00CB1355" w14:paraId="7B668B5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24C" w14:textId="77777777" w:rsidR="006D57B9" w:rsidRPr="00EC739E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EC739E">
              <w:rPr>
                <w:rFonts w:ascii="Garamond" w:eastAsia="Times New Roman" w:hAnsi="Garamond"/>
                <w:color w:val="000000"/>
              </w:rPr>
              <w:t>White, non-Hispanic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796A622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014361A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26.8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054F0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B4BA5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22.3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CC2C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192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A92C76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29.4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1B9D18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7323C6C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7356" w14:textId="77777777" w:rsidR="006D57B9" w:rsidRPr="00EC739E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EC739E">
              <w:rPr>
                <w:rFonts w:ascii="Garamond" w:hAnsi="Garamond"/>
              </w:rPr>
              <w:t>None of the above</w:t>
            </w:r>
            <w:r w:rsidRPr="00EC739E">
              <w:rPr>
                <w:rFonts w:ascii="Garamond" w:hAnsi="Garamond"/>
                <w:vertAlign w:val="superscript"/>
              </w:rPr>
              <w:t>‡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13E6A28" w14:textId="77777777" w:rsidR="006D57B9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27B580D" w14:textId="77777777" w:rsidR="006D57B9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A43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D1DA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812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3AD1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48DA" w14:textId="77777777" w:rsidR="006D57B9" w:rsidRPr="0019613F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0.053</w:t>
            </w:r>
          </w:p>
        </w:tc>
      </w:tr>
      <w:tr w:rsidR="006D57B9" w:rsidRPr="00CB1355" w14:paraId="18851ED4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ED774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 xml:space="preserve">Vaccine </w:t>
            </w:r>
            <w:r>
              <w:rPr>
                <w:rFonts w:ascii="Garamond" w:eastAsia="Times New Roman" w:hAnsi="Garamond"/>
                <w:b/>
                <w:bCs/>
                <w:color w:val="000000"/>
              </w:rPr>
              <w:t>s</w:t>
            </w: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tatus</w:t>
            </w:r>
            <w:r w:rsidRPr="00EC4280">
              <w:rPr>
                <w:vertAlign w:val="superscript"/>
              </w:rPr>
              <w:t>§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08EC587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E0B2A44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16CC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964AA2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1D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E67366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E5CA0C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42CE8C9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FC7725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Unvaccinated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01738EE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837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493DD9D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90.8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DA96C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D6F96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92.9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2BC01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74DEA4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89.5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8DFA77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571ACB6B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F50D4C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Partially vaccinated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3C0BE12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ECA102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B7B3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12EA4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2.2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B1DACA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23580B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F55DC2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0.100</w:t>
            </w:r>
          </w:p>
        </w:tc>
      </w:tr>
      <w:tr w:rsidR="006D57B9" w:rsidRPr="00CB1355" w14:paraId="41992415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AAFF2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Fully vaccinated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613CBC3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20D79FF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6.3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E1AA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22668B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4.9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4BA7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322426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7.2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A19335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0.155</w:t>
            </w:r>
          </w:p>
        </w:tc>
      </w:tr>
      <w:tr w:rsidR="006D57B9" w:rsidRPr="00CB1355" w14:paraId="0B23AD7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A0C93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Underlying medical conditions</w:t>
            </w:r>
            <w:r w:rsidRPr="00A5505E">
              <w:rPr>
                <w:vertAlign w:val="superscript"/>
              </w:rPr>
              <w:t>||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3B91402A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4E576027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108A4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9615B8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CC0FB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8360C2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23A952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6136034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39A9B" w14:textId="77777777" w:rsidR="006D57B9" w:rsidRPr="004D7839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Any condition or conditions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50F125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3E403C8C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30.6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F9AA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123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BBEF2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32.6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35F4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172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FAD6AD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29.5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0A60F3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0634F229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95D36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Asthma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7DE9E25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109C2774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11.6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2418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B83D84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12.5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CE59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A1B120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11.1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14BA1F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0.812</w:t>
            </w:r>
          </w:p>
        </w:tc>
      </w:tr>
      <w:tr w:rsidR="006D57B9" w:rsidRPr="00CB1355" w14:paraId="5DE23C00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AD088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Hypertension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35ECFB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75479CD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5.7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175C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A037F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8.9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91104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2A10CA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3.8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D2FA89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0.119</w:t>
            </w:r>
          </w:p>
        </w:tc>
      </w:tr>
      <w:tr w:rsidR="006D57B9" w:rsidRPr="00CB1355" w14:paraId="2D139D2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4AADC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Chronic metabolic disease</w:t>
            </w:r>
            <w:r w:rsidRPr="005973EB">
              <w:rPr>
                <w:vertAlign w:val="superscript"/>
              </w:rPr>
              <w:t>¶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8BB921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EE1345C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A26E6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7191F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4.7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F8E3C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473496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B962E4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0.802</w:t>
            </w:r>
          </w:p>
        </w:tc>
      </w:tr>
      <w:tr w:rsidR="006D57B9" w:rsidRPr="00CB1355" w14:paraId="0D8DDAF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15A61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Cardiovascular disease</w:t>
            </w:r>
            <w:r w:rsidRPr="005973EB">
              <w:rPr>
                <w:vertAlign w:val="superscript"/>
              </w:rPr>
              <w:t>¶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1751A5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147FA8E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ED1E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483330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</w:t>
            </w:r>
            <w:r>
              <w:rPr>
                <w:rFonts w:ascii="Garamond" w:eastAsia="Times New Roman" w:hAnsi="Garamond"/>
                <w:color w:val="000000"/>
              </w:rPr>
              <w:t>.0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E073D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C97F78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C1E29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0.583</w:t>
            </w:r>
          </w:p>
        </w:tc>
      </w:tr>
      <w:tr w:rsidR="006D57B9" w:rsidRPr="00CB1355" w14:paraId="154FD926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722C9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Diabetes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109E2AB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1ED8D8EA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2.7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06523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8CCD38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2.6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98A8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34327C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816D6E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0.772</w:t>
            </w:r>
          </w:p>
        </w:tc>
      </w:tr>
      <w:tr w:rsidR="006D57B9" w:rsidRPr="00CB1355" w14:paraId="125CD162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4A4585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Neurologic condition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359DA6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91D8301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79D6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9F0CD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2.5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BFDA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FDD072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327FC8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0.735</w:t>
            </w:r>
          </w:p>
        </w:tc>
      </w:tr>
      <w:tr w:rsidR="006D57B9" w:rsidRPr="00CB1355" w14:paraId="346A16D1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95926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Thyroid dysfunction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663DB14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7C73D58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2.7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9548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C86AC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2.1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7673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4EECF6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2.9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E5869D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0.851</w:t>
            </w:r>
          </w:p>
        </w:tc>
      </w:tr>
      <w:tr w:rsidR="006D57B9" w:rsidRPr="00CB1355" w14:paraId="542BC842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FA2B56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Other disease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6C5D732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817BB78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FC0D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</w:t>
            </w:r>
            <w:r>
              <w:rPr>
                <w:rFonts w:ascii="Garamond" w:eastAsia="Times New Roman" w:hAnsi="Garamond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15AE34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1.</w:t>
            </w:r>
            <w:r>
              <w:rPr>
                <w:rFonts w:ascii="Garamond" w:eastAsia="Times New Roman" w:hAnsi="Garamond"/>
                <w:color w:val="00000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8E04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50C009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E3F49B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0.635</w:t>
            </w:r>
          </w:p>
        </w:tc>
      </w:tr>
      <w:tr w:rsidR="006D57B9" w:rsidRPr="00CB1355" w14:paraId="29021C05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E5FAC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Liver disease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72991F3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74EDFEF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1D02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A6905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0.9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B8EE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16F716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11E16E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0.005</w:t>
            </w:r>
          </w:p>
        </w:tc>
      </w:tr>
      <w:tr w:rsidR="006D57B9" w:rsidRPr="00CB1355" w14:paraId="2143FBC5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9A43D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Chronic lung disease</w:t>
            </w:r>
            <w:r w:rsidRPr="005973EB">
              <w:rPr>
                <w:vertAlign w:val="superscript"/>
              </w:rPr>
              <w:t>¶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141E896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2894A8B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FD9D7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8E0E6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0.1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CC810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7DE4B3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BB58A2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0.307</w:t>
            </w:r>
          </w:p>
        </w:tc>
      </w:tr>
      <w:tr w:rsidR="006D57B9" w:rsidRPr="00CB1355" w14:paraId="46F82B98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1E81E4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Smoking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569F30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C9E10CA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F6F1C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A5EAFC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3485EA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02169C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A25C8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5B3BE608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D3A10" w14:textId="77777777" w:rsidR="006D57B9" w:rsidRPr="004D7839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Current smoker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5995B7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756D466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F23A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A8566D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7.7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85E6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196D5A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4.0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8505CB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0.257</w:t>
            </w:r>
          </w:p>
        </w:tc>
      </w:tr>
      <w:tr w:rsidR="006D57B9" w:rsidRPr="00CB1355" w14:paraId="7272D7D9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F49DF8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Former smoker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7A5CFD7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C75D92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8.5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7F20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ADAA80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8.9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2B8C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289B8A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8.2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3DBC4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0.609</w:t>
            </w:r>
          </w:p>
        </w:tc>
      </w:tr>
      <w:tr w:rsidR="006D57B9" w:rsidRPr="00CB1355" w14:paraId="23E2BF49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CFA461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Not a smoker/Unknown smoking history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AE2038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772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BADB678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86.2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DF96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274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96B0A7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83.4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3B94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498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E7C4FE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87.8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D02D7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5C535C2D" w14:textId="77777777" w:rsidTr="000E2245">
        <w:trPr>
          <w:trHeight w:val="333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D10A71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Pregnancy trimester at hospital admission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0A8A705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C05550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CFFE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125101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BA789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B121E7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6E8E3B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14E15618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4162C" w14:textId="77777777" w:rsidR="006D57B9" w:rsidRPr="004D7839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First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08D3581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EE68C52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4.9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A2013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4F272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10</w:t>
            </w:r>
            <w:r>
              <w:rPr>
                <w:rFonts w:ascii="Garamond" w:eastAsia="Times New Roman" w:hAnsi="Garamond"/>
                <w:color w:val="000000"/>
              </w:rPr>
              <w:t>.0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5CEF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029601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2.0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4172E4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.002</w:t>
            </w:r>
          </w:p>
        </w:tc>
      </w:tr>
      <w:tr w:rsidR="006D57B9" w:rsidRPr="00CB1355" w14:paraId="1CE1EA3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09237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Second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7E603F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E343A6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7.6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B2844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94401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19.3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2944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FF77A8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0.7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9E3848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5DCE7B84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3F5F6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Third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15FA30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790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0CFD1F87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87.4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F406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241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79341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70.7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8EF8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549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3A738C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97.3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FA9B6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&lt;.001</w:t>
            </w:r>
          </w:p>
        </w:tc>
      </w:tr>
      <w:tr w:rsidR="006D57B9" w:rsidRPr="00CB1355" w14:paraId="769FEBEB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54CF8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Current pregnancy plurality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2A46B40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574C2D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636D3A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6209AF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A609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F7FE14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DB502F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255E1BE3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A9632" w14:textId="77777777" w:rsidR="006D57B9" w:rsidRPr="004D7839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Singleton pregnancy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2CD0F7D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861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7C1FBA7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94.4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0271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309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9372A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90.7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5FF8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552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B7C903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96.5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A74710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1C492562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09C99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Multiple pregnancy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636457D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1B8AF780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1.1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5B0E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A09218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1.1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1661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85F26B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1.1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1D51B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0.846</w:t>
            </w:r>
          </w:p>
        </w:tc>
      </w:tr>
      <w:tr w:rsidR="006D57B9" w:rsidRPr="00CB1355" w14:paraId="427A320E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BD966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Unknown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63FEBC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D4432D0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4.5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E3E6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C3A4C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8.2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569D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D99300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E94EA0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0.251</w:t>
            </w:r>
          </w:p>
        </w:tc>
      </w:tr>
      <w:tr w:rsidR="006D57B9" w:rsidRPr="00CB1355" w14:paraId="1346BDA1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DF2C6F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b/>
                <w:bCs/>
                <w:color w:val="000000"/>
              </w:rPr>
              <w:t>Pregnancy-associated conditions</w:t>
            </w:r>
            <w:r w:rsidRPr="00A5505E">
              <w:rPr>
                <w:vertAlign w:val="superscript"/>
              </w:rPr>
              <w:t>||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60B886F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221FDB5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DCE3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4C6C91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DE20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05CB5D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5782EF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D57B9" w:rsidRPr="00CB1355" w14:paraId="61FEA7D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E582D0" w14:textId="77777777" w:rsidR="006D57B9" w:rsidRPr="004D7839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Any condition or conditions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4ED8175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188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3034947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19.6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F143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58542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19.0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06C5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118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6A786B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19.9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9A56BE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0.942</w:t>
            </w:r>
          </w:p>
        </w:tc>
      </w:tr>
      <w:tr w:rsidR="006D57B9" w:rsidRPr="00CB1355" w14:paraId="75AAC4FB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AB842" w14:textId="77777777" w:rsidR="006D57B9" w:rsidRDefault="006D57B9" w:rsidP="000E2245">
            <w:pPr>
              <w:rPr>
                <w:rFonts w:ascii="Garamond" w:eastAsia="Times New Roman" w:hAnsi="Garamond"/>
                <w:color w:val="000000" w:themeColor="text1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Hypertensive disorders of pregnancy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BFB6FD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7FDE62A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10.7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3CFD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FA6617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10.3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B768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6E9107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11.0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E82C0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0.848</w:t>
            </w:r>
          </w:p>
        </w:tc>
      </w:tr>
      <w:tr w:rsidR="006D57B9" w:rsidRPr="00CB1355" w14:paraId="0A0D18F7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3CB18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Unknown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30A31F9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7CFF2BA8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6.0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AC36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66BACE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6.8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944C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6F8ABC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5.4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2A3A58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0.652</w:t>
            </w:r>
          </w:p>
        </w:tc>
      </w:tr>
      <w:tr w:rsidR="006D57B9" w:rsidRPr="00CB1355" w14:paraId="3401CEDA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36AC9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Gestational</w:t>
            </w:r>
            <w:r w:rsidRPr="004D783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4D7839">
              <w:rPr>
                <w:rFonts w:ascii="Garamond" w:eastAsia="Times New Roman" w:hAnsi="Garamond"/>
                <w:color w:val="000000"/>
              </w:rPr>
              <w:t>diabetes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53A47D8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687196F0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6.3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B853A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6EC933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5.9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29699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4AB50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6.5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ECE45E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0.887</w:t>
            </w:r>
          </w:p>
        </w:tc>
      </w:tr>
      <w:tr w:rsidR="006D57B9" w:rsidRPr="00CB1355" w14:paraId="2D771026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5FD4" w14:textId="77777777" w:rsidR="006D57B9" w:rsidRPr="004D7839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Intrauterine growth restriction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E31A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424F0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3.7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A17C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E17A9" w14:textId="77777777" w:rsidR="006D57B9" w:rsidRPr="006E5C75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 w:rsidRPr="004D7839">
              <w:rPr>
                <w:rFonts w:ascii="Garamond" w:eastAsia="Times New Roman" w:hAnsi="Garamond"/>
                <w:color w:val="000000"/>
              </w:rPr>
              <w:t>4.5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E925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14603" w14:textId="77777777" w:rsidR="006D57B9" w:rsidRPr="002C0E44" w:rsidRDefault="006D57B9" w:rsidP="000E2245">
            <w:p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A739" w14:textId="77777777" w:rsidR="006D57B9" w:rsidRPr="002C0E44" w:rsidRDefault="006D57B9" w:rsidP="000E224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0.395</w:t>
            </w:r>
          </w:p>
        </w:tc>
      </w:tr>
    </w:tbl>
    <w:p w14:paraId="4BB33E7F" w14:textId="77777777" w:rsidR="006D57B9" w:rsidRPr="000B6413" w:rsidRDefault="006D57B9" w:rsidP="006D57B9">
      <w:pPr>
        <w:rPr>
          <w:rFonts w:ascii="Garamond" w:hAnsi="Garamond"/>
          <w:b/>
          <w:bCs/>
          <w:color w:val="000000"/>
        </w:rPr>
      </w:pPr>
      <w:r w:rsidRPr="000B6413">
        <w:rPr>
          <w:rFonts w:ascii="Garamond" w:hAnsi="Garamond"/>
          <w:b/>
          <w:bCs/>
          <w:color w:val="000000"/>
        </w:rPr>
        <w:t xml:space="preserve"> </w:t>
      </w:r>
    </w:p>
    <w:p w14:paraId="36716CEC" w14:textId="77777777" w:rsidR="006D57B9" w:rsidRPr="004D19F8" w:rsidRDefault="006D57B9" w:rsidP="006D57B9">
      <w:pPr>
        <w:pStyle w:val="CommentText"/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Abbreviation: ref=reference group</w:t>
      </w:r>
    </w:p>
    <w:p w14:paraId="386C6AF5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102897">
        <w:rPr>
          <w:rFonts w:ascii="Garamond" w:hAnsi="Garamond"/>
          <w:vertAlign w:val="superscript"/>
        </w:rPr>
        <w:t>*</w:t>
      </w:r>
      <w:r w:rsidRPr="00102897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are</w:t>
      </w:r>
      <w:r w:rsidRPr="00102897">
        <w:rPr>
          <w:rFonts w:ascii="Garamond" w:hAnsi="Garamond" w:cs="Times New Roman"/>
        </w:rPr>
        <w:t xml:space="preserve"> from the COVID-19-Associated Hospitalization Surveillance Network</w:t>
      </w:r>
      <w:r>
        <w:rPr>
          <w:rFonts w:ascii="Garamond" w:hAnsi="Garamond" w:cs="Times New Roman"/>
        </w:rPr>
        <w:t xml:space="preserve"> (</w:t>
      </w:r>
      <w:r w:rsidRPr="00102897">
        <w:rPr>
          <w:rFonts w:ascii="Garamond" w:hAnsi="Garamond" w:cs="Times New Roman"/>
        </w:rPr>
        <w:t>COVID-NET</w:t>
      </w:r>
      <w:r>
        <w:rPr>
          <w:rFonts w:ascii="Garamond" w:hAnsi="Garamond" w:cs="Times New Roman"/>
        </w:rPr>
        <w:t>)</w:t>
      </w:r>
      <w:r w:rsidRPr="00102897">
        <w:rPr>
          <w:rFonts w:ascii="Garamond" w:hAnsi="Garamond" w:cs="Times New Roman"/>
        </w:rPr>
        <w:t>, 14 states, January</w:t>
      </w:r>
      <w:r w:rsidRPr="00774E24">
        <w:rPr>
          <w:rFonts w:ascii="Garamond" w:hAnsi="Garamond" w:cs="Times New Roman"/>
          <w:sz w:val="22"/>
          <w:szCs w:val="22"/>
        </w:rPr>
        <w:t>–</w:t>
      </w:r>
      <w:r w:rsidRPr="00102897">
        <w:rPr>
          <w:rFonts w:ascii="Garamond" w:hAnsi="Garamond" w:cs="Times New Roman"/>
        </w:rPr>
        <w:t>November 2021</w:t>
      </w:r>
      <w:r>
        <w:rPr>
          <w:rFonts w:ascii="Garamond" w:hAnsi="Garamond" w:cs="Times New Roman"/>
        </w:rPr>
        <w:t>.</w:t>
      </w:r>
    </w:p>
    <w:p w14:paraId="32500EF3" w14:textId="77777777" w:rsidR="006D57B9" w:rsidRDefault="006D57B9" w:rsidP="006D57B9">
      <w:pPr>
        <w:pStyle w:val="CommentText"/>
        <w:spacing w:after="0"/>
        <w:rPr>
          <w:rFonts w:ascii="Garamond" w:hAnsi="Garamond"/>
          <w:vertAlign w:val="superscript"/>
        </w:rPr>
      </w:pPr>
      <w:r w:rsidRPr="00396751">
        <w:rPr>
          <w:rFonts w:ascii="Garamond" w:hAnsi="Garamond"/>
          <w:vertAlign w:val="superscript"/>
        </w:rPr>
        <w:t>†</w:t>
      </w:r>
      <w:r>
        <w:rPr>
          <w:rFonts w:ascii="Garamond" w:hAnsi="Garamond"/>
        </w:rPr>
        <w:t>S</w:t>
      </w:r>
      <w:r w:rsidRPr="00F07ED7">
        <w:rPr>
          <w:rFonts w:ascii="Garamond" w:hAnsi="Garamond"/>
        </w:rPr>
        <w:t xml:space="preserve">ymptomatic </w:t>
      </w:r>
      <w:r>
        <w:rPr>
          <w:rFonts w:ascii="Garamond" w:hAnsi="Garamond"/>
        </w:rPr>
        <w:t xml:space="preserve">was defined as </w:t>
      </w:r>
      <w:r w:rsidRPr="00F07ED7">
        <w:rPr>
          <w:rFonts w:ascii="Garamond" w:hAnsi="Garamond"/>
        </w:rPr>
        <w:t xml:space="preserve">respiratory or non-respiratory </w:t>
      </w:r>
      <w:r>
        <w:rPr>
          <w:rFonts w:ascii="Garamond" w:hAnsi="Garamond"/>
        </w:rPr>
        <w:t xml:space="preserve">COVID-19 </w:t>
      </w:r>
      <w:r w:rsidRPr="00F07ED7">
        <w:rPr>
          <w:rFonts w:ascii="Garamond" w:hAnsi="Garamond"/>
        </w:rPr>
        <w:t>symptoms at admission or developed symptoms during hospitalization as indicated by a discharge diagnosis of pneumonia, acute respiratory failure, or acute respiratory distress syndrome.</w:t>
      </w:r>
    </w:p>
    <w:p w14:paraId="445A40DE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5973EB">
        <w:rPr>
          <w:rFonts w:ascii="Garamond" w:hAnsi="Garamond"/>
          <w:vertAlign w:val="superscript"/>
        </w:rPr>
        <w:t>‡</w:t>
      </w:r>
      <w:r w:rsidRPr="005973EB">
        <w:rPr>
          <w:rFonts w:ascii="Garamond" w:hAnsi="Garamond" w:cs="Times New Roman"/>
        </w:rPr>
        <w:t>P</w:t>
      </w:r>
      <w:r>
        <w:rPr>
          <w:rFonts w:ascii="Garamond" w:hAnsi="Garamond" w:cs="Times New Roman"/>
        </w:rPr>
        <w:t xml:space="preserve">-values are from generalized estimating equation models that adjust for sampling variables age and month and account for clustering by site and complex sampling weights. </w:t>
      </w:r>
    </w:p>
    <w:p w14:paraId="55774E27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EC4280">
        <w:rPr>
          <w:vertAlign w:val="superscript"/>
        </w:rPr>
        <w:t>§</w:t>
      </w:r>
      <w:r>
        <w:rPr>
          <w:rFonts w:ascii="Garamond" w:hAnsi="Garamond" w:cs="Times New Roman"/>
        </w:rPr>
        <w:t xml:space="preserve">The none of the above category includes multiracial, non-Hispanic and unknown race/ethnicity categories to generate p-values due to small cell sizes due to PSM. </w:t>
      </w:r>
    </w:p>
    <w:p w14:paraId="5CFE0F46" w14:textId="77777777" w:rsidR="006D57B9" w:rsidRPr="00D61951" w:rsidRDefault="006D57B9" w:rsidP="006D57B9">
      <w:pPr>
        <w:pStyle w:val="CommentText"/>
        <w:spacing w:after="0"/>
        <w:rPr>
          <w:rFonts w:ascii="Garamond" w:hAnsi="Garamond"/>
        </w:rPr>
      </w:pPr>
      <w:r w:rsidRPr="00EC4280">
        <w:rPr>
          <w:vertAlign w:val="superscript"/>
        </w:rPr>
        <w:t>§</w:t>
      </w:r>
      <w:r>
        <w:rPr>
          <w:rFonts w:ascii="Garamond" w:hAnsi="Garamond"/>
        </w:rPr>
        <w:t>Three symptomatic and 15 asymptomatic</w:t>
      </w:r>
      <w:r w:rsidRPr="00D61951">
        <w:rPr>
          <w:rFonts w:ascii="Garamond" w:hAnsi="Garamond"/>
        </w:rPr>
        <w:t xml:space="preserve"> patients are missing vaccination status because one state did not collect that information</w:t>
      </w:r>
      <w:r>
        <w:rPr>
          <w:rFonts w:ascii="Garamond" w:hAnsi="Garamond"/>
        </w:rPr>
        <w:t>.</w:t>
      </w:r>
    </w:p>
    <w:p w14:paraId="199CD9DB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  <w:r w:rsidRPr="00A5505E">
        <w:rPr>
          <w:vertAlign w:val="superscript"/>
        </w:rPr>
        <w:t>||</w:t>
      </w:r>
      <w:r w:rsidRPr="00D61951">
        <w:rPr>
          <w:rFonts w:ascii="Garamond" w:hAnsi="Garamond"/>
        </w:rPr>
        <w:t xml:space="preserve">Underlying medical conditions and pregnancy-associated conditions percent columns do not add up to 100% since multiple options could be chosen per patient. </w:t>
      </w:r>
    </w:p>
    <w:p w14:paraId="315E6FD7" w14:textId="77777777" w:rsidR="006D57B9" w:rsidRPr="00076869" w:rsidRDefault="006D57B9" w:rsidP="006D57B9">
      <w:pPr>
        <w:pStyle w:val="CommentText"/>
        <w:spacing w:after="0"/>
        <w:rPr>
          <w:rFonts w:ascii="Garamond" w:hAnsi="Garamond"/>
        </w:rPr>
      </w:pPr>
      <w:r w:rsidRPr="005973EB">
        <w:rPr>
          <w:vertAlign w:val="superscript"/>
        </w:rPr>
        <w:t>¶</w:t>
      </w:r>
      <w:r>
        <w:rPr>
          <w:rFonts w:ascii="Garamond" w:hAnsi="Garamond"/>
        </w:rPr>
        <w:t>Chronic metabolic disease does not include diabetes or thyroid dysfunction, cardiovascular disease does not include hypertension, and chronic lung disease does not include asthma.</w:t>
      </w:r>
    </w:p>
    <w:p w14:paraId="0EF55750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523411F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648630C7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B0A3F80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2332D8FC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0BAF9F6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501437F8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32B40A9F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0085452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1A97B079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859CDE6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383CD662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10F941AD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55935AE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A6D3805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1B0AC932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7D5518B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1DA5F4D3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2AE0664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6937E598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206FEC10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0BFE541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5CCA8E02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61B6C0B0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3B0AFCB3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2F8D33EC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570DB6DB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42CCC65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05AA1A8F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69C98796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36362B3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6CE6BBB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807C4C4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5D147941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57C9BBC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86F756E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76F8D9CB" w14:textId="77777777" w:rsidR="006D57B9" w:rsidRDefault="006D57B9" w:rsidP="006D57B9">
      <w:pPr>
        <w:pStyle w:val="CommentText"/>
        <w:spacing w:after="0"/>
        <w:rPr>
          <w:rFonts w:ascii="Garamond" w:hAnsi="Garamond"/>
        </w:rPr>
      </w:pPr>
    </w:p>
    <w:p w14:paraId="43C842F9" w14:textId="77777777" w:rsidR="006D57B9" w:rsidRPr="00076869" w:rsidRDefault="006D57B9" w:rsidP="006D57B9">
      <w:pPr>
        <w:pStyle w:val="CommentText"/>
        <w:spacing w:after="0"/>
        <w:rPr>
          <w:rFonts w:ascii="Garamond" w:hAnsi="Garamond"/>
        </w:rPr>
      </w:pPr>
    </w:p>
    <w:p w14:paraId="74BE189B" w14:textId="77777777" w:rsidR="006D57B9" w:rsidRDefault="006D57B9" w:rsidP="006D57B9">
      <w:pPr>
        <w:rPr>
          <w:rFonts w:ascii="Garamond" w:hAnsi="Garamond"/>
          <w:b/>
          <w:color w:val="000000"/>
        </w:rPr>
      </w:pPr>
    </w:p>
    <w:p w14:paraId="3BC2DD75" w14:textId="77777777" w:rsidR="006D57B9" w:rsidRDefault="006D57B9" w:rsidP="006D57B9">
      <w:pPr>
        <w:rPr>
          <w:rFonts w:ascii="Garamond" w:hAnsi="Garamond"/>
          <w:b/>
          <w:color w:val="000000"/>
        </w:rPr>
      </w:pPr>
      <w:r w:rsidRPr="001B4364">
        <w:rPr>
          <w:rFonts w:ascii="Garamond" w:hAnsi="Garamond"/>
          <w:b/>
          <w:color w:val="000000"/>
        </w:rPr>
        <w:lastRenderedPageBreak/>
        <w:t>Table S</w:t>
      </w:r>
      <w:r>
        <w:rPr>
          <w:rFonts w:ascii="Garamond" w:hAnsi="Garamond"/>
          <w:b/>
          <w:color w:val="000000"/>
        </w:rPr>
        <w:t>4</w:t>
      </w:r>
      <w:r w:rsidRPr="001B4364">
        <w:rPr>
          <w:rFonts w:ascii="Garamond" w:hAnsi="Garamond"/>
          <w:b/>
          <w:color w:val="000000"/>
        </w:rPr>
        <w:t>. Distribution of variables by pregnancy status prior to and after propensity score matching</w:t>
      </w:r>
      <w:r>
        <w:rPr>
          <w:rFonts w:ascii="Garamond" w:hAnsi="Garamond"/>
          <w:b/>
          <w:color w:val="000000"/>
        </w:rPr>
        <w:t>, n (weighted %)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4248"/>
        <w:gridCol w:w="423"/>
        <w:gridCol w:w="729"/>
        <w:gridCol w:w="526"/>
        <w:gridCol w:w="702"/>
        <w:gridCol w:w="770"/>
        <w:gridCol w:w="481"/>
        <w:gridCol w:w="720"/>
        <w:gridCol w:w="450"/>
        <w:gridCol w:w="702"/>
        <w:gridCol w:w="770"/>
      </w:tblGrid>
      <w:tr w:rsidR="006D57B9" w:rsidRPr="001940E5" w14:paraId="73FB3A5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1C1" w14:textId="77777777" w:rsidR="006D57B9" w:rsidRPr="001940E5" w:rsidRDefault="006D57B9" w:rsidP="000E2245">
            <w:pPr>
              <w:rPr>
                <w:rFonts w:ascii="Garamond" w:eastAsia="Times New Roman" w:hAnsi="Garamond" w:cs="Times New Roman"/>
                <w:b/>
                <w:bCs/>
              </w:rPr>
            </w:pPr>
            <w:bookmarkStart w:id="0" w:name="_Hlk97200009"/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3132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Prior to PSM (n=996)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1AF7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Post PSM (n=234)</w:t>
            </w:r>
          </w:p>
        </w:tc>
      </w:tr>
      <w:tr w:rsidR="006D57B9" w:rsidRPr="001940E5" w14:paraId="642DDC20" w14:textId="77777777" w:rsidTr="000E2245">
        <w:trPr>
          <w:trHeight w:val="20"/>
        </w:trPr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EA50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C186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Pregnant (n=123)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0FF1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Not pregnant (n=873)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575B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Pregnant (n=116)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30D9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 xml:space="preserve">Not pregnant </w:t>
            </w:r>
          </w:p>
          <w:p w14:paraId="558ED929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(n=116)</w:t>
            </w:r>
          </w:p>
        </w:tc>
      </w:tr>
      <w:tr w:rsidR="006D57B9" w:rsidRPr="001940E5" w14:paraId="582946CE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967C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Variable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EB3D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D454FB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(%)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0883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CC4F93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(%)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586E7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p-value</w:t>
            </w:r>
            <w:r w:rsidRPr="001940E5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3738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841705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(%)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CCB8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8187A2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D350E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p-value</w:t>
            </w:r>
            <w:r w:rsidRPr="001940E5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</w:tr>
      <w:tr w:rsidR="006D57B9" w:rsidRPr="00CB1355" w14:paraId="7F909E63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3C2E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 xml:space="preserve">Age </w:t>
            </w:r>
            <w:r>
              <w:rPr>
                <w:rFonts w:ascii="Garamond" w:eastAsia="Times New Roman" w:hAnsi="Garamond"/>
                <w:b/>
                <w:bCs/>
                <w:color w:val="000000"/>
              </w:rPr>
              <w:t>g</w:t>
            </w: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roup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767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25A53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F2C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2EFD6" w14:textId="77777777" w:rsidR="006D57B9" w:rsidRPr="00CB1355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D150" w14:textId="77777777" w:rsidR="006D57B9" w:rsidRPr="00361032" w:rsidRDefault="006D57B9" w:rsidP="000E2245">
            <w:pPr>
              <w:rPr>
                <w:rFonts w:ascii="Garamond" w:eastAsia="Times New Roman" w:hAnsi="Garamond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B8C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E7966" w14:textId="77777777" w:rsidR="006D57B9" w:rsidRPr="00CB1355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917" w14:textId="77777777" w:rsidR="006D57B9" w:rsidRPr="00CB135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37BCA" w14:textId="77777777" w:rsidR="006D57B9" w:rsidRPr="00CB1355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FEED" w14:textId="77777777" w:rsidR="006D57B9" w:rsidRPr="00CB1355" w:rsidRDefault="006D57B9" w:rsidP="000E2245">
            <w:pPr>
              <w:rPr>
                <w:rFonts w:ascii="Garamond" w:eastAsia="Times New Roman" w:hAnsi="Garamond"/>
              </w:rPr>
            </w:pPr>
          </w:p>
        </w:tc>
      </w:tr>
      <w:tr w:rsidR="006D57B9" w:rsidRPr="00CB1355" w14:paraId="272F9385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496D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15</w:t>
            </w:r>
            <w: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24 year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86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4C049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(17.4)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45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8A31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(8.4)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7F41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&lt;.001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ACA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C69B2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(17.8)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1FD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635F5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(8.0)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EA0B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0.021</w:t>
            </w:r>
          </w:p>
        </w:tc>
      </w:tr>
      <w:tr w:rsidR="006D57B9" w:rsidRPr="00CB1355" w14:paraId="2134A2FA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21E4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25</w:t>
            </w:r>
            <w:r>
              <w:rPr>
                <w:rFonts w:eastAsia="Times New Roman"/>
                <w:color w:val="000000"/>
              </w:rP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34 year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A1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5E4A2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(64.3)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F37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FE0A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(21.8)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BA99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ref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7D1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D44D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(63.5)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A5E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3BB0F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(64.7)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1027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01DA30F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1F7E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35</w:t>
            </w:r>
            <w:r>
              <w:rPr>
                <w:rFonts w:eastAsia="Times New Roman"/>
                <w:color w:val="000000"/>
              </w:rPr>
              <w:t>-</w:t>
            </w:r>
            <w:r w:rsidRPr="00CB1355">
              <w:rPr>
                <w:rFonts w:ascii="Garamond" w:eastAsia="Times New Roman" w:hAnsi="Garamond"/>
                <w:color w:val="000000"/>
              </w:rPr>
              <w:t>49 year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A56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52EE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(18.2)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A90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525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73194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(69.7)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EE9B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&lt;.001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31B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571A2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(18.6)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0FD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52B49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(27.3)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4D09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0.332</w:t>
            </w:r>
          </w:p>
        </w:tc>
      </w:tr>
      <w:tr w:rsidR="006D57B9" w:rsidRPr="00CB1355" w14:paraId="7B966D2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D770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Race/</w:t>
            </w:r>
            <w:r>
              <w:rPr>
                <w:rFonts w:ascii="Garamond" w:eastAsia="Times New Roman" w:hAnsi="Garamond"/>
                <w:b/>
                <w:bCs/>
                <w:color w:val="000000"/>
              </w:rPr>
              <w:t>e</w:t>
            </w: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thnicity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DC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A6C54" w14:textId="77777777" w:rsidR="006D57B9" w:rsidRPr="006E5C75" w:rsidRDefault="006D57B9" w:rsidP="000E2245">
            <w:pPr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CD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B5448" w14:textId="77777777" w:rsidR="006D57B9" w:rsidRPr="006E5C75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0F46" w14:textId="77777777" w:rsidR="006D57B9" w:rsidRPr="00C029E4" w:rsidRDefault="006D57B9" w:rsidP="000E2245">
            <w:pPr>
              <w:rPr>
                <w:rFonts w:ascii="Garamond" w:eastAsia="Times New Roman" w:hAnsi="Garamond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DFC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CB72B" w14:textId="77777777" w:rsidR="006D57B9" w:rsidRPr="00F85825" w:rsidRDefault="006D57B9" w:rsidP="000E2245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8AC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EF1C" w14:textId="77777777" w:rsidR="006D57B9" w:rsidRPr="00F85825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00F3" w14:textId="77777777" w:rsidR="006D57B9" w:rsidRPr="0019613F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</w:tr>
      <w:tr w:rsidR="006D57B9" w:rsidRPr="00CB1355" w14:paraId="6F982173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3DC6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American Indian</w:t>
            </w:r>
            <w:r>
              <w:rPr>
                <w:rFonts w:ascii="Garamond" w:eastAsia="Times New Roman" w:hAnsi="Garamond"/>
                <w:color w:val="000000"/>
              </w:rPr>
              <w:t>/</w:t>
            </w:r>
            <w:r w:rsidRPr="00CB1355">
              <w:rPr>
                <w:rFonts w:ascii="Garamond" w:eastAsia="Times New Roman" w:hAnsi="Garamond"/>
                <w:color w:val="000000"/>
              </w:rPr>
              <w:t>Alaska Native, non-Hispanic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A7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F911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(5.2)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D7F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6D1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(2.0)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7E18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0.212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072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F21FE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(5.3)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92E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36D44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(3.3)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7BFB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0.495</w:t>
            </w:r>
          </w:p>
        </w:tc>
      </w:tr>
      <w:tr w:rsidR="006D57B9" w:rsidRPr="00CB1355" w14:paraId="227C340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2DBE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Asian</w:t>
            </w:r>
            <w:r>
              <w:rPr>
                <w:rFonts w:ascii="Garamond" w:eastAsia="Times New Roman" w:hAnsi="Garamond"/>
                <w:color w:val="000000"/>
              </w:rPr>
              <w:t>/</w:t>
            </w:r>
            <w:r w:rsidRPr="00CB1355">
              <w:rPr>
                <w:rFonts w:ascii="Garamond" w:eastAsia="Times New Roman" w:hAnsi="Garamond"/>
                <w:color w:val="000000"/>
              </w:rPr>
              <w:t>Pacific Islander, non-Hispanic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A5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06D38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(12.2)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BF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5EF79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(8.4)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ACC7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0.690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47F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BCB0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(12.3)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987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345B9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(13.0)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9057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0.999</w:t>
            </w:r>
          </w:p>
        </w:tc>
      </w:tr>
      <w:tr w:rsidR="006D57B9" w:rsidRPr="00CB1355" w14:paraId="130E954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6D0E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Black, non-Hispanic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A8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3CE72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(26.0)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7B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D64CC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(32.5)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AF9D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0.958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B24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7D80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(26.6)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725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462A5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235E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0.143</w:t>
            </w:r>
          </w:p>
        </w:tc>
      </w:tr>
      <w:tr w:rsidR="006D57B9" w:rsidRPr="00CB1355" w14:paraId="469F4A38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A81B" w14:textId="77777777" w:rsidR="006D57B9" w:rsidRPr="00B5735D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B5735D">
              <w:rPr>
                <w:rFonts w:ascii="Garamond" w:eastAsia="Times New Roman" w:hAnsi="Garamond"/>
                <w:color w:val="000000"/>
              </w:rPr>
              <w:t>Hispanic or Latino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45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936B1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(23.0)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32B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AB4F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(19.2)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C280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0.959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94F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86941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(22.8)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03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9E228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(26.3)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0D0C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0.999</w:t>
            </w:r>
          </w:p>
        </w:tc>
      </w:tr>
      <w:tr w:rsidR="006D57B9" w:rsidRPr="00CB1355" w14:paraId="4A83C3AF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D69" w14:textId="77777777" w:rsidR="006D57B9" w:rsidRPr="00B5735D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B5735D">
              <w:rPr>
                <w:rFonts w:ascii="Garamond" w:eastAsia="Times New Roman" w:hAnsi="Garamond"/>
                <w:color w:val="000000"/>
              </w:rPr>
              <w:t>White, non-Hispanic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18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B36D2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(26.1)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D0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355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15D7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(34.2)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78ED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ref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0E1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0E33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(25.4)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B1B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7602F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(30.4)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AAD7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ref</w:t>
            </w:r>
          </w:p>
        </w:tc>
      </w:tr>
      <w:tr w:rsidR="006D57B9" w:rsidRPr="00CB1355" w14:paraId="350FCCF4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F8A6" w14:textId="77777777" w:rsidR="006D57B9" w:rsidRPr="00B5735D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B5735D">
              <w:rPr>
                <w:rFonts w:ascii="Garamond" w:hAnsi="Garamond"/>
              </w:rPr>
              <w:t>None of the above</w:t>
            </w:r>
            <w:r w:rsidRPr="00B5735D">
              <w:rPr>
                <w:rFonts w:ascii="Garamond" w:hAnsi="Garamond"/>
                <w:vertAlign w:val="superscript"/>
              </w:rPr>
              <w:t>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D9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B735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(7.4)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63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A2D59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(3.6)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795D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0.114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9F2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  <w:r w:rsidRPr="00F85825">
              <w:rPr>
                <w:rFonts w:ascii="Garamond" w:eastAsia="Times New Roman" w:hAnsi="Garamond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A757D" w14:textId="77777777" w:rsidR="006D57B9" w:rsidRPr="00F85825" w:rsidRDefault="006D57B9" w:rsidP="000E2245">
            <w:pPr>
              <w:rPr>
                <w:rFonts w:ascii="Garamond" w:eastAsia="Times New Roman" w:hAnsi="Garamond" w:cs="Times New Roman"/>
              </w:rPr>
            </w:pPr>
            <w:r w:rsidRPr="00F85825">
              <w:rPr>
                <w:rFonts w:ascii="Garamond" w:eastAsia="Times New Roman" w:hAnsi="Garamond" w:cs="Times New Roman"/>
              </w:rPr>
              <w:t>(7.5)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EAD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7CC3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(6.9)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1D7A" w14:textId="77777777" w:rsidR="006D57B9" w:rsidRPr="0019613F" w:rsidRDefault="006D57B9" w:rsidP="000E2245">
            <w:pPr>
              <w:rPr>
                <w:rFonts w:ascii="Garamond" w:eastAsia="Times New Roman" w:hAnsi="Garamond"/>
              </w:rPr>
            </w:pPr>
            <w:r w:rsidRPr="0019613F">
              <w:rPr>
                <w:rFonts w:ascii="Garamond" w:eastAsia="Times New Roman" w:hAnsi="Garamond"/>
              </w:rPr>
              <w:t>0.332</w:t>
            </w:r>
          </w:p>
        </w:tc>
      </w:tr>
      <w:tr w:rsidR="006D57B9" w:rsidRPr="00CB1355" w14:paraId="0DD5CA4A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7B3E" w14:textId="77777777" w:rsidR="006D57B9" w:rsidRPr="00CB135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CB1355">
              <w:rPr>
                <w:rFonts w:ascii="Garamond" w:eastAsia="Times New Roman" w:hAnsi="Garamond"/>
                <w:b/>
                <w:bCs/>
                <w:color w:val="000000"/>
              </w:rPr>
              <w:t>Underlying medical conditions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1C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E6D9" w14:textId="77777777" w:rsidR="006D57B9" w:rsidRPr="006E5C75" w:rsidRDefault="006D57B9" w:rsidP="000E2245">
            <w:pPr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597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564EB" w14:textId="77777777" w:rsidR="006D57B9" w:rsidRPr="002C0E44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54A8" w14:textId="77777777" w:rsidR="006D57B9" w:rsidRPr="002C0E44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56DF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2786F" w14:textId="77777777" w:rsidR="006D57B9" w:rsidRPr="00F85825" w:rsidRDefault="006D57B9" w:rsidP="000E2245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FD8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35B0" w14:textId="77777777" w:rsidR="006D57B9" w:rsidRPr="00F85825" w:rsidRDefault="006D57B9" w:rsidP="000E224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9ED" w14:textId="77777777" w:rsidR="006D57B9" w:rsidRPr="00C029E4" w:rsidRDefault="006D57B9" w:rsidP="000E2245">
            <w:pPr>
              <w:rPr>
                <w:rFonts w:ascii="Garamond" w:eastAsia="Times New Roman" w:hAnsi="Garamond" w:cs="Times New Roman"/>
                <w:color w:val="FF0000"/>
              </w:rPr>
            </w:pPr>
          </w:p>
        </w:tc>
      </w:tr>
      <w:tr w:rsidR="006D57B9" w:rsidRPr="00CB1355" w14:paraId="172FEA09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2D68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Cardiovascular disease</w:t>
            </w:r>
            <w:r w:rsidRPr="00EC4280">
              <w:rPr>
                <w:vertAlign w:val="superscript"/>
              </w:rPr>
              <w:t>§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0C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53B0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A8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A3327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(16.4)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39E7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0.033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1D8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3C048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(2.9)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AD0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2938B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F723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0.818</w:t>
            </w:r>
          </w:p>
        </w:tc>
      </w:tr>
      <w:tr w:rsidR="006D57B9" w:rsidRPr="00CB1355" w14:paraId="0EC1AE88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1976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Chronic lung disease</w:t>
            </w:r>
            <w:r w:rsidRPr="00EC4280">
              <w:rPr>
                <w:vertAlign w:val="superscript"/>
              </w:rPr>
              <w:t>§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491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B4A35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(0.1)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A54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7F66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(5.8)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3F74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0.002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EFB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9EC14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(0.1)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FB6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007CB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(0.5)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C5F2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0.440</w:t>
            </w:r>
          </w:p>
        </w:tc>
      </w:tr>
      <w:tr w:rsidR="006D57B9" w:rsidRPr="00CB1355" w14:paraId="78D8303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542D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Asthma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01B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A7CC2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(7.9)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1B2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BB0F6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(20.9)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0A8A2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0.019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0B78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ED268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(8.1)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DB7E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3200F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(16.3)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842B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0.367</w:t>
            </w:r>
          </w:p>
        </w:tc>
      </w:tr>
      <w:tr w:rsidR="006D57B9" w:rsidRPr="00CB1355" w14:paraId="081FD16E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81C8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Chronic metabolic disease</w:t>
            </w:r>
            <w:r w:rsidRPr="00EC4280">
              <w:rPr>
                <w:vertAlign w:val="superscript"/>
              </w:rPr>
              <w:t>§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A59C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7FDE1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105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98650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(32.0)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A1AC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&lt;.001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200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82721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(2.4)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404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0DDED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AA15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0.051</w:t>
            </w:r>
          </w:p>
        </w:tc>
      </w:tr>
      <w:tr w:rsidR="006D57B9" w:rsidRPr="00CB1355" w14:paraId="5BA280B1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EB8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Diabetes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6CE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7E2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B43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BDC2B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(23.8)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4DDD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&lt;.001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4DF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3E3D4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(1.0)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D87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9B5E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(5.7)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1A6D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0.127</w:t>
            </w:r>
          </w:p>
        </w:tc>
      </w:tr>
      <w:tr w:rsidR="006D57B9" w:rsidRPr="00CB1355" w14:paraId="03E49957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EFE1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Thyroid Dysfunction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B9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4FA2D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(1.5)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6E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97394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(11.5)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C8C3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0.016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C12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AF01A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(1.5)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CD0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EB975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(5.6)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ABCC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0.155</w:t>
            </w:r>
          </w:p>
        </w:tc>
      </w:tr>
      <w:tr w:rsidR="006D57B9" w:rsidRPr="00CB1355" w14:paraId="1127D1BD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51E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Hypertension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7A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6F15A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(8.6)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ACD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206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DA3E6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(29.6)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577D5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0.252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8F1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0CB56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(8.8)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0C2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F5FAE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(6.5)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8421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0.586</w:t>
            </w:r>
          </w:p>
        </w:tc>
      </w:tr>
      <w:tr w:rsidR="006D57B9" w:rsidRPr="00CB1355" w14:paraId="2B8CA6EB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FAC7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Liver disease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A32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C7B33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7F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8B2E9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(4.3)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68DE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0.585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C66A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3D26F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(2.1)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4F6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D0D00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(7.4)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87C0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0.223</w:t>
            </w:r>
          </w:p>
        </w:tc>
      </w:tr>
      <w:tr w:rsidR="006D57B9" w:rsidRPr="00CB1355" w14:paraId="3F0AEBCC" w14:textId="77777777" w:rsidTr="000E2245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5ADD" w14:textId="77777777" w:rsidR="006D57B9" w:rsidRPr="00CB1355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CB1355">
              <w:rPr>
                <w:rFonts w:ascii="Garamond" w:eastAsia="Times New Roman" w:hAnsi="Garamond"/>
                <w:color w:val="000000"/>
              </w:rPr>
              <w:t>Neurologic condition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B3C9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C2E9E" w14:textId="77777777" w:rsidR="006D57B9" w:rsidRPr="006E5C75" w:rsidRDefault="006D57B9" w:rsidP="000E2245">
            <w:pPr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(2.1)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1BF8" w14:textId="77777777" w:rsidR="006D57B9" w:rsidRPr="006E5C7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6E5C75">
              <w:rPr>
                <w:rFonts w:ascii="Garamond" w:eastAsia="Times New Roman" w:hAnsi="Garamond"/>
              </w:rPr>
              <w:t>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ED840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(9.4)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B0351" w14:textId="77777777" w:rsidR="006D57B9" w:rsidRPr="002C0E44" w:rsidRDefault="006D57B9" w:rsidP="000E2245">
            <w:pPr>
              <w:rPr>
                <w:rFonts w:ascii="Garamond" w:eastAsia="Times New Roman" w:hAnsi="Garamond"/>
              </w:rPr>
            </w:pPr>
            <w:r w:rsidRPr="002C0E44">
              <w:rPr>
                <w:rFonts w:ascii="Garamond" w:eastAsia="Times New Roman" w:hAnsi="Garamond"/>
              </w:rPr>
              <w:t>0.103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FBC3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950A9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(2.1)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6818" w14:textId="77777777" w:rsidR="006D57B9" w:rsidRPr="00F85825" w:rsidRDefault="006D57B9" w:rsidP="000E2245">
            <w:pPr>
              <w:jc w:val="right"/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E2E91" w14:textId="77777777" w:rsidR="006D57B9" w:rsidRPr="00F85825" w:rsidRDefault="006D57B9" w:rsidP="000E2245">
            <w:pPr>
              <w:rPr>
                <w:rFonts w:ascii="Garamond" w:eastAsia="Times New Roman" w:hAnsi="Garamond"/>
              </w:rPr>
            </w:pPr>
            <w:r w:rsidRPr="00F85825">
              <w:rPr>
                <w:rFonts w:ascii="Garamond" w:eastAsia="Times New Roman" w:hAnsi="Garamond"/>
              </w:rPr>
              <w:t>(1.3)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D6651" w14:textId="77777777" w:rsidR="006D57B9" w:rsidRPr="00C029E4" w:rsidRDefault="006D57B9" w:rsidP="000E2245">
            <w:pPr>
              <w:rPr>
                <w:rFonts w:ascii="Garamond" w:eastAsia="Times New Roman" w:hAnsi="Garamond"/>
              </w:rPr>
            </w:pPr>
            <w:r w:rsidRPr="00C029E4">
              <w:rPr>
                <w:rFonts w:ascii="Garamond" w:eastAsia="Times New Roman" w:hAnsi="Garamond"/>
              </w:rPr>
              <w:t>0.463</w:t>
            </w:r>
          </w:p>
        </w:tc>
      </w:tr>
    </w:tbl>
    <w:bookmarkEnd w:id="0"/>
    <w:p w14:paraId="2104B7B2" w14:textId="77777777" w:rsidR="006D57B9" w:rsidRPr="004D19F8" w:rsidRDefault="006D57B9" w:rsidP="006D57B9">
      <w:pPr>
        <w:pStyle w:val="CommentText"/>
        <w:spacing w:after="0"/>
        <w:rPr>
          <w:rFonts w:ascii="Garamond" w:hAnsi="Garamond"/>
        </w:rPr>
      </w:pPr>
      <w:r>
        <w:rPr>
          <w:rFonts w:ascii="Garamond" w:hAnsi="Garamond"/>
        </w:rPr>
        <w:t>Abbreviation: PSM = propensity score matching, ref=reference group</w:t>
      </w:r>
    </w:p>
    <w:p w14:paraId="4D07DF2F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102897">
        <w:rPr>
          <w:rFonts w:ascii="Garamond" w:hAnsi="Garamond"/>
          <w:vertAlign w:val="superscript"/>
        </w:rPr>
        <w:t>*</w:t>
      </w:r>
      <w:r w:rsidRPr="00102897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are</w:t>
      </w:r>
      <w:r w:rsidRPr="00102897">
        <w:rPr>
          <w:rFonts w:ascii="Garamond" w:hAnsi="Garamond" w:cs="Times New Roman"/>
        </w:rPr>
        <w:t xml:space="preserve"> from the COVID-19-Associated Hospitalization Surveillance Network</w:t>
      </w:r>
      <w:r>
        <w:rPr>
          <w:rFonts w:ascii="Garamond" w:hAnsi="Garamond" w:cs="Times New Roman"/>
        </w:rPr>
        <w:t xml:space="preserve"> (</w:t>
      </w:r>
      <w:r w:rsidRPr="00102897">
        <w:rPr>
          <w:rFonts w:ascii="Garamond" w:hAnsi="Garamond" w:cs="Times New Roman"/>
        </w:rPr>
        <w:t>COVID-NET</w:t>
      </w:r>
      <w:r>
        <w:rPr>
          <w:rFonts w:ascii="Garamond" w:hAnsi="Garamond" w:cs="Times New Roman"/>
        </w:rPr>
        <w:t>)</w:t>
      </w:r>
      <w:r w:rsidRPr="00102897">
        <w:rPr>
          <w:rFonts w:ascii="Garamond" w:hAnsi="Garamond" w:cs="Times New Roman"/>
        </w:rPr>
        <w:t>, 14 states, January</w:t>
      </w:r>
      <w:r w:rsidRPr="00774E24">
        <w:rPr>
          <w:rFonts w:ascii="Garamond" w:hAnsi="Garamond" w:cs="Times New Roman"/>
          <w:sz w:val="22"/>
          <w:szCs w:val="22"/>
        </w:rPr>
        <w:t>–</w:t>
      </w:r>
      <w:r w:rsidRPr="00102897">
        <w:rPr>
          <w:rFonts w:ascii="Garamond" w:hAnsi="Garamond" w:cs="Times New Roman"/>
        </w:rPr>
        <w:t>November 2021</w:t>
      </w:r>
      <w:r>
        <w:rPr>
          <w:rFonts w:ascii="Garamond" w:hAnsi="Garamond" w:cs="Times New Roman"/>
        </w:rPr>
        <w:t>.</w:t>
      </w:r>
    </w:p>
    <w:p w14:paraId="4209FEC4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396751">
        <w:rPr>
          <w:rFonts w:ascii="Garamond" w:hAnsi="Garamond"/>
          <w:vertAlign w:val="superscript"/>
        </w:rPr>
        <w:t>†</w:t>
      </w:r>
      <w:r>
        <w:rPr>
          <w:rFonts w:ascii="Garamond" w:hAnsi="Garamond" w:cs="Times New Roman"/>
        </w:rPr>
        <w:t xml:space="preserve">P-values are from generalized estimating equation models that adjust for sampling variables age and month and account for clustering by site and complex sampling weights. </w:t>
      </w:r>
    </w:p>
    <w:p w14:paraId="147F863D" w14:textId="77777777" w:rsidR="006D57B9" w:rsidRDefault="006D57B9" w:rsidP="006D57B9">
      <w:pPr>
        <w:pStyle w:val="CommentText"/>
        <w:spacing w:after="0"/>
        <w:rPr>
          <w:rFonts w:ascii="Garamond" w:hAnsi="Garamond" w:cs="Times New Roman"/>
        </w:rPr>
      </w:pPr>
      <w:r w:rsidRPr="00396751">
        <w:rPr>
          <w:rFonts w:ascii="Garamond" w:hAnsi="Garamond"/>
          <w:vertAlign w:val="superscript"/>
        </w:rPr>
        <w:t>‡</w:t>
      </w:r>
      <w:r>
        <w:rPr>
          <w:rFonts w:ascii="Garamond" w:hAnsi="Garamond" w:cs="Times New Roman"/>
        </w:rPr>
        <w:t xml:space="preserve">None of the above category includes multiracial, non-Hispanic and unknown race/ethnicity categories to generate p-values due to small cell sizes due to PSM. </w:t>
      </w:r>
    </w:p>
    <w:p w14:paraId="7B4D8E40" w14:textId="77777777" w:rsidR="006D57B9" w:rsidRPr="00076869" w:rsidRDefault="006D57B9" w:rsidP="006D57B9">
      <w:pPr>
        <w:pStyle w:val="CommentText"/>
        <w:spacing w:after="0"/>
        <w:rPr>
          <w:rFonts w:ascii="Garamond" w:hAnsi="Garamond"/>
        </w:rPr>
      </w:pPr>
      <w:r w:rsidRPr="00EC4280">
        <w:rPr>
          <w:vertAlign w:val="superscript"/>
        </w:rPr>
        <w:t>§</w:t>
      </w:r>
      <w:proofErr w:type="gramStart"/>
      <w:r>
        <w:rPr>
          <w:rFonts w:ascii="Garamond" w:hAnsi="Garamond"/>
        </w:rPr>
        <w:t>Cardiovascular disease</w:t>
      </w:r>
      <w:proofErr w:type="gramEnd"/>
      <w:r>
        <w:rPr>
          <w:rFonts w:ascii="Garamond" w:hAnsi="Garamond"/>
        </w:rPr>
        <w:t xml:space="preserve"> does not include hypertension, chronic lung disease does not include asthma and chronic metabolic disease does not include diabetes or thyroid dysfunction. </w:t>
      </w:r>
    </w:p>
    <w:p w14:paraId="69572103" w14:textId="77777777" w:rsidR="006D57B9" w:rsidRPr="00B51BD3" w:rsidRDefault="006D57B9" w:rsidP="006D57B9">
      <w:pPr>
        <w:spacing w:line="480" w:lineRule="auto"/>
        <w:rPr>
          <w:rFonts w:ascii="Garamond" w:hAnsi="Garamond" w:cs="Times New Roman"/>
        </w:rPr>
      </w:pPr>
    </w:p>
    <w:p w14:paraId="4E9A625B" w14:textId="77777777" w:rsidR="006D57B9" w:rsidRDefault="006D57B9" w:rsidP="006D57B9">
      <w:pPr>
        <w:spacing w:line="480" w:lineRule="auto"/>
        <w:rPr>
          <w:rFonts w:ascii="Garamond" w:hAnsi="Garamond" w:cs="Times New Roman"/>
          <w:b/>
          <w:bCs/>
        </w:rPr>
        <w:sectPr w:rsidR="006D57B9" w:rsidSect="000139E5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3BC16FA" w14:textId="77777777" w:rsidR="006D57B9" w:rsidRDefault="006D57B9" w:rsidP="006D57B9">
      <w:pPr>
        <w:rPr>
          <w:rFonts w:ascii="Garamond" w:hAnsi="Garamond" w:cs="Times New Roman"/>
          <w:b/>
          <w:bCs/>
        </w:rPr>
      </w:pPr>
      <w:r w:rsidRPr="008E3E3B">
        <w:rPr>
          <w:rFonts w:ascii="Garamond" w:hAnsi="Garamond" w:cs="Times New Roman"/>
          <w:b/>
          <w:bCs/>
        </w:rPr>
        <w:lastRenderedPageBreak/>
        <w:t>Table S</w:t>
      </w:r>
      <w:r>
        <w:rPr>
          <w:rFonts w:ascii="Garamond" w:hAnsi="Garamond" w:cs="Times New Roman"/>
          <w:b/>
          <w:bCs/>
        </w:rPr>
        <w:t>5</w:t>
      </w:r>
      <w:r w:rsidRPr="008E3E3B">
        <w:rPr>
          <w:rFonts w:ascii="Garamond" w:hAnsi="Garamond" w:cs="Times New Roman"/>
          <w:b/>
          <w:bCs/>
        </w:rPr>
        <w:t xml:space="preserve">. </w:t>
      </w:r>
      <w:r>
        <w:rPr>
          <w:rFonts w:ascii="Garamond" w:hAnsi="Garamond" w:cs="Times New Roman"/>
          <w:b/>
          <w:bCs/>
        </w:rPr>
        <w:t>Multivariable regression and inverse probability treatment weighting for estimating the prevalence ratio of treatment by pregnancy status</w:t>
      </w:r>
      <w:r w:rsidRPr="00070633">
        <w:rPr>
          <w:rFonts w:ascii="Garamond" w:hAnsi="Garamond" w:cs="Times New Roman"/>
          <w:b/>
          <w:bCs/>
          <w:vertAlign w:val="superscript"/>
        </w:rPr>
        <w:t>*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2552"/>
        <w:gridCol w:w="1406"/>
        <w:gridCol w:w="1845"/>
        <w:gridCol w:w="906"/>
        <w:gridCol w:w="1360"/>
        <w:gridCol w:w="579"/>
        <w:gridCol w:w="1281"/>
        <w:gridCol w:w="732"/>
      </w:tblGrid>
      <w:tr w:rsidR="006D57B9" w:rsidRPr="00DA5DC0" w14:paraId="507A61D7" w14:textId="77777777" w:rsidTr="000E2245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A2719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DA5DC0">
              <w:rPr>
                <w:rFonts w:ascii="Garamond" w:eastAsia="Times New Roman" w:hAnsi="Garamond"/>
                <w:b/>
                <w:bCs/>
                <w:color w:val="000000"/>
              </w:rPr>
              <w:t>Method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ABF5A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 xml:space="preserve">Propensity </w:t>
            </w:r>
            <w:r w:rsidRPr="00DA5DC0">
              <w:rPr>
                <w:rFonts w:ascii="Garamond" w:eastAsia="Times New Roman" w:hAnsi="Garamond"/>
                <w:b/>
                <w:bCs/>
                <w:color w:val="000000"/>
              </w:rPr>
              <w:t>logistic model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AE4B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DA5DC0">
              <w:rPr>
                <w:rFonts w:ascii="Garamond" w:eastAsia="Times New Roman" w:hAnsi="Garamond"/>
                <w:b/>
                <w:bCs/>
                <w:color w:val="000000"/>
              </w:rPr>
              <w:t>Outcome GEE Model</w:t>
            </w:r>
          </w:p>
        </w:tc>
      </w:tr>
      <w:tr w:rsidR="006D57B9" w:rsidRPr="00DA5DC0" w14:paraId="441C24DD" w14:textId="77777777" w:rsidTr="000E2245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852D8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E4DD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</w:rPr>
            </w:pPr>
            <w:r w:rsidRPr="001940E5">
              <w:rPr>
                <w:rFonts w:ascii="Garamond" w:eastAsia="Times New Roman" w:hAnsi="Garamond"/>
                <w:b/>
                <w:bCs/>
              </w:rPr>
              <w:t>Sample weighting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B534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Outcome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37DF" w14:textId="77777777" w:rsidR="006D57B9" w:rsidRPr="001940E5" w:rsidRDefault="006D57B9" w:rsidP="000E2245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Doubly Robust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57C2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Weight used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56C3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53E6" w14:textId="77777777" w:rsidR="006D57B9" w:rsidRPr="001940E5" w:rsidRDefault="006D57B9" w:rsidP="000E224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95% CI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8F52" w14:textId="77777777" w:rsidR="006D57B9" w:rsidRPr="001940E5" w:rsidRDefault="006D57B9" w:rsidP="000E2245">
            <w:pPr>
              <w:jc w:val="right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1940E5">
              <w:rPr>
                <w:rFonts w:ascii="Garamond" w:eastAsia="Times New Roman" w:hAnsi="Garamond"/>
                <w:b/>
                <w:bCs/>
                <w:color w:val="000000"/>
              </w:rPr>
              <w:t>P-value</w:t>
            </w:r>
          </w:p>
        </w:tc>
      </w:tr>
      <w:tr w:rsidR="006D57B9" w:rsidRPr="00DA5DC0" w14:paraId="6BF8C582" w14:textId="77777777" w:rsidTr="000E2245">
        <w:trPr>
          <w:trHeight w:val="290"/>
        </w:trPr>
        <w:tc>
          <w:tcPr>
            <w:tcW w:w="10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F1798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1. Multivaria</w:t>
            </w:r>
            <w:r>
              <w:rPr>
                <w:rFonts w:ascii="Garamond" w:eastAsia="Times New Roman" w:hAnsi="Garamond"/>
                <w:color w:val="000000"/>
              </w:rPr>
              <w:t>ble</w:t>
            </w:r>
            <w:r w:rsidRPr="00DA5DC0">
              <w:rPr>
                <w:rFonts w:ascii="Garamond" w:eastAsia="Times New Roman" w:hAnsi="Garamond"/>
                <w:color w:val="000000"/>
              </w:rPr>
              <w:t xml:space="preserve"> regression</w:t>
            </w:r>
            <w:r w:rsidRPr="00D61951">
              <w:rPr>
                <w:rFonts w:ascii="Garamond" w:hAnsi="Garamond"/>
                <w:vertAlign w:val="superscript"/>
              </w:rPr>
              <w:t>†</w:t>
            </w:r>
          </w:p>
        </w:tc>
      </w:tr>
      <w:tr w:rsidR="006D57B9" w:rsidRPr="00DA5DC0" w14:paraId="7E9A7981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FB4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D6766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NA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48C06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Remdesivir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C7F18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4AF68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sample weight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A1400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0.7</w:t>
            </w:r>
            <w:r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E4182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0.65</w:t>
            </w:r>
            <w:r>
              <w:rPr>
                <w:rFonts w:ascii="Garamond" w:eastAsia="Times New Roman" w:hAnsi="Garamond"/>
                <w:color w:val="000000"/>
              </w:rPr>
              <w:t>-0.91)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3D54C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0.00</w:t>
            </w:r>
            <w:r>
              <w:rPr>
                <w:rFonts w:ascii="Garamond" w:eastAsia="Times New Roman" w:hAnsi="Garamond"/>
                <w:color w:val="000000"/>
              </w:rPr>
              <w:t>2</w:t>
            </w:r>
          </w:p>
        </w:tc>
      </w:tr>
      <w:tr w:rsidR="006D57B9" w:rsidRPr="00DA5DC0" w14:paraId="7D68F024" w14:textId="77777777" w:rsidTr="000E2245">
        <w:trPr>
          <w:trHeight w:val="310"/>
        </w:trPr>
        <w:tc>
          <w:tcPr>
            <w:tcW w:w="10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45336" w14:textId="77777777" w:rsidR="006D57B9" w:rsidRPr="00C25B55" w:rsidRDefault="006D57B9" w:rsidP="000E2245">
            <w:pPr>
              <w:rPr>
                <w:rFonts w:ascii="Garamond" w:hAnsi="Garamond" w:cs="Times New Roman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2. Inverse Probability Treatment Weighting</w:t>
            </w:r>
            <w:r w:rsidRPr="00F86B4C">
              <w:rPr>
                <w:rFonts w:ascii="Garamond" w:hAnsi="Garamond"/>
                <w:vertAlign w:val="superscript"/>
              </w:rPr>
              <w:t>‡</w:t>
            </w:r>
          </w:p>
        </w:tc>
      </w:tr>
      <w:tr w:rsidR="006D57B9" w:rsidRPr="00DA5DC0" w14:paraId="66D00608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97C1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9890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 xml:space="preserve">No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90CD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Remdesivir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BCB3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E9A8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A894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0.8</w:t>
            </w:r>
            <w:r>
              <w:rPr>
                <w:rFonts w:ascii="Garamond" w:eastAsia="Times New Roman" w:hAnsi="Garamond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E160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68-0.94)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EEC6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0.007</w:t>
            </w:r>
          </w:p>
        </w:tc>
      </w:tr>
      <w:tr w:rsidR="006D57B9" w:rsidRPr="00DA5DC0" w14:paraId="1200A900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548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5692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FA3A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Remdesivir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5F16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8491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83A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0.9</w:t>
            </w:r>
            <w:r>
              <w:rPr>
                <w:rFonts w:ascii="Garamond" w:eastAsia="Times New Roman" w:hAnsi="Garamond"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2A09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0.8</w:t>
            </w:r>
            <w:r>
              <w:rPr>
                <w:rFonts w:ascii="Garamond" w:eastAsia="Times New Roman" w:hAnsi="Garamond"/>
                <w:color w:val="000000"/>
              </w:rPr>
              <w:t>6-1.11)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4D9E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0.768</w:t>
            </w:r>
          </w:p>
        </w:tc>
      </w:tr>
      <w:tr w:rsidR="006D57B9" w:rsidRPr="00DA5DC0" w14:paraId="46E24CFA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02F8E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D2A2A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73CFD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Remdesivir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B846E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47DF3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0B53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0.8</w:t>
            </w:r>
            <w:r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49BAD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0.7</w:t>
            </w:r>
            <w:r>
              <w:rPr>
                <w:rFonts w:ascii="Garamond" w:eastAsia="Times New Roman" w:hAnsi="Garamond"/>
                <w:color w:val="000000"/>
              </w:rPr>
              <w:t>8-0.98)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52B7E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0.020</w:t>
            </w:r>
            <w:r w:rsidRPr="00DA5DC0">
              <w:rPr>
                <w:rFonts w:ascii="Garamond" w:eastAsia="Times New Roman" w:hAnsi="Garamond"/>
                <w:color w:val="000000"/>
              </w:rPr>
              <w:t> </w:t>
            </w:r>
          </w:p>
        </w:tc>
      </w:tr>
      <w:tr w:rsidR="006D57B9" w:rsidRPr="00DA5DC0" w14:paraId="6087530A" w14:textId="77777777" w:rsidTr="000E2245">
        <w:trPr>
          <w:trHeight w:val="290"/>
        </w:trPr>
        <w:tc>
          <w:tcPr>
            <w:tcW w:w="10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FE23E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1. Multivaria</w:t>
            </w:r>
            <w:r>
              <w:rPr>
                <w:rFonts w:ascii="Garamond" w:eastAsia="Times New Roman" w:hAnsi="Garamond"/>
                <w:color w:val="000000"/>
              </w:rPr>
              <w:t xml:space="preserve">ble </w:t>
            </w:r>
            <w:r w:rsidRPr="00DA5DC0">
              <w:rPr>
                <w:rFonts w:ascii="Garamond" w:eastAsia="Times New Roman" w:hAnsi="Garamond"/>
                <w:color w:val="000000"/>
              </w:rPr>
              <w:t>regression</w:t>
            </w:r>
            <w:r w:rsidRPr="00D61951">
              <w:rPr>
                <w:rFonts w:ascii="Garamond" w:hAnsi="Garamond"/>
                <w:vertAlign w:val="superscript"/>
              </w:rPr>
              <w:t>†</w:t>
            </w:r>
          </w:p>
        </w:tc>
      </w:tr>
      <w:tr w:rsidR="006D57B9" w:rsidRPr="00DA5DC0" w14:paraId="0746390C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A3D7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3697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NA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FD46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Systemic steroids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25AC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F6A7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sample weight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1CDC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2CF6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55-0.85)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E21D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&lt;.001</w:t>
            </w:r>
          </w:p>
        </w:tc>
      </w:tr>
      <w:tr w:rsidR="006D57B9" w:rsidRPr="00DA5DC0" w14:paraId="2B12AC76" w14:textId="77777777" w:rsidTr="000E2245">
        <w:trPr>
          <w:trHeight w:val="290"/>
        </w:trPr>
        <w:tc>
          <w:tcPr>
            <w:tcW w:w="10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31EA" w14:textId="77777777" w:rsidR="006D57B9" w:rsidRPr="00C25B55" w:rsidRDefault="006D57B9" w:rsidP="000E2245">
            <w:pPr>
              <w:rPr>
                <w:rFonts w:ascii="Garamond" w:hAnsi="Garamond" w:cs="Times New Roman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2. Inverse Probability Treatment Weighting</w:t>
            </w:r>
            <w:r w:rsidRPr="00F86B4C">
              <w:rPr>
                <w:rFonts w:ascii="Garamond" w:hAnsi="Garamond"/>
                <w:vertAlign w:val="superscript"/>
              </w:rPr>
              <w:t>‡</w:t>
            </w:r>
          </w:p>
        </w:tc>
      </w:tr>
      <w:tr w:rsidR="006D57B9" w:rsidRPr="00DA5DC0" w14:paraId="22FC895F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E52A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3BDF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 xml:space="preserve">No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BC05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Systemic steroids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D5C6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CB20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34F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8CE5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0.7</w:t>
            </w:r>
            <w:r>
              <w:rPr>
                <w:rFonts w:ascii="Garamond" w:eastAsia="Times New Roman" w:hAnsi="Garamond"/>
                <w:color w:val="000000"/>
              </w:rPr>
              <w:t>5-0.85)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0AA1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&lt;.001</w:t>
            </w:r>
          </w:p>
        </w:tc>
      </w:tr>
      <w:tr w:rsidR="006D57B9" w:rsidRPr="00DA5DC0" w14:paraId="7AAB7569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D4E8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A87E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A5F0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S</w:t>
            </w:r>
            <w:r w:rsidRPr="00DA5DC0">
              <w:rPr>
                <w:rFonts w:ascii="Garamond" w:eastAsia="Times New Roman" w:hAnsi="Garamond"/>
                <w:color w:val="000000"/>
              </w:rPr>
              <w:t>ystemic steroids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E2EB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3F71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A55F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06C1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</w:t>
            </w:r>
            <w:r>
              <w:rPr>
                <w:rFonts w:ascii="Garamond" w:eastAsia="Times New Roman" w:hAnsi="Garamond"/>
                <w:color w:val="000000"/>
              </w:rPr>
              <w:t>83-0.99)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DA68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0.0</w:t>
            </w:r>
            <w:r>
              <w:rPr>
                <w:rFonts w:ascii="Garamond" w:eastAsia="Times New Roman" w:hAnsi="Garamond"/>
                <w:color w:val="000000"/>
              </w:rPr>
              <w:t>29</w:t>
            </w:r>
          </w:p>
        </w:tc>
      </w:tr>
      <w:tr w:rsidR="006D57B9" w:rsidRPr="00DA5DC0" w14:paraId="676666D1" w14:textId="77777777" w:rsidTr="000E224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42EBD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1CA38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7C412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Systemic steroids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9DECC" w14:textId="77777777" w:rsidR="006D57B9" w:rsidRPr="00DA5DC0" w:rsidRDefault="006D57B9" w:rsidP="000E2245">
            <w:pPr>
              <w:rPr>
                <w:rFonts w:ascii="Garamond" w:eastAsia="Times New Roman" w:hAnsi="Garamond"/>
              </w:rPr>
            </w:pPr>
            <w:r w:rsidRPr="00DA5DC0">
              <w:rPr>
                <w:rFonts w:ascii="Garamond" w:eastAsia="Times New Roman" w:hAnsi="Garamond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52667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final weight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F25A5" w14:textId="77777777" w:rsidR="006D57B9" w:rsidRPr="00DA5DC0" w:rsidRDefault="006D57B9" w:rsidP="000E224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0.87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3F7D2" w14:textId="77777777" w:rsidR="006D57B9" w:rsidRPr="00DA5DC0" w:rsidRDefault="006D57B9" w:rsidP="000E2245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(</w:t>
            </w:r>
            <w:r w:rsidRPr="00DA5DC0">
              <w:rPr>
                <w:rFonts w:ascii="Garamond" w:eastAsia="Times New Roman" w:hAnsi="Garamond"/>
                <w:color w:val="000000"/>
              </w:rPr>
              <w:t>0.8</w:t>
            </w:r>
            <w:r>
              <w:rPr>
                <w:rFonts w:ascii="Garamond" w:eastAsia="Times New Roman" w:hAnsi="Garamond"/>
                <w:color w:val="000000"/>
              </w:rPr>
              <w:t>2-0.93)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6F4B4" w14:textId="77777777" w:rsidR="006D57B9" w:rsidRPr="00DA5DC0" w:rsidRDefault="006D57B9" w:rsidP="000E2245">
            <w:pPr>
              <w:jc w:val="right"/>
              <w:rPr>
                <w:rFonts w:ascii="Garamond" w:eastAsia="Times New Roman" w:hAnsi="Garamond"/>
                <w:color w:val="000000"/>
              </w:rPr>
            </w:pPr>
            <w:r w:rsidRPr="00DA5DC0">
              <w:rPr>
                <w:rFonts w:ascii="Garamond" w:eastAsia="Times New Roman" w:hAnsi="Garamond"/>
                <w:color w:val="000000"/>
              </w:rPr>
              <w:t>&lt;.001</w:t>
            </w:r>
          </w:p>
        </w:tc>
      </w:tr>
    </w:tbl>
    <w:p w14:paraId="5E83606D" w14:textId="77777777" w:rsidR="006D57B9" w:rsidRPr="00C25B55" w:rsidRDefault="006D57B9" w:rsidP="006D57B9">
      <w:pPr>
        <w:rPr>
          <w:rFonts w:ascii="Garamond" w:hAnsi="Garamond" w:cs="Times New Roman"/>
          <w:sz w:val="20"/>
          <w:szCs w:val="20"/>
        </w:rPr>
      </w:pPr>
      <w:r w:rsidRPr="00C25B55">
        <w:rPr>
          <w:rFonts w:ascii="Garamond" w:hAnsi="Garamond" w:cs="Times New Roman"/>
          <w:sz w:val="20"/>
          <w:szCs w:val="20"/>
        </w:rPr>
        <w:t>Abbreviations: GEE=generalized estimating equations, NA=not applicable</w:t>
      </w:r>
    </w:p>
    <w:p w14:paraId="71172324" w14:textId="77777777" w:rsidR="006D57B9" w:rsidRPr="00C25B55" w:rsidRDefault="006D57B9" w:rsidP="006D57B9">
      <w:pPr>
        <w:pStyle w:val="CommentText"/>
        <w:spacing w:after="0"/>
        <w:rPr>
          <w:rFonts w:ascii="Garamond" w:hAnsi="Garamond"/>
        </w:rPr>
      </w:pPr>
      <w:r w:rsidRPr="00C25B55">
        <w:rPr>
          <w:rFonts w:ascii="Garamond" w:hAnsi="Garamond" w:cs="Times New Roman"/>
        </w:rPr>
        <w:t>*</w:t>
      </w:r>
      <w:r>
        <w:rPr>
          <w:rFonts w:ascii="Garamond" w:hAnsi="Garamond" w:cs="Times New Roman"/>
        </w:rPr>
        <w:t>Data are</w:t>
      </w:r>
      <w:r w:rsidRPr="00C25B55">
        <w:rPr>
          <w:rFonts w:ascii="Garamond" w:hAnsi="Garamond" w:cs="Times New Roman"/>
        </w:rPr>
        <w:t xml:space="preserve"> from the COVID-19-Associated Hospitalization Surveillance Network. COVID-NET, 14 states, January</w:t>
      </w:r>
      <w:r w:rsidRPr="00774E24">
        <w:rPr>
          <w:rFonts w:ascii="Garamond" w:hAnsi="Garamond" w:cs="Times New Roman"/>
          <w:sz w:val="22"/>
          <w:szCs w:val="22"/>
        </w:rPr>
        <w:t>–</w:t>
      </w:r>
      <w:r w:rsidRPr="00C25B55">
        <w:rPr>
          <w:rFonts w:ascii="Garamond" w:hAnsi="Garamond" w:cs="Times New Roman"/>
        </w:rPr>
        <w:t xml:space="preserve">November 2021 and included hospitalized, symptomatic COVID-19 positive women who were eligible for treatment. All models included a total n=996 (123 pregnant and 873 non-pregnant women). </w:t>
      </w:r>
    </w:p>
    <w:p w14:paraId="1FAC0B59" w14:textId="77777777" w:rsidR="006D57B9" w:rsidRPr="00C25B55" w:rsidRDefault="006D57B9" w:rsidP="006D57B9">
      <w:pPr>
        <w:pStyle w:val="CommentText"/>
        <w:spacing w:after="0"/>
        <w:rPr>
          <w:rFonts w:ascii="Garamond" w:hAnsi="Garamond"/>
        </w:rPr>
      </w:pPr>
      <w:r w:rsidRPr="00C25B55">
        <w:rPr>
          <w:rFonts w:ascii="Garamond" w:hAnsi="Garamond"/>
          <w:vertAlign w:val="superscript"/>
        </w:rPr>
        <w:t>†</w:t>
      </w:r>
      <w:r>
        <w:rPr>
          <w:rFonts w:ascii="Garamond" w:hAnsi="Garamond"/>
        </w:rPr>
        <w:t>M</w:t>
      </w:r>
      <w:r>
        <w:rPr>
          <w:rFonts w:ascii="Garamond" w:hAnsi="Garamond" w:cs="Times New Roman"/>
        </w:rPr>
        <w:t xml:space="preserve">ultivariable models </w:t>
      </w:r>
      <w:r w:rsidRPr="00C25B55">
        <w:rPr>
          <w:rFonts w:ascii="Garamond" w:hAnsi="Garamond" w:cs="Times New Roman"/>
        </w:rPr>
        <w:t xml:space="preserve">used Poisson generalized estimating equation (GEE) models </w:t>
      </w:r>
      <w:r w:rsidRPr="00C25B55">
        <w:rPr>
          <w:rFonts w:ascii="Garamond" w:hAnsi="Garamond"/>
        </w:rPr>
        <w:t xml:space="preserve">to account for clustering by site and adjusted for </w:t>
      </w:r>
      <w:r>
        <w:rPr>
          <w:rFonts w:ascii="Garamond" w:hAnsi="Garamond"/>
        </w:rPr>
        <w:t xml:space="preserve">month, </w:t>
      </w:r>
      <w:r w:rsidRPr="00C25B55">
        <w:rPr>
          <w:rFonts w:ascii="Garamond" w:hAnsi="Garamond"/>
        </w:rPr>
        <w:t xml:space="preserve">age, </w:t>
      </w:r>
      <w:proofErr w:type="gramStart"/>
      <w:r w:rsidRPr="00C25B55">
        <w:rPr>
          <w:rFonts w:ascii="Garamond" w:hAnsi="Garamond"/>
        </w:rPr>
        <w:t>race</w:t>
      </w:r>
      <w:proofErr w:type="gramEnd"/>
      <w:r>
        <w:rPr>
          <w:rFonts w:ascii="Garamond" w:hAnsi="Garamond"/>
        </w:rPr>
        <w:t xml:space="preserve"> and ethnic group</w:t>
      </w:r>
      <w:r w:rsidRPr="00C25B55">
        <w:rPr>
          <w:rFonts w:ascii="Garamond" w:hAnsi="Garamond"/>
        </w:rPr>
        <w:t>, and underlying medical conditions, and accounted for complex sample weights.</w:t>
      </w:r>
    </w:p>
    <w:p w14:paraId="263C2522" w14:textId="77777777" w:rsidR="006D57B9" w:rsidRPr="00C25B55" w:rsidRDefault="006D57B9" w:rsidP="006D57B9">
      <w:pPr>
        <w:rPr>
          <w:rFonts w:ascii="Garamond" w:hAnsi="Garamond" w:cs="Times New Roman"/>
          <w:sz w:val="20"/>
          <w:szCs w:val="20"/>
        </w:rPr>
      </w:pPr>
      <w:r w:rsidRPr="00C25B55">
        <w:rPr>
          <w:rFonts w:ascii="Garamond" w:hAnsi="Garamond"/>
          <w:sz w:val="20"/>
          <w:szCs w:val="20"/>
          <w:vertAlign w:val="superscript"/>
        </w:rPr>
        <w:t>‡</w:t>
      </w:r>
      <w:r w:rsidRPr="00C25B55">
        <w:rPr>
          <w:rFonts w:ascii="Garamond" w:hAnsi="Garamond" w:cs="Times New Roman"/>
          <w:sz w:val="20"/>
          <w:szCs w:val="20"/>
        </w:rPr>
        <w:t xml:space="preserve">Inverse probability treatment weights (IPTW) are the inverse of the propensity score. </w:t>
      </w:r>
      <w:r w:rsidRPr="00B552F9">
        <w:rPr>
          <w:rFonts w:ascii="Garamond" w:hAnsi="Garamond" w:cs="Times New Roman"/>
          <w:sz w:val="20"/>
          <w:szCs w:val="20"/>
        </w:rPr>
        <w:t xml:space="preserve">First, we calculated propensity scores for each </w:t>
      </w:r>
      <w:r>
        <w:rPr>
          <w:rFonts w:ascii="Garamond" w:hAnsi="Garamond" w:cs="Times New Roman"/>
          <w:sz w:val="20"/>
          <w:szCs w:val="20"/>
        </w:rPr>
        <w:t>patient</w:t>
      </w:r>
      <w:r w:rsidRPr="00B552F9">
        <w:rPr>
          <w:rFonts w:ascii="Garamond" w:hAnsi="Garamond" w:cs="Times New Roman"/>
          <w:sz w:val="20"/>
          <w:szCs w:val="20"/>
        </w:rPr>
        <w:t xml:space="preserve"> using multivariable logistic regression to estimate the probability of pregnancy based on baseline covariates, among all women regardless of pregnancy status. The</w:t>
      </w:r>
      <w:r>
        <w:rPr>
          <w:rFonts w:ascii="Garamond" w:hAnsi="Garamond" w:cs="Times New Roman"/>
          <w:sz w:val="20"/>
          <w:szCs w:val="20"/>
        </w:rPr>
        <w:t xml:space="preserve"> propensity logistic</w:t>
      </w:r>
      <w:r w:rsidRPr="00B552F9">
        <w:rPr>
          <w:rFonts w:ascii="Garamond" w:hAnsi="Garamond" w:cs="Times New Roman"/>
          <w:sz w:val="20"/>
          <w:szCs w:val="20"/>
        </w:rPr>
        <w:t xml:space="preserve"> model included the following covariates: age group, site, </w:t>
      </w:r>
      <w:proofErr w:type="gramStart"/>
      <w:r w:rsidRPr="00B552F9">
        <w:rPr>
          <w:rFonts w:ascii="Garamond" w:hAnsi="Garamond" w:cs="Times New Roman"/>
          <w:sz w:val="20"/>
          <w:szCs w:val="20"/>
        </w:rPr>
        <w:t>race</w:t>
      </w:r>
      <w:proofErr w:type="gramEnd"/>
      <w:r w:rsidRPr="00B552F9">
        <w:rPr>
          <w:rFonts w:ascii="Garamond" w:hAnsi="Garamond" w:cs="Times New Roman"/>
          <w:sz w:val="20"/>
          <w:szCs w:val="20"/>
        </w:rPr>
        <w:t xml:space="preserve"> and Hispanic ethnicity group, and underlying medical conditions</w:t>
      </w:r>
      <w:r>
        <w:rPr>
          <w:rFonts w:ascii="Garamond" w:hAnsi="Garamond" w:cs="Times New Roman"/>
          <w:sz w:val="20"/>
          <w:szCs w:val="20"/>
        </w:rPr>
        <w:t xml:space="preserve">. </w:t>
      </w:r>
      <w:r w:rsidRPr="00B552F9">
        <w:rPr>
          <w:rFonts w:ascii="Garamond" w:hAnsi="Garamond" w:cs="Times New Roman"/>
          <w:sz w:val="20"/>
          <w:szCs w:val="20"/>
        </w:rPr>
        <w:t>The propensity models were weighted to account for the complex sampling weights.</w:t>
      </w:r>
      <w:r>
        <w:rPr>
          <w:rFonts w:ascii="Garamond" w:hAnsi="Garamond" w:cs="Times New Roman"/>
          <w:sz w:val="20"/>
          <w:szCs w:val="20"/>
        </w:rPr>
        <w:t xml:space="preserve"> Additionally, in propensity logistic </w:t>
      </w:r>
      <w:r w:rsidRPr="00C25B55">
        <w:rPr>
          <w:rFonts w:ascii="Garamond" w:hAnsi="Garamond" w:cs="Times New Roman"/>
          <w:sz w:val="20"/>
          <w:szCs w:val="20"/>
        </w:rPr>
        <w:t xml:space="preserve">models 2b and 2c complex sample weights were included as a predictor. </w:t>
      </w:r>
      <w:r>
        <w:rPr>
          <w:rFonts w:ascii="Garamond" w:hAnsi="Garamond" w:cs="Times New Roman"/>
          <w:sz w:val="20"/>
          <w:szCs w:val="20"/>
        </w:rPr>
        <w:t>Second, we calculated the inverse probability treatment weights (IPTW) by taking the inverse of the propensity score. We then multiplied the</w:t>
      </w:r>
      <w:r w:rsidRPr="00C25B55">
        <w:rPr>
          <w:rFonts w:ascii="Garamond" w:hAnsi="Garamond" w:cs="Times New Roman"/>
          <w:sz w:val="20"/>
          <w:szCs w:val="20"/>
        </w:rPr>
        <w:t xml:space="preserve"> IPTW by the complex sample weights to create a final weight. Finally, to model our outcome (</w:t>
      </w:r>
      <w:r>
        <w:rPr>
          <w:rFonts w:ascii="Garamond" w:hAnsi="Garamond" w:cs="Times New Roman"/>
          <w:sz w:val="20"/>
          <w:szCs w:val="20"/>
        </w:rPr>
        <w:t>r</w:t>
      </w:r>
      <w:r w:rsidRPr="00C25B55">
        <w:rPr>
          <w:rFonts w:ascii="Garamond" w:hAnsi="Garamond" w:cs="Times New Roman"/>
          <w:sz w:val="20"/>
          <w:szCs w:val="20"/>
        </w:rPr>
        <w:t xml:space="preserve">emdesivir or </w:t>
      </w:r>
      <w:r>
        <w:rPr>
          <w:rFonts w:ascii="Garamond" w:hAnsi="Garamond" w:cs="Times New Roman"/>
          <w:sz w:val="20"/>
          <w:szCs w:val="20"/>
        </w:rPr>
        <w:t>s</w:t>
      </w:r>
      <w:r w:rsidRPr="00C25B55">
        <w:rPr>
          <w:rFonts w:ascii="Garamond" w:hAnsi="Garamond" w:cs="Times New Roman"/>
          <w:sz w:val="20"/>
          <w:szCs w:val="20"/>
        </w:rPr>
        <w:t xml:space="preserve">ystemic steroid receipt) we used </w:t>
      </w:r>
      <w:r>
        <w:rPr>
          <w:rFonts w:ascii="Garamond" w:hAnsi="Garamond" w:cs="Times New Roman"/>
          <w:sz w:val="20"/>
          <w:szCs w:val="20"/>
        </w:rPr>
        <w:t>generalized estimating equation mod</w:t>
      </w:r>
      <w:r w:rsidRPr="00C25B55">
        <w:rPr>
          <w:rFonts w:ascii="Garamond" w:hAnsi="Garamond" w:cs="Times New Roman"/>
          <w:sz w:val="20"/>
          <w:szCs w:val="20"/>
        </w:rPr>
        <w:t>els</w:t>
      </w:r>
      <w:r w:rsidRPr="00C25B55">
        <w:rPr>
          <w:rFonts w:ascii="Garamond" w:hAnsi="Garamond"/>
          <w:sz w:val="20"/>
          <w:szCs w:val="20"/>
        </w:rPr>
        <w:t xml:space="preserve"> to account for clustering by site</w:t>
      </w:r>
      <w:r>
        <w:rPr>
          <w:rFonts w:ascii="Garamond" w:hAnsi="Garamond"/>
          <w:sz w:val="20"/>
          <w:szCs w:val="20"/>
        </w:rPr>
        <w:t xml:space="preserve"> and adjusted for age and month</w:t>
      </w:r>
      <w:r w:rsidRPr="00C25B55">
        <w:rPr>
          <w:rFonts w:ascii="Garamond" w:hAnsi="Garamond"/>
          <w:sz w:val="20"/>
          <w:szCs w:val="20"/>
        </w:rPr>
        <w:t xml:space="preserve">. Models 2a and 2c were doubly robust </w:t>
      </w:r>
      <w:r>
        <w:rPr>
          <w:rFonts w:ascii="Garamond" w:hAnsi="Garamond"/>
          <w:sz w:val="20"/>
          <w:szCs w:val="20"/>
        </w:rPr>
        <w:t>additionally adjusting</w:t>
      </w:r>
      <w:r w:rsidRPr="00C25B55">
        <w:rPr>
          <w:rFonts w:ascii="Garamond" w:hAnsi="Garamond"/>
          <w:sz w:val="20"/>
          <w:szCs w:val="20"/>
        </w:rPr>
        <w:t xml:space="preserve"> for </w:t>
      </w:r>
      <w:r>
        <w:rPr>
          <w:rFonts w:ascii="Garamond" w:hAnsi="Garamond"/>
          <w:sz w:val="20"/>
          <w:szCs w:val="20"/>
        </w:rPr>
        <w:t>race and ethnic group a</w:t>
      </w:r>
      <w:r w:rsidRPr="00C25B55">
        <w:rPr>
          <w:rFonts w:ascii="Garamond" w:hAnsi="Garamond"/>
          <w:sz w:val="20"/>
          <w:szCs w:val="20"/>
        </w:rPr>
        <w:t xml:space="preserve">nd underlying medical conditions. All </w:t>
      </w:r>
      <w:r>
        <w:rPr>
          <w:rFonts w:ascii="Garamond" w:hAnsi="Garamond"/>
          <w:sz w:val="20"/>
          <w:szCs w:val="20"/>
        </w:rPr>
        <w:t xml:space="preserve">outcome </w:t>
      </w:r>
      <w:r w:rsidRPr="00C25B55">
        <w:rPr>
          <w:rFonts w:ascii="Garamond" w:hAnsi="Garamond"/>
          <w:sz w:val="20"/>
          <w:szCs w:val="20"/>
        </w:rPr>
        <w:t xml:space="preserve">models were weighted by final weights.  </w:t>
      </w:r>
    </w:p>
    <w:p w14:paraId="6C694DFC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1EE1A513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51868C5D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31C3AA0C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3A5F552B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76531F0C" w14:textId="77777777" w:rsidR="006D57B9" w:rsidRDefault="006D57B9" w:rsidP="006D57B9">
      <w:pPr>
        <w:spacing w:line="480" w:lineRule="auto"/>
        <w:rPr>
          <w:rFonts w:ascii="Garamond" w:hAnsi="Garamond"/>
        </w:rPr>
      </w:pPr>
    </w:p>
    <w:p w14:paraId="6DDAF3B0" w14:textId="77777777" w:rsidR="006D57B9" w:rsidRDefault="006D57B9" w:rsidP="006D57B9">
      <w:pPr>
        <w:rPr>
          <w:rFonts w:ascii="Garamond" w:eastAsia="Calibri" w:hAnsi="Garamond" w:cstheme="minorHAnsi"/>
          <w:b/>
          <w:bCs/>
        </w:rPr>
      </w:pPr>
      <w:r w:rsidRPr="00385905">
        <w:rPr>
          <w:rFonts w:ascii="Garamond" w:eastAsia="Calibri" w:hAnsi="Garamond" w:cstheme="minorHAnsi"/>
          <w:b/>
          <w:bCs/>
        </w:rPr>
        <w:lastRenderedPageBreak/>
        <w:t>Appendix</w:t>
      </w:r>
    </w:p>
    <w:p w14:paraId="03C3892C" w14:textId="77777777" w:rsidR="006D57B9" w:rsidRPr="00385905" w:rsidRDefault="006D57B9" w:rsidP="006D57B9">
      <w:pPr>
        <w:rPr>
          <w:rFonts w:ascii="Garamond" w:eastAsia="Calibri" w:hAnsi="Garamond" w:cstheme="minorHAnsi"/>
          <w:b/>
          <w:bCs/>
        </w:rPr>
      </w:pPr>
    </w:p>
    <w:p w14:paraId="7F72158D" w14:textId="77777777" w:rsidR="006D57B9" w:rsidRDefault="006D57B9" w:rsidP="006D57B9">
      <w:pPr>
        <w:tabs>
          <w:tab w:val="left" w:pos="7934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>The COVID-NET Surveillance Team group authorship includes the following authors:</w:t>
      </w:r>
      <w:r>
        <w:rPr>
          <w:rFonts w:ascii="Garamond" w:hAnsi="Garamond" w:cs="Times New Roman"/>
        </w:rPr>
        <w:tab/>
      </w:r>
    </w:p>
    <w:p w14:paraId="56B1C7BE" w14:textId="1A90F813" w:rsidR="006D57B9" w:rsidRPr="00A1454A" w:rsidRDefault="006D57B9" w:rsidP="006D57B9">
      <w:pPr>
        <w:tabs>
          <w:tab w:val="left" w:pos="7934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Pam Daily </w:t>
      </w:r>
      <w:proofErr w:type="spellStart"/>
      <w:r>
        <w:rPr>
          <w:rFonts w:ascii="Garamond" w:hAnsi="Garamond" w:cs="Times New Roman"/>
        </w:rPr>
        <w:t>Kirley</w:t>
      </w:r>
      <w:proofErr w:type="spellEnd"/>
      <w:r>
        <w:rPr>
          <w:rFonts w:ascii="Garamond" w:hAnsi="Garamond" w:cs="Times New Roman"/>
        </w:rPr>
        <w:t xml:space="preserve">, MPH, California Emerging Infections Program, Oakland, CA; Nisha B. Alden, MPH, Colorado Department of Public Health Environment, Denver, Colorado; Kimberly Yousey-Hindes, MPH, Connecticut Emerging Infections Program, Yale School of Public Health, New Haven, CT; Emily Fawcett, MD, </w:t>
      </w:r>
      <w:r w:rsidRPr="008E429A">
        <w:rPr>
          <w:rFonts w:ascii="Garamond" w:hAnsi="Garamond" w:cstheme="minorHAnsi"/>
        </w:rPr>
        <w:t>Georgia Emerging Infections Program, Georgia Department of Health, Atlanta</w:t>
      </w:r>
      <w:r>
        <w:rPr>
          <w:rFonts w:ascii="Garamond" w:hAnsi="Garamond" w:cstheme="minorHAnsi"/>
        </w:rPr>
        <w:t xml:space="preserve"> and </w:t>
      </w:r>
      <w:r w:rsidRPr="000C7E43">
        <w:rPr>
          <w:rFonts w:ascii="Garamond" w:hAnsi="Garamond" w:cstheme="minorHAnsi"/>
        </w:rPr>
        <w:t>Foundation for Atlanta Veterans Education and Research, Atlanta Veterans Affairs Medical Center, Decatur, G</w:t>
      </w:r>
      <w:r>
        <w:rPr>
          <w:rFonts w:ascii="Garamond" w:hAnsi="Garamond" w:cstheme="minorHAnsi"/>
        </w:rPr>
        <w:t xml:space="preserve">A;  Kenzie Teno, MPH, Iowa Department of Public Health, Des Moines, Iowa;  Chloe Brown, MPH, Michigan Department of Health and Human Services, Lansing, MI; Erica Bye, MPH, Minnesota Department of Health, St. Paul, MN;  Yadira Salazar-Sanchez, MPH, New Mexico Department of Health, Santa Fe, NM;  Nancy Spina, MPH, New York State Department of Health, Albay, NY;  Christina B. Felson, MS, University of Rochester School of Medicine and Dentistry, Rochester, NY;  Eli </w:t>
      </w:r>
      <w:proofErr w:type="spellStart"/>
      <w:r>
        <w:rPr>
          <w:rFonts w:ascii="Garamond" w:hAnsi="Garamond" w:cstheme="minorHAnsi"/>
        </w:rPr>
        <w:t>Shiltz</w:t>
      </w:r>
      <w:proofErr w:type="spellEnd"/>
      <w:r>
        <w:rPr>
          <w:rFonts w:ascii="Garamond" w:hAnsi="Garamond" w:cstheme="minorHAnsi"/>
        </w:rPr>
        <w:t xml:space="preserve">, MPH, Ohio Department of Health, Columbus, OH; Nasreen Abdullah, MD, MPH, </w:t>
      </w:r>
      <w:r w:rsidRPr="000C7E43">
        <w:rPr>
          <w:rFonts w:ascii="Garamond" w:hAnsi="Garamond" w:cstheme="minorHAnsi"/>
        </w:rPr>
        <w:t>Public Health Division; Oregon Health Authority; Portland, O</w:t>
      </w:r>
      <w:r>
        <w:rPr>
          <w:rFonts w:ascii="Garamond" w:hAnsi="Garamond" w:cstheme="minorHAnsi"/>
        </w:rPr>
        <w:t xml:space="preserve">R; William Schaffner, MD, Vanderbilt University Medical Center, Nashville, TN; </w:t>
      </w:r>
      <w:r w:rsidR="00FB31C2">
        <w:rPr>
          <w:rFonts w:ascii="Garamond" w:hAnsi="Garamond" w:cstheme="minorHAnsi"/>
        </w:rPr>
        <w:t>Andrea George</w:t>
      </w:r>
      <w:r>
        <w:rPr>
          <w:rFonts w:ascii="Garamond" w:hAnsi="Garamond" w:cstheme="minorHAnsi"/>
        </w:rPr>
        <w:t xml:space="preserve">, MPH, Salt Lake County Health Department, Salt Lake City, UT. </w:t>
      </w:r>
    </w:p>
    <w:p w14:paraId="0FCDF757" w14:textId="77777777" w:rsidR="00E7797B" w:rsidRDefault="00E7797B"/>
    <w:sectPr w:rsidR="00E7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D7AD" w14:textId="77777777" w:rsidR="006D57B9" w:rsidRDefault="006D57B9" w:rsidP="006D57B9">
      <w:r>
        <w:separator/>
      </w:r>
    </w:p>
  </w:endnote>
  <w:endnote w:type="continuationSeparator" w:id="0">
    <w:p w14:paraId="5A35DA90" w14:textId="77777777" w:rsidR="006D57B9" w:rsidRDefault="006D57B9" w:rsidP="006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D2F" w14:textId="77777777" w:rsidR="006D57B9" w:rsidRDefault="006D5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37E" w14:textId="77777777" w:rsidR="006D57B9" w:rsidRDefault="006D5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0E16" w14:textId="77777777" w:rsidR="006D57B9" w:rsidRDefault="006D5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2250" w14:textId="77777777" w:rsidR="006D57B9" w:rsidRDefault="006D57B9" w:rsidP="006D57B9">
      <w:r>
        <w:separator/>
      </w:r>
    </w:p>
  </w:footnote>
  <w:footnote w:type="continuationSeparator" w:id="0">
    <w:p w14:paraId="357A7399" w14:textId="77777777" w:rsidR="006D57B9" w:rsidRDefault="006D57B9" w:rsidP="006D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9D7" w14:textId="77777777" w:rsidR="006D57B9" w:rsidRDefault="006D5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D45C" w14:textId="77777777" w:rsidR="006D57B9" w:rsidRDefault="006D5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8716" w14:textId="77777777" w:rsidR="006D57B9" w:rsidRDefault="006D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247"/>
    <w:multiLevelType w:val="hybridMultilevel"/>
    <w:tmpl w:val="D4D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73E"/>
    <w:multiLevelType w:val="multilevel"/>
    <w:tmpl w:val="E9DE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4363"/>
    <w:multiLevelType w:val="hybridMultilevel"/>
    <w:tmpl w:val="03705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0E9"/>
    <w:multiLevelType w:val="hybridMultilevel"/>
    <w:tmpl w:val="60CCF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56449"/>
    <w:multiLevelType w:val="hybridMultilevel"/>
    <w:tmpl w:val="FCB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D19"/>
    <w:multiLevelType w:val="hybridMultilevel"/>
    <w:tmpl w:val="D5C0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499"/>
    <w:multiLevelType w:val="hybridMultilevel"/>
    <w:tmpl w:val="C18A7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9487B"/>
    <w:multiLevelType w:val="hybridMultilevel"/>
    <w:tmpl w:val="141E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2E1C"/>
    <w:multiLevelType w:val="multilevel"/>
    <w:tmpl w:val="592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A390F"/>
    <w:multiLevelType w:val="hybridMultilevel"/>
    <w:tmpl w:val="80083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67989"/>
    <w:multiLevelType w:val="multilevel"/>
    <w:tmpl w:val="9EE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F70AB"/>
    <w:multiLevelType w:val="hybridMultilevel"/>
    <w:tmpl w:val="243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C737D"/>
    <w:multiLevelType w:val="hybridMultilevel"/>
    <w:tmpl w:val="86FA8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226E17"/>
    <w:multiLevelType w:val="multilevel"/>
    <w:tmpl w:val="937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C5F4E"/>
    <w:multiLevelType w:val="hybridMultilevel"/>
    <w:tmpl w:val="C26A0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55A7"/>
    <w:multiLevelType w:val="hybridMultilevel"/>
    <w:tmpl w:val="3C2CC2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77BA"/>
    <w:multiLevelType w:val="hybridMultilevel"/>
    <w:tmpl w:val="0560B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224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DF0AF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15C49E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B32475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09C154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6E42D7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A444B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2ED87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B03028A"/>
    <w:multiLevelType w:val="hybridMultilevel"/>
    <w:tmpl w:val="E5129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3C23"/>
    <w:multiLevelType w:val="hybridMultilevel"/>
    <w:tmpl w:val="08505D7A"/>
    <w:lvl w:ilvl="0" w:tplc="B1DE0C24">
      <w:start w:val="95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211"/>
    <w:multiLevelType w:val="hybridMultilevel"/>
    <w:tmpl w:val="B50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B183B"/>
    <w:multiLevelType w:val="hybridMultilevel"/>
    <w:tmpl w:val="98CE9392"/>
    <w:lvl w:ilvl="0" w:tplc="E9C497B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CAE8DD14">
      <w:start w:val="1"/>
      <w:numFmt w:val="lowerLetter"/>
      <w:lvlText w:val="%2."/>
      <w:lvlJc w:val="left"/>
      <w:pPr>
        <w:ind w:left="1080" w:hanging="360"/>
      </w:pPr>
    </w:lvl>
    <w:lvl w:ilvl="2" w:tplc="E83E47FE">
      <w:start w:val="1"/>
      <w:numFmt w:val="lowerRoman"/>
      <w:lvlText w:val="%3."/>
      <w:lvlJc w:val="right"/>
      <w:pPr>
        <w:ind w:left="1800" w:hanging="180"/>
      </w:pPr>
    </w:lvl>
    <w:lvl w:ilvl="3" w:tplc="32AE96C6">
      <w:start w:val="1"/>
      <w:numFmt w:val="decimal"/>
      <w:lvlText w:val="%4."/>
      <w:lvlJc w:val="left"/>
      <w:pPr>
        <w:ind w:left="2520" w:hanging="360"/>
      </w:pPr>
    </w:lvl>
    <w:lvl w:ilvl="4" w:tplc="A4D893BE">
      <w:start w:val="1"/>
      <w:numFmt w:val="lowerLetter"/>
      <w:lvlText w:val="%5."/>
      <w:lvlJc w:val="left"/>
      <w:pPr>
        <w:ind w:left="3240" w:hanging="360"/>
      </w:pPr>
    </w:lvl>
    <w:lvl w:ilvl="5" w:tplc="8062D09E">
      <w:start w:val="1"/>
      <w:numFmt w:val="lowerRoman"/>
      <w:lvlText w:val="%6."/>
      <w:lvlJc w:val="right"/>
      <w:pPr>
        <w:ind w:left="3960" w:hanging="180"/>
      </w:pPr>
    </w:lvl>
    <w:lvl w:ilvl="6" w:tplc="E2624C3A">
      <w:start w:val="1"/>
      <w:numFmt w:val="decimal"/>
      <w:lvlText w:val="%7."/>
      <w:lvlJc w:val="left"/>
      <w:pPr>
        <w:ind w:left="4680" w:hanging="360"/>
      </w:pPr>
    </w:lvl>
    <w:lvl w:ilvl="7" w:tplc="D6C611CE">
      <w:start w:val="1"/>
      <w:numFmt w:val="lowerLetter"/>
      <w:lvlText w:val="%8."/>
      <w:lvlJc w:val="left"/>
      <w:pPr>
        <w:ind w:left="5400" w:hanging="360"/>
      </w:pPr>
    </w:lvl>
    <w:lvl w:ilvl="8" w:tplc="4F8E918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87EFC"/>
    <w:multiLevelType w:val="hybridMultilevel"/>
    <w:tmpl w:val="99E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54E5"/>
    <w:multiLevelType w:val="hybridMultilevel"/>
    <w:tmpl w:val="0136A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F7CCB"/>
    <w:multiLevelType w:val="hybridMultilevel"/>
    <w:tmpl w:val="5D6C6DA6"/>
    <w:lvl w:ilvl="0" w:tplc="2DE61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A3D"/>
    <w:multiLevelType w:val="hybridMultilevel"/>
    <w:tmpl w:val="EAA69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475B"/>
    <w:multiLevelType w:val="hybridMultilevel"/>
    <w:tmpl w:val="09E4B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086F"/>
    <w:multiLevelType w:val="hybridMultilevel"/>
    <w:tmpl w:val="136E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E6460"/>
    <w:multiLevelType w:val="hybridMultilevel"/>
    <w:tmpl w:val="5EFE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B09AE"/>
    <w:multiLevelType w:val="hybridMultilevel"/>
    <w:tmpl w:val="F10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E2D2D"/>
    <w:multiLevelType w:val="hybridMultilevel"/>
    <w:tmpl w:val="A23A1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115093"/>
    <w:multiLevelType w:val="hybridMultilevel"/>
    <w:tmpl w:val="BCDE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0625"/>
    <w:multiLevelType w:val="hybridMultilevel"/>
    <w:tmpl w:val="05B40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35AD"/>
    <w:multiLevelType w:val="hybridMultilevel"/>
    <w:tmpl w:val="BAB07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6194D"/>
    <w:multiLevelType w:val="hybridMultilevel"/>
    <w:tmpl w:val="956C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82B2B"/>
    <w:multiLevelType w:val="hybridMultilevel"/>
    <w:tmpl w:val="61B0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6"/>
  </w:num>
  <w:num w:numId="6">
    <w:abstractNumId w:val="25"/>
  </w:num>
  <w:num w:numId="7">
    <w:abstractNumId w:val="5"/>
  </w:num>
  <w:num w:numId="8">
    <w:abstractNumId w:val="14"/>
  </w:num>
  <w:num w:numId="9">
    <w:abstractNumId w:val="27"/>
  </w:num>
  <w:num w:numId="10">
    <w:abstractNumId w:val="7"/>
  </w:num>
  <w:num w:numId="11">
    <w:abstractNumId w:val="19"/>
  </w:num>
  <w:num w:numId="12">
    <w:abstractNumId w:val="11"/>
  </w:num>
  <w:num w:numId="13">
    <w:abstractNumId w:val="0"/>
  </w:num>
  <w:num w:numId="14">
    <w:abstractNumId w:val="4"/>
  </w:num>
  <w:num w:numId="15">
    <w:abstractNumId w:val="29"/>
  </w:num>
  <w:num w:numId="16">
    <w:abstractNumId w:val="12"/>
  </w:num>
  <w:num w:numId="17">
    <w:abstractNumId w:val="32"/>
  </w:num>
  <w:num w:numId="18">
    <w:abstractNumId w:val="26"/>
  </w:num>
  <w:num w:numId="19">
    <w:abstractNumId w:val="21"/>
  </w:num>
  <w:num w:numId="20">
    <w:abstractNumId w:val="33"/>
  </w:num>
  <w:num w:numId="21">
    <w:abstractNumId w:val="15"/>
  </w:num>
  <w:num w:numId="22">
    <w:abstractNumId w:val="30"/>
  </w:num>
  <w:num w:numId="23">
    <w:abstractNumId w:val="2"/>
  </w:num>
  <w:num w:numId="24">
    <w:abstractNumId w:val="24"/>
  </w:num>
  <w:num w:numId="25">
    <w:abstractNumId w:val="28"/>
  </w:num>
  <w:num w:numId="26">
    <w:abstractNumId w:val="9"/>
  </w:num>
  <w:num w:numId="27">
    <w:abstractNumId w:val="22"/>
  </w:num>
  <w:num w:numId="28">
    <w:abstractNumId w:val="10"/>
  </w:num>
  <w:num w:numId="29">
    <w:abstractNumId w:val="18"/>
  </w:num>
  <w:num w:numId="30">
    <w:abstractNumId w:val="13"/>
  </w:num>
  <w:num w:numId="31">
    <w:abstractNumId w:val="1"/>
  </w:num>
  <w:num w:numId="32">
    <w:abstractNumId w:val="17"/>
  </w:num>
  <w:num w:numId="33">
    <w:abstractNumId w:val="31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B9"/>
    <w:rsid w:val="003D7DBC"/>
    <w:rsid w:val="006D57B9"/>
    <w:rsid w:val="00E7797B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025F"/>
  <w15:chartTrackingRefBased/>
  <w15:docId w15:val="{7B4C60CF-B587-4AEA-B236-E96DCE5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B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7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7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B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7B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7B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D57B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B9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B9"/>
    <w:rPr>
      <w:rFonts w:ascii="Calibri" w:hAnsi="Calibri" w:cs="Calibri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D57B9"/>
  </w:style>
  <w:style w:type="character" w:customStyle="1" w:styleId="sr-only">
    <w:name w:val="sr-only"/>
    <w:basedOn w:val="DefaultParagraphFont"/>
    <w:rsid w:val="006D57B9"/>
  </w:style>
  <w:style w:type="character" w:styleId="UnresolvedMention">
    <w:name w:val="Unresolved Mention"/>
    <w:basedOn w:val="DefaultParagraphFont"/>
    <w:uiPriority w:val="99"/>
    <w:semiHidden/>
    <w:unhideWhenUsed/>
    <w:rsid w:val="006D57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D57B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D57B9"/>
    <w:pPr>
      <w:spacing w:after="0" w:line="240" w:lineRule="auto"/>
    </w:pPr>
    <w:rPr>
      <w:rFonts w:ascii="Calibri" w:hAnsi="Calibri" w:cs="Calibri"/>
    </w:rPr>
  </w:style>
  <w:style w:type="paragraph" w:customStyle="1" w:styleId="SectionHeading">
    <w:name w:val="Section Heading"/>
    <w:basedOn w:val="Normal"/>
    <w:link w:val="SectionHeadingChar"/>
    <w:qFormat/>
    <w:rsid w:val="006D57B9"/>
    <w:pPr>
      <w:jc w:val="center"/>
    </w:pPr>
    <w:rPr>
      <w:rFonts w:ascii="Times New Roman" w:eastAsia="Times New Roman" w:hAnsi="Times New Roman" w:cs="Courier New"/>
      <w:b/>
      <w:smallCaps/>
      <w:sz w:val="28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D57B9"/>
    <w:rPr>
      <w:rFonts w:ascii="Times New Roman" w:eastAsia="Times New Roman" w:hAnsi="Times New Roman" w:cs="Courier New"/>
      <w:b/>
      <w:smallCaps/>
      <w:sz w:val="28"/>
      <w:szCs w:val="24"/>
    </w:rPr>
  </w:style>
  <w:style w:type="character" w:customStyle="1" w:styleId="mixed-citation">
    <w:name w:val="mixed-citation"/>
    <w:basedOn w:val="DefaultParagraphFont"/>
    <w:rsid w:val="006D57B9"/>
  </w:style>
  <w:style w:type="character" w:customStyle="1" w:styleId="ref-title">
    <w:name w:val="ref-title"/>
    <w:basedOn w:val="DefaultParagraphFont"/>
    <w:rsid w:val="006D57B9"/>
  </w:style>
  <w:style w:type="character" w:customStyle="1" w:styleId="ref-journal">
    <w:name w:val="ref-journal"/>
    <w:basedOn w:val="DefaultParagraphFont"/>
    <w:rsid w:val="006D57B9"/>
  </w:style>
  <w:style w:type="character" w:customStyle="1" w:styleId="ref-vol">
    <w:name w:val="ref-vol"/>
    <w:basedOn w:val="DefaultParagraphFont"/>
    <w:rsid w:val="006D57B9"/>
  </w:style>
  <w:style w:type="character" w:customStyle="1" w:styleId="nowrap">
    <w:name w:val="nowrap"/>
    <w:basedOn w:val="DefaultParagraphFont"/>
    <w:rsid w:val="006D57B9"/>
  </w:style>
  <w:style w:type="character" w:styleId="FollowedHyperlink">
    <w:name w:val="FollowedHyperlink"/>
    <w:basedOn w:val="DefaultParagraphFont"/>
    <w:uiPriority w:val="99"/>
    <w:semiHidden/>
    <w:unhideWhenUsed/>
    <w:rsid w:val="006D57B9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57B9"/>
  </w:style>
  <w:style w:type="paragraph" w:customStyle="1" w:styleId="EndNoteBibliographyTitle">
    <w:name w:val="EndNote Bibliography Title"/>
    <w:basedOn w:val="Normal"/>
    <w:link w:val="EndNoteBibliographyTitleChar"/>
    <w:rsid w:val="006D57B9"/>
    <w:pPr>
      <w:jc w:val="center"/>
    </w:pPr>
    <w:rPr>
      <w:rFonts w:ascii="Garamond" w:hAnsi="Garamond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6D57B9"/>
    <w:rPr>
      <w:rFonts w:ascii="Garamond" w:hAnsi="Garamond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57B9"/>
    <w:pPr>
      <w:spacing w:line="480" w:lineRule="auto"/>
    </w:pPr>
    <w:rPr>
      <w:rFonts w:ascii="Garamond" w:hAnsi="Garamond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D57B9"/>
    <w:rPr>
      <w:rFonts w:ascii="Garamond" w:hAnsi="Garamond" w:cs="Calibri"/>
      <w:noProof/>
    </w:rPr>
  </w:style>
  <w:style w:type="character" w:styleId="Emphasis">
    <w:name w:val="Emphasis"/>
    <w:basedOn w:val="DefaultParagraphFont"/>
    <w:uiPriority w:val="20"/>
    <w:qFormat/>
    <w:rsid w:val="006D57B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D5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Sekkarie, Ahlia (CDC/DDNID/NCCDPHP/DHDSP)</dc:creator>
  <cp:keywords/>
  <dc:description/>
  <cp:lastModifiedBy>Sekkarie, Ahlia (CDC/DDNID/NCCDPHP/DHDSP)</cp:lastModifiedBy>
  <cp:revision>3</cp:revision>
  <dcterms:created xsi:type="dcterms:W3CDTF">2022-04-08T19:03:00Z</dcterms:created>
  <dcterms:modified xsi:type="dcterms:W3CDTF">2022-04-26T20:43:00Z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2022-04-08T19:04:24Z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0d7c036e-69d2-47ee-989a-5260a250c1e1</vt:lpwstr>
  </property>
  <property fmtid="{D5CDD505-2E9C-101B-9397-08002B2CF9AE}" pid="8" name="MSIP_Label_7b94a7b8-f06c-4dfe-bdcc-9b548fd58c31_ContentBits">
    <vt:lpwstr>0</vt:lpwstr>
  </property>
</Properties>
</file>