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4" w:type="dxa"/>
        <w:jc w:val="center"/>
        <w:tblLayout w:type="fixed"/>
        <w:tblLook w:val="0420" w:firstRow="1" w:lastRow="0" w:firstColumn="0" w:lastColumn="0" w:noHBand="0" w:noVBand="1"/>
      </w:tblPr>
      <w:tblGrid>
        <w:gridCol w:w="3768"/>
        <w:gridCol w:w="1843"/>
        <w:gridCol w:w="1843"/>
        <w:gridCol w:w="1842"/>
        <w:gridCol w:w="1238"/>
      </w:tblGrid>
      <w:tr w:rsidR="00EE6BC7" w:rsidRPr="00514B83" w14:paraId="1BD6CD1E" w14:textId="77777777" w:rsidTr="00EE6BC7">
        <w:trPr>
          <w:cantSplit/>
          <w:tblHeader/>
          <w:jc w:val="center"/>
        </w:trPr>
        <w:tc>
          <w:tcPr>
            <w:tcW w:w="10534" w:type="dxa"/>
            <w:gridSpan w:val="5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B566" w14:textId="7661F4E2" w:rsidR="00EE6BC7" w:rsidRPr="00EE6BC7" w:rsidRDefault="00EE6BC7" w:rsidP="00EE6BC7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Table 2 - Lung-Specific Physiological Variables in the First Four Days of Ventilation 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</w:rPr>
              <w:t>According to 28-Day Mortality</w:t>
            </w:r>
          </w:p>
        </w:tc>
      </w:tr>
      <w:tr w:rsidR="00514B83" w:rsidRPr="00514B83" w14:paraId="47E1901A" w14:textId="22D01EDD" w:rsidTr="00EE6BC7">
        <w:trPr>
          <w:cantSplit/>
          <w:tblHeader/>
          <w:jc w:val="center"/>
        </w:trPr>
        <w:tc>
          <w:tcPr>
            <w:tcW w:w="376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C3BB" w14:textId="411E12CC" w:rsidR="00514B83" w:rsidRPr="00514B83" w:rsidRDefault="00514B83" w:rsidP="00514B83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7E54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All Patients</w:t>
            </w:r>
          </w:p>
          <w:p w14:paraId="3BC4B7BF" w14:textId="6A2F1BFA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(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n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= 927)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E6D0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Non-Survivors</w:t>
            </w:r>
          </w:p>
          <w:p w14:paraId="04C9F9ED" w14:textId="5715944D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(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n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= 266)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4A6F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Survivors</w:t>
            </w:r>
          </w:p>
          <w:p w14:paraId="53859CEA" w14:textId="5E3A571E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(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n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= 661)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53CC45A" w14:textId="1C7C1D0C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p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value</w:t>
            </w:r>
            <w:r w:rsidR="00E973ED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>*</w:t>
            </w:r>
          </w:p>
        </w:tc>
      </w:tr>
      <w:tr w:rsidR="00514B83" w:rsidRPr="00514B83" w14:paraId="5FC0A49C" w14:textId="27456FC9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96E7" w14:textId="38F91AD9" w:rsidR="00514B83" w:rsidRPr="00514B83" w:rsidRDefault="00514B83" w:rsidP="00514B83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>Dead space fraction by HB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0C02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9EBE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95B8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</w:tcPr>
          <w:p w14:paraId="2DDE499D" w14:textId="77777777" w:rsidR="00514B83" w:rsidRPr="00514B83" w:rsidRDefault="00514B83" w:rsidP="00514B83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21C18699" w14:textId="43BACC79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C8ED" w14:textId="7739AC58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At start of ventilation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F334" w14:textId="294B28A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0.58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FA30" w14:textId="436446D2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0.60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FDA6" w14:textId="78FDB52F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0.58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70431FE3" w14:textId="78B945A8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0C9854A0" w14:textId="5A2B30D0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40D4" w14:textId="3887848B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B20D" w14:textId="71CBEB61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0.62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5692" w14:textId="3711DAF4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0.64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0.09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DB34" w14:textId="4309A014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0.61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45FC8463" w14:textId="76B24174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7BAB01F2" w14:textId="036FA83B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D7F1" w14:textId="5A1005DE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E6EF" w14:textId="1DA830D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0.64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2302" w14:textId="58675DA2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0.67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0.09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E8CF" w14:textId="107FF768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0.63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6D957FE0" w14:textId="2F85F00F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6DE71A82" w14:textId="1B57A72B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CCC3" w14:textId="7C11E4C3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FB80" w14:textId="605A9EE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0.67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0.09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5337" w14:textId="0F8FD0E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0.69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0.08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262B" w14:textId="1B4DE97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0.65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0CB4DA97" w14:textId="40573F19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6236C6CA" w14:textId="11328EA7" w:rsidTr="00EE6BC7">
        <w:trPr>
          <w:cantSplit/>
          <w:jc w:val="center"/>
        </w:trPr>
        <w:tc>
          <w:tcPr>
            <w:tcW w:w="3768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E427" w14:textId="36728C31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    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p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value (interaction survival x day)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6EB4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A5E9" w14:textId="31117139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0.005</w:t>
            </w:r>
          </w:p>
        </w:tc>
        <w:tc>
          <w:tcPr>
            <w:tcW w:w="1238" w:type="dxa"/>
            <w:tcBorders>
              <w:bottom w:val="single" w:sz="2" w:space="0" w:color="auto"/>
            </w:tcBorders>
            <w:shd w:val="clear" w:color="auto" w:fill="FFFFFF"/>
          </w:tcPr>
          <w:p w14:paraId="5B974E32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174A02ED" w14:textId="569FB07A" w:rsidTr="00EE6BC7">
        <w:trPr>
          <w:cantSplit/>
          <w:jc w:val="center"/>
        </w:trPr>
        <w:tc>
          <w:tcPr>
            <w:tcW w:w="3768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BB3F" w14:textId="00F0709A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>Dead space fraction direct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3C33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41FA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D84F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shd w:val="clear" w:color="auto" w:fill="FFFFFF"/>
          </w:tcPr>
          <w:p w14:paraId="474209C4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020DA1BC" w14:textId="4B7D8F0D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08BB" w14:textId="630475BA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At start of ventilation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9E1E" w14:textId="7F10A6E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2.22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9082" w14:textId="3CDFE022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2.28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9A20" w14:textId="73A647B3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2.19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2AE5C050" w14:textId="7834BB9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0.022</w:t>
            </w:r>
          </w:p>
        </w:tc>
      </w:tr>
      <w:tr w:rsidR="00153D28" w:rsidRPr="00514B83" w14:paraId="66395CC9" w14:textId="4B0F87B1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502F" w14:textId="3D254F17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FF54" w14:textId="4D198594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2.35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2BB5" w14:textId="672659C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2.40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0.55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91B4" w14:textId="455001E9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2.33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2DD567D8" w14:textId="1A0E7005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0.036</w:t>
            </w:r>
          </w:p>
        </w:tc>
      </w:tr>
      <w:tr w:rsidR="00153D28" w:rsidRPr="00514B83" w14:paraId="18EB60E2" w14:textId="6EFD9B70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8647" w14:textId="5B57FC1F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23EB" w14:textId="29662BD3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2.48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A4D9" w14:textId="4FAC11DF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2.60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CE55" w14:textId="17367826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2.44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12410CF4" w14:textId="36EC3E91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326D00AF" w14:textId="649AAA74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0D22" w14:textId="59701823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7DC9" w14:textId="1FABFF02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2.62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56D8" w14:textId="2462A1DB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2.77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0.71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799B" w14:textId="76E815E3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2.56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1C8A1EBA" w14:textId="202916D8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7F40140A" w14:textId="79C97F56" w:rsidTr="00EE6BC7">
        <w:trPr>
          <w:cantSplit/>
          <w:jc w:val="center"/>
        </w:trPr>
        <w:tc>
          <w:tcPr>
            <w:tcW w:w="3768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6831" w14:textId="448A6259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  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p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value (interaction survival x day)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E508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E2B4" w14:textId="0AD85AF0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  <w:tc>
          <w:tcPr>
            <w:tcW w:w="1238" w:type="dxa"/>
            <w:tcBorders>
              <w:bottom w:val="single" w:sz="2" w:space="0" w:color="auto"/>
            </w:tcBorders>
            <w:shd w:val="clear" w:color="auto" w:fill="FFFFFF"/>
          </w:tcPr>
          <w:p w14:paraId="4227082B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154AE7AF" w14:textId="6E713242" w:rsidTr="00EE6BC7">
        <w:trPr>
          <w:cantSplit/>
          <w:jc w:val="center"/>
        </w:trPr>
        <w:tc>
          <w:tcPr>
            <w:tcW w:w="3768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AC1F" w14:textId="4E6879F7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>Ventilatory ratio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DF3B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963B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06F7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shd w:val="clear" w:color="auto" w:fill="FFFFFF"/>
          </w:tcPr>
          <w:p w14:paraId="07A2099D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04C686C5" w14:textId="6E57746B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CFA8" w14:textId="449C2534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At start of ventilation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4AE2" w14:textId="0D2928EE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1.72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747B" w14:textId="7F13E436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1.77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0.56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44E3" w14:textId="3926DCD6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1.70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2C1A2967" w14:textId="67523D3A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0.114</w:t>
            </w:r>
          </w:p>
        </w:tc>
      </w:tr>
      <w:tr w:rsidR="00153D28" w:rsidRPr="00514B83" w14:paraId="4E226FA0" w14:textId="02B32A11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DFEC" w14:textId="354C1488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4EF5" w14:textId="6C7EFD5C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1.85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C7E6" w14:textId="5ECAB2C6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1.88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0.53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938E" w14:textId="2139359E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1.84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2E6172E4" w14:textId="5903D2DA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0.142</w:t>
            </w:r>
          </w:p>
        </w:tc>
      </w:tr>
      <w:tr w:rsidR="00153D28" w:rsidRPr="00514B83" w14:paraId="5A61E2E2" w14:textId="6B816ED1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1A14" w14:textId="42BC7AAD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39A7" w14:textId="670D001D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1.99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5A9E" w14:textId="78CA5091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2.09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0.60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138D" w14:textId="0481CA6F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1.95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5F853E89" w14:textId="02BCEDE9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3F42DDCA" w14:textId="15BCFC4B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F00F" w14:textId="53BB0D72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683C" w14:textId="50FB7CE2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2.12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0.70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9825" w14:textId="5AF2D985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2.26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0.68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8ED1" w14:textId="318FA0FA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2.06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0.70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0E2779A7" w14:textId="24FFA8A9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78258377" w14:textId="1B72BC2F" w:rsidTr="00EE6BC7">
        <w:trPr>
          <w:cantSplit/>
          <w:jc w:val="center"/>
        </w:trPr>
        <w:tc>
          <w:tcPr>
            <w:tcW w:w="3768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71BB" w14:textId="0BEBC501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  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p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value (interaction survival x day)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0D4B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26E3" w14:textId="393B4D9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  <w:tc>
          <w:tcPr>
            <w:tcW w:w="1238" w:type="dxa"/>
            <w:tcBorders>
              <w:bottom w:val="single" w:sz="2" w:space="0" w:color="auto"/>
            </w:tcBorders>
            <w:shd w:val="clear" w:color="auto" w:fill="FFFFFF"/>
          </w:tcPr>
          <w:p w14:paraId="1BAA199D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522DA08F" w14:textId="67A55AE6" w:rsidTr="00EE6BC7">
        <w:trPr>
          <w:cantSplit/>
          <w:jc w:val="center"/>
        </w:trPr>
        <w:tc>
          <w:tcPr>
            <w:tcW w:w="3768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2D75" w14:textId="32BEAFC9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514B83">
              <w:rPr>
                <w:rFonts w:ascii="Arial" w:hAnsi="Arial" w:cs="Arial"/>
                <w:sz w:val="20"/>
                <w:szCs w:val="20"/>
              </w:rPr>
              <w:t>end-tidal-to-arterial PCO</w:t>
            </w:r>
            <w:r w:rsidRPr="00514B8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14B83"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BFE9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48C1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D860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shd w:val="clear" w:color="auto" w:fill="FFFFFF"/>
          </w:tcPr>
          <w:p w14:paraId="4D9D129B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5606284D" w14:textId="1DDF911D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6C38" w14:textId="72F351BA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At start of ventilation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88DF" w14:textId="39B2738F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0.85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9578" w14:textId="0E07F551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0.81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0.18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2137" w14:textId="625AD906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0.87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24CEBFFB" w14:textId="71C61998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344C61ED" w14:textId="2AA7CDBC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C95E" w14:textId="5C5700B7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D96A" w14:textId="13A12C0C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0.84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8F2D" w14:textId="29238368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0.81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78C2" w14:textId="5274E55A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0.85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028C7F11" w14:textId="57D0CBF0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49B7077B" w14:textId="62F35384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DDCE" w14:textId="2DD81030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DC83" w14:textId="4FD84A6B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0.82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5BA9" w14:textId="37ABC409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0.78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0.15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6CF0" w14:textId="538C6CF4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0.83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2BD7CC78" w14:textId="002C8970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44247407" w14:textId="10CBD616" w:rsidTr="00EE6BC7">
        <w:trPr>
          <w:cantSplit/>
          <w:jc w:val="center"/>
        </w:trPr>
        <w:tc>
          <w:tcPr>
            <w:tcW w:w="3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C8CC" w14:textId="5B0360A8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Day 03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FB12" w14:textId="5DC48AB4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0.80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CDE3" w14:textId="580A154C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0.77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0.15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49F7" w14:textId="15DFF2C2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0.81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± </w:t>
            </w:r>
            <w:r w:rsidRPr="00566E56">
              <w:rPr>
                <w:rFonts w:ascii="Arial" w:eastAsia="Arial" w:hAnsi="Arial" w:cs="Arial"/>
                <w:color w:val="111111"/>
                <w:sz w:val="20"/>
                <w:szCs w:val="20"/>
              </w:rPr>
              <w:t>0.14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14:paraId="76E0D032" w14:textId="47A13998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 w:rsidRPr="00C23633">
              <w:rPr>
                <w:rFonts w:ascii="Arial" w:eastAsia="Arial" w:hAnsi="Arial" w:cs="Arial"/>
                <w:color w:val="111111"/>
                <w:sz w:val="20"/>
                <w:szCs w:val="20"/>
              </w:rPr>
              <w:t>&lt; 0.001</w:t>
            </w:r>
          </w:p>
        </w:tc>
      </w:tr>
      <w:tr w:rsidR="00153D28" w:rsidRPr="00514B83" w14:paraId="2ACD24AA" w14:textId="29A015F0" w:rsidTr="00EE6BC7">
        <w:trPr>
          <w:cantSplit/>
          <w:jc w:val="center"/>
        </w:trPr>
        <w:tc>
          <w:tcPr>
            <w:tcW w:w="3768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A169" w14:textId="6EF17494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</w:pPr>
            <w:r w:rsidRPr="00514B83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    </w:t>
            </w:r>
            <w:r w:rsidRPr="00514B83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20"/>
                <w:szCs w:val="20"/>
              </w:rPr>
              <w:t>p</w:t>
            </w:r>
            <w:r w:rsidRPr="00514B83">
              <w:rPr>
                <w:rFonts w:ascii="Arial" w:eastAsia="Arial" w:hAnsi="Arial" w:cs="Arial"/>
                <w:b/>
                <w:bCs/>
                <w:color w:val="111111"/>
                <w:sz w:val="20"/>
                <w:szCs w:val="20"/>
              </w:rPr>
              <w:t xml:space="preserve"> value (interaction survival x day)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FF0E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79D1" w14:textId="0243B2C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0.455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FFFFFF"/>
          </w:tcPr>
          <w:p w14:paraId="7D7650C1" w14:textId="77777777" w:rsidR="00153D28" w:rsidRPr="00514B83" w:rsidRDefault="00153D28" w:rsidP="00153D28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</w:p>
        </w:tc>
      </w:tr>
      <w:tr w:rsidR="00153D28" w:rsidRPr="00514B83" w14:paraId="26AF41C8" w14:textId="3F0501A3" w:rsidTr="00EE6BC7">
        <w:trPr>
          <w:cantSplit/>
          <w:jc w:val="center"/>
        </w:trPr>
        <w:tc>
          <w:tcPr>
            <w:tcW w:w="10534" w:type="dxa"/>
            <w:gridSpan w:val="5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EA11" w14:textId="138E4254" w:rsidR="00153D28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6"/>
                <w:szCs w:val="16"/>
              </w:rPr>
            </w:pPr>
            <w:r w:rsidRPr="00514B83">
              <w:rPr>
                <w:rFonts w:ascii="Arial" w:eastAsia="Arial" w:hAnsi="Arial" w:cs="Arial"/>
                <w:color w:val="111111"/>
                <w:sz w:val="16"/>
                <w:szCs w:val="16"/>
              </w:rPr>
              <w:t>Data are median (quartile 25% - quartile 75%)</w:t>
            </w:r>
          </w:p>
          <w:p w14:paraId="539354ED" w14:textId="2AEF078A" w:rsidR="00833D89" w:rsidRPr="00833D89" w:rsidRDefault="00833D89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i/>
                <w:iCs/>
                <w:color w:val="11111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16"/>
                <w:szCs w:val="16"/>
              </w:rPr>
              <w:t>HB: Harris-Benedict</w:t>
            </w:r>
          </w:p>
          <w:p w14:paraId="3E1C9811" w14:textId="5179819D" w:rsidR="00153D28" w:rsidRPr="00514B83" w:rsidRDefault="00153D28" w:rsidP="00153D28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6"/>
                <w:szCs w:val="16"/>
              </w:rPr>
            </w:pPr>
            <w:r w:rsidRPr="00514B83"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* calculated using pairwise contrasts in a mixed-effect generalized linear model </w:t>
            </w:r>
            <w:r>
              <w:rPr>
                <w:rFonts w:ascii="Arial" w:eastAsia="Arial" w:hAnsi="Arial" w:cs="Arial"/>
                <w:color w:val="111111"/>
                <w:sz w:val="16"/>
                <w:szCs w:val="16"/>
              </w:rPr>
              <w:t xml:space="preserve">considering a Gaussian distribution and </w:t>
            </w:r>
            <w:r w:rsidRPr="00514B83">
              <w:rPr>
                <w:rFonts w:ascii="Arial" w:eastAsia="Arial" w:hAnsi="Arial" w:cs="Arial"/>
                <w:color w:val="111111"/>
                <w:sz w:val="16"/>
                <w:szCs w:val="16"/>
              </w:rPr>
              <w:t>with day, group and an interaction day x group as fixed effect, and with patients and center as random effect. A binomial distribution was used for binary variables and a Gaussian distribution for continuous</w:t>
            </w:r>
          </w:p>
        </w:tc>
      </w:tr>
    </w:tbl>
    <w:p w14:paraId="657A9661" w14:textId="77777777" w:rsidR="00096B0E" w:rsidRDefault="00096B0E"/>
    <w:sectPr w:rsidR="00096B0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96B0E"/>
    <w:rsid w:val="001379FE"/>
    <w:rsid w:val="00153D28"/>
    <w:rsid w:val="001C0A13"/>
    <w:rsid w:val="001D75AB"/>
    <w:rsid w:val="0035500D"/>
    <w:rsid w:val="00362E65"/>
    <w:rsid w:val="004158F9"/>
    <w:rsid w:val="00457CF1"/>
    <w:rsid w:val="00514B83"/>
    <w:rsid w:val="005B3E3D"/>
    <w:rsid w:val="00713A2B"/>
    <w:rsid w:val="00747CCE"/>
    <w:rsid w:val="007B3E96"/>
    <w:rsid w:val="00833D89"/>
    <w:rsid w:val="008F1F48"/>
    <w:rsid w:val="00901463"/>
    <w:rsid w:val="00946CB3"/>
    <w:rsid w:val="00AE18EF"/>
    <w:rsid w:val="00AE1BDD"/>
    <w:rsid w:val="00B3547C"/>
    <w:rsid w:val="00B4379D"/>
    <w:rsid w:val="00C037E8"/>
    <w:rsid w:val="00C27329"/>
    <w:rsid w:val="00C31EEB"/>
    <w:rsid w:val="00E973ED"/>
    <w:rsid w:val="00EE6BC7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7F083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te1">
    <w:name w:val="Forte1"/>
    <w:basedOn w:val="Fontepargpadro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ela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Clara-nfase2">
    <w:name w:val="Light List Accent 2"/>
    <w:basedOn w:val="Tabela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elaprofissional">
    <w:name w:val="Table Professional"/>
    <w:basedOn w:val="Tabela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Fontepargpadro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Ary Serpa Neto</cp:lastModifiedBy>
  <cp:revision>15</cp:revision>
  <dcterms:created xsi:type="dcterms:W3CDTF">2017-02-28T11:18:00Z</dcterms:created>
  <dcterms:modified xsi:type="dcterms:W3CDTF">2020-09-23T05:31:00Z</dcterms:modified>
  <cp:category/>
</cp:coreProperties>
</file>