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9871" w14:textId="56155D0E" w:rsidR="003C22CE" w:rsidRDefault="003C22CE" w:rsidP="003C22CE">
      <w:pPr>
        <w:rPr>
          <w:rFonts w:ascii="Arial" w:hAnsi="Arial" w:cs="Arial"/>
          <w:bCs/>
          <w:color w:val="000000"/>
          <w:sz w:val="22"/>
          <w:szCs w:val="22"/>
        </w:rPr>
      </w:pPr>
      <w:r>
        <w:rPr>
          <w:rFonts w:ascii="Arial" w:hAnsi="Arial" w:cs="Arial"/>
          <w:bCs/>
          <w:color w:val="000000"/>
          <w:sz w:val="22"/>
          <w:szCs w:val="22"/>
        </w:rPr>
        <w:t xml:space="preserve">Online </w:t>
      </w:r>
      <w:r>
        <w:rPr>
          <w:rFonts w:ascii="Arial" w:hAnsi="Arial" w:cs="Arial"/>
          <w:bCs/>
          <w:color w:val="000000"/>
          <w:sz w:val="22"/>
          <w:szCs w:val="22"/>
        </w:rPr>
        <w:t xml:space="preserve">Supplemental </w:t>
      </w:r>
      <w:r>
        <w:rPr>
          <w:rFonts w:ascii="Arial" w:hAnsi="Arial" w:cs="Arial"/>
          <w:bCs/>
          <w:color w:val="000000"/>
          <w:sz w:val="22"/>
          <w:szCs w:val="22"/>
        </w:rPr>
        <w:t xml:space="preserve">Materials </w:t>
      </w:r>
    </w:p>
    <w:p w14:paraId="722F11AC" w14:textId="77777777" w:rsidR="003C22CE" w:rsidRDefault="003C22CE" w:rsidP="003C22CE">
      <w:pPr>
        <w:rPr>
          <w:rFonts w:ascii="Arial" w:hAnsi="Arial" w:cs="Arial"/>
          <w:bCs/>
          <w:color w:val="000000"/>
          <w:sz w:val="22"/>
          <w:szCs w:val="22"/>
        </w:rPr>
      </w:pPr>
    </w:p>
    <w:p w14:paraId="12C5DF89" w14:textId="77777777" w:rsidR="003C22CE" w:rsidRPr="00A20A96" w:rsidRDefault="003C22CE" w:rsidP="003C22CE">
      <w:pPr>
        <w:rPr>
          <w:rFonts w:ascii="Arial" w:hAnsi="Arial" w:cs="Arial"/>
          <w:bCs/>
          <w:color w:val="000000"/>
          <w:sz w:val="20"/>
          <w:szCs w:val="20"/>
        </w:rPr>
      </w:pPr>
      <w:r w:rsidRPr="00A20A96">
        <w:rPr>
          <w:rFonts w:ascii="Arial" w:hAnsi="Arial" w:cs="Arial"/>
          <w:bCs/>
          <w:color w:val="000000"/>
          <w:sz w:val="20"/>
          <w:szCs w:val="20"/>
        </w:rPr>
        <w:t>Table 1. Relationship of Patient and Tumor Characteristics in a Cohort of Older Breast Cancer Patients (n=705)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5"/>
        <w:gridCol w:w="1350"/>
        <w:gridCol w:w="1350"/>
        <w:gridCol w:w="900"/>
        <w:gridCol w:w="1350"/>
        <w:gridCol w:w="1350"/>
        <w:gridCol w:w="990"/>
        <w:gridCol w:w="1440"/>
        <w:gridCol w:w="1530"/>
        <w:gridCol w:w="967"/>
        <w:gridCol w:w="11"/>
      </w:tblGrid>
      <w:tr w:rsidR="003C22CE" w:rsidRPr="00A20A96" w14:paraId="59D90B46" w14:textId="77777777" w:rsidTr="0025065D">
        <w:tc>
          <w:tcPr>
            <w:tcW w:w="2065" w:type="dxa"/>
            <w:tcBorders>
              <w:top w:val="single" w:sz="4" w:space="0" w:color="auto"/>
              <w:left w:val="single" w:sz="4" w:space="0" w:color="auto"/>
              <w:bottom w:val="single" w:sz="4" w:space="0" w:color="auto"/>
              <w:right w:val="single" w:sz="4" w:space="0" w:color="auto"/>
            </w:tcBorders>
          </w:tcPr>
          <w:p w14:paraId="4C1D3B8C" w14:textId="77777777" w:rsidR="003C22CE" w:rsidRPr="00A20A96" w:rsidRDefault="003C22CE" w:rsidP="0025065D">
            <w:pPr>
              <w:rPr>
                <w:rFonts w:ascii="Arial" w:hAnsi="Arial" w:cs="Arial"/>
                <w:bCs/>
                <w:color w:val="000000"/>
                <w:sz w:val="20"/>
                <w:szCs w:val="20"/>
              </w:rPr>
            </w:pPr>
          </w:p>
        </w:tc>
        <w:tc>
          <w:tcPr>
            <w:tcW w:w="11238" w:type="dxa"/>
            <w:gridSpan w:val="10"/>
            <w:tcBorders>
              <w:top w:val="single" w:sz="4" w:space="0" w:color="auto"/>
              <w:left w:val="single" w:sz="4" w:space="0" w:color="auto"/>
              <w:bottom w:val="single" w:sz="4" w:space="0" w:color="auto"/>
              <w:right w:val="single" w:sz="4" w:space="0" w:color="auto"/>
            </w:tcBorders>
          </w:tcPr>
          <w:p w14:paraId="18824D38" w14:textId="77777777" w:rsidR="003C22CE" w:rsidRPr="00A20A96" w:rsidRDefault="003C22CE" w:rsidP="0025065D">
            <w:pPr>
              <w:jc w:val="center"/>
              <w:rPr>
                <w:rFonts w:ascii="Arial" w:hAnsi="Arial" w:cs="Arial"/>
                <w:bCs/>
                <w:color w:val="000000"/>
                <w:sz w:val="20"/>
                <w:szCs w:val="20"/>
              </w:rPr>
            </w:pPr>
            <w:r w:rsidRPr="00A20A96">
              <w:rPr>
                <w:rFonts w:ascii="Arial" w:hAnsi="Arial" w:cs="Arial"/>
                <w:bCs/>
                <w:color w:val="000000"/>
                <w:sz w:val="20"/>
                <w:szCs w:val="20"/>
              </w:rPr>
              <w:t>Tumor Features</w:t>
            </w:r>
          </w:p>
        </w:tc>
      </w:tr>
      <w:tr w:rsidR="003C22CE" w:rsidRPr="00A20A96" w14:paraId="7646CDE7" w14:textId="77777777" w:rsidTr="0025065D">
        <w:trPr>
          <w:gridAfter w:val="1"/>
          <w:wAfter w:w="11" w:type="dxa"/>
        </w:trPr>
        <w:tc>
          <w:tcPr>
            <w:tcW w:w="2065" w:type="dxa"/>
            <w:tcBorders>
              <w:top w:val="single" w:sz="4" w:space="0" w:color="auto"/>
              <w:left w:val="single" w:sz="4" w:space="0" w:color="auto"/>
              <w:bottom w:val="single" w:sz="4" w:space="0" w:color="auto"/>
              <w:right w:val="single" w:sz="4" w:space="0" w:color="auto"/>
            </w:tcBorders>
            <w:vAlign w:val="bottom"/>
          </w:tcPr>
          <w:p w14:paraId="76926387" w14:textId="77777777" w:rsidR="003C22CE" w:rsidRPr="00A20A96" w:rsidRDefault="003C22CE" w:rsidP="0025065D">
            <w:pPr>
              <w:rPr>
                <w:rFonts w:ascii="Arial" w:hAnsi="Arial" w:cs="Arial"/>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tcPr>
          <w:p w14:paraId="69012FD8" w14:textId="77777777" w:rsidR="003C22CE" w:rsidRPr="00A20A96" w:rsidRDefault="003C22CE" w:rsidP="0025065D">
            <w:pPr>
              <w:jc w:val="center"/>
              <w:rPr>
                <w:rFonts w:ascii="Arial" w:hAnsi="Arial" w:cs="Arial"/>
                <w:color w:val="000000"/>
                <w:sz w:val="20"/>
                <w:szCs w:val="20"/>
              </w:rPr>
            </w:pPr>
            <w:r w:rsidRPr="00A20A96">
              <w:rPr>
                <w:rFonts w:ascii="Arial" w:hAnsi="Arial" w:cs="Arial"/>
                <w:color w:val="000000"/>
                <w:sz w:val="20"/>
                <w:szCs w:val="20"/>
              </w:rPr>
              <w:t xml:space="preserve">HER2+ </w:t>
            </w:r>
            <w:r w:rsidRPr="00A20A96">
              <w:rPr>
                <w:rFonts w:ascii="Arial" w:hAnsi="Arial" w:cs="Arial"/>
                <w:bCs/>
                <w:color w:val="000000"/>
                <w:sz w:val="22"/>
                <w:szCs w:val="22"/>
                <w:vertAlign w:val="superscript"/>
              </w:rPr>
              <w:t>‡</w:t>
            </w:r>
          </w:p>
        </w:tc>
        <w:tc>
          <w:tcPr>
            <w:tcW w:w="1350" w:type="dxa"/>
            <w:tcBorders>
              <w:top w:val="single" w:sz="4" w:space="0" w:color="auto"/>
              <w:left w:val="single" w:sz="4" w:space="0" w:color="auto"/>
              <w:bottom w:val="single" w:sz="4" w:space="0" w:color="auto"/>
              <w:right w:val="single" w:sz="4" w:space="0" w:color="auto"/>
            </w:tcBorders>
          </w:tcPr>
          <w:p w14:paraId="6D9570C5" w14:textId="77777777" w:rsidR="003C22CE" w:rsidRPr="00A20A96" w:rsidRDefault="003C22CE" w:rsidP="0025065D">
            <w:pPr>
              <w:jc w:val="center"/>
              <w:rPr>
                <w:rFonts w:ascii="Arial" w:hAnsi="Arial" w:cs="Arial"/>
                <w:color w:val="000000"/>
                <w:sz w:val="20"/>
                <w:szCs w:val="20"/>
              </w:rPr>
            </w:pPr>
            <w:r w:rsidRPr="00A20A96">
              <w:rPr>
                <w:rFonts w:ascii="Arial" w:hAnsi="Arial" w:cs="Arial"/>
                <w:color w:val="000000"/>
                <w:sz w:val="20"/>
                <w:szCs w:val="20"/>
              </w:rPr>
              <w:t xml:space="preserve">HER2- </w:t>
            </w:r>
            <w:r w:rsidRPr="00A20A96">
              <w:rPr>
                <w:rFonts w:ascii="Arial" w:hAnsi="Arial" w:cs="Arial"/>
                <w:bCs/>
                <w:color w:val="000000"/>
                <w:sz w:val="22"/>
                <w:szCs w:val="22"/>
                <w:vertAlign w:val="superscript"/>
              </w:rPr>
              <w:t>‡</w:t>
            </w:r>
          </w:p>
        </w:tc>
        <w:tc>
          <w:tcPr>
            <w:tcW w:w="900" w:type="dxa"/>
            <w:tcBorders>
              <w:top w:val="single" w:sz="4" w:space="0" w:color="auto"/>
              <w:left w:val="single" w:sz="4" w:space="0" w:color="auto"/>
              <w:bottom w:val="single" w:sz="4" w:space="0" w:color="auto"/>
              <w:right w:val="single" w:sz="4" w:space="0" w:color="auto"/>
            </w:tcBorders>
          </w:tcPr>
          <w:p w14:paraId="191426B6" w14:textId="77777777" w:rsidR="003C22CE" w:rsidRPr="00A20A96" w:rsidRDefault="003C22CE" w:rsidP="0025065D">
            <w:pPr>
              <w:jc w:val="center"/>
              <w:rPr>
                <w:rFonts w:ascii="Arial" w:hAnsi="Arial" w:cs="Arial"/>
                <w:color w:val="000000"/>
                <w:sz w:val="20"/>
                <w:szCs w:val="20"/>
              </w:rPr>
            </w:pPr>
            <w:r w:rsidRPr="00A20A96">
              <w:rPr>
                <w:rFonts w:ascii="Arial" w:hAnsi="Arial" w:cs="Arial"/>
                <w:color w:val="000000"/>
                <w:sz w:val="20"/>
                <w:szCs w:val="20"/>
              </w:rPr>
              <w:t>p-value</w:t>
            </w:r>
          </w:p>
        </w:tc>
        <w:tc>
          <w:tcPr>
            <w:tcW w:w="1350" w:type="dxa"/>
            <w:tcBorders>
              <w:top w:val="single" w:sz="4" w:space="0" w:color="auto"/>
              <w:left w:val="single" w:sz="4" w:space="0" w:color="auto"/>
              <w:bottom w:val="single" w:sz="4" w:space="0" w:color="auto"/>
              <w:right w:val="single" w:sz="4" w:space="0" w:color="auto"/>
            </w:tcBorders>
          </w:tcPr>
          <w:p w14:paraId="351DD262" w14:textId="77777777" w:rsidR="003C22CE" w:rsidRPr="00A20A96" w:rsidRDefault="003C22CE" w:rsidP="0025065D">
            <w:pPr>
              <w:jc w:val="center"/>
              <w:rPr>
                <w:rFonts w:ascii="Arial" w:hAnsi="Arial" w:cs="Arial"/>
                <w:color w:val="000000"/>
                <w:sz w:val="20"/>
                <w:szCs w:val="20"/>
              </w:rPr>
            </w:pPr>
            <w:r w:rsidRPr="00A20A96">
              <w:rPr>
                <w:rFonts w:ascii="Arial" w:hAnsi="Arial" w:cs="Arial"/>
                <w:color w:val="000000"/>
                <w:sz w:val="20"/>
                <w:szCs w:val="20"/>
              </w:rPr>
              <w:t xml:space="preserve">Tumor </w:t>
            </w:r>
          </w:p>
          <w:p w14:paraId="541CD144" w14:textId="77777777" w:rsidR="003C22CE" w:rsidRPr="00A20A96" w:rsidRDefault="003C22CE" w:rsidP="0025065D">
            <w:pPr>
              <w:jc w:val="center"/>
              <w:rPr>
                <w:rFonts w:ascii="Arial" w:hAnsi="Arial" w:cs="Arial"/>
                <w:color w:val="000000"/>
                <w:sz w:val="20"/>
                <w:szCs w:val="20"/>
              </w:rPr>
            </w:pPr>
            <w:r w:rsidRPr="00A20A96">
              <w:rPr>
                <w:rFonts w:ascii="Arial" w:hAnsi="Arial" w:cs="Arial"/>
                <w:color w:val="000000"/>
                <w:sz w:val="20"/>
                <w:szCs w:val="20"/>
              </w:rPr>
              <w:t>&lt;2 cm</w:t>
            </w:r>
          </w:p>
        </w:tc>
        <w:tc>
          <w:tcPr>
            <w:tcW w:w="1350" w:type="dxa"/>
            <w:tcBorders>
              <w:top w:val="single" w:sz="4" w:space="0" w:color="auto"/>
              <w:left w:val="single" w:sz="4" w:space="0" w:color="auto"/>
              <w:bottom w:val="single" w:sz="4" w:space="0" w:color="auto"/>
              <w:right w:val="single" w:sz="4" w:space="0" w:color="auto"/>
            </w:tcBorders>
          </w:tcPr>
          <w:p w14:paraId="70950B78" w14:textId="77777777" w:rsidR="003C22CE" w:rsidRPr="00A20A96" w:rsidRDefault="003C22CE" w:rsidP="0025065D">
            <w:pPr>
              <w:jc w:val="center"/>
              <w:rPr>
                <w:rFonts w:ascii="Arial" w:hAnsi="Arial" w:cs="Arial"/>
                <w:color w:val="000000"/>
                <w:sz w:val="20"/>
                <w:szCs w:val="20"/>
              </w:rPr>
            </w:pPr>
            <w:r w:rsidRPr="00A20A96">
              <w:rPr>
                <w:rFonts w:ascii="Arial" w:hAnsi="Arial" w:cs="Arial"/>
                <w:color w:val="000000"/>
                <w:sz w:val="20"/>
                <w:szCs w:val="20"/>
              </w:rPr>
              <w:t xml:space="preserve">Tumor </w:t>
            </w:r>
          </w:p>
          <w:p w14:paraId="20E5FEC5" w14:textId="77777777" w:rsidR="003C22CE" w:rsidRPr="00A20A96" w:rsidRDefault="003C22CE" w:rsidP="0025065D">
            <w:pPr>
              <w:jc w:val="center"/>
              <w:rPr>
                <w:rFonts w:ascii="Arial" w:hAnsi="Arial" w:cs="Arial"/>
                <w:color w:val="000000"/>
                <w:sz w:val="20"/>
                <w:szCs w:val="20"/>
              </w:rPr>
            </w:pPr>
            <w:r w:rsidRPr="00A20A96">
              <w:rPr>
                <w:rFonts w:ascii="Arial" w:hAnsi="Arial" w:cs="Arial"/>
                <w:color w:val="000000"/>
                <w:sz w:val="20"/>
                <w:szCs w:val="20"/>
              </w:rPr>
              <w:t>2+ cm</w:t>
            </w:r>
          </w:p>
        </w:tc>
        <w:tc>
          <w:tcPr>
            <w:tcW w:w="990" w:type="dxa"/>
            <w:tcBorders>
              <w:top w:val="single" w:sz="4" w:space="0" w:color="auto"/>
              <w:left w:val="single" w:sz="4" w:space="0" w:color="auto"/>
              <w:bottom w:val="single" w:sz="4" w:space="0" w:color="auto"/>
              <w:right w:val="single" w:sz="4" w:space="0" w:color="auto"/>
            </w:tcBorders>
          </w:tcPr>
          <w:p w14:paraId="326B8EEE" w14:textId="77777777" w:rsidR="003C22CE" w:rsidRPr="00A20A96" w:rsidRDefault="003C22CE" w:rsidP="0025065D">
            <w:pPr>
              <w:jc w:val="center"/>
              <w:rPr>
                <w:rFonts w:ascii="Arial" w:hAnsi="Arial" w:cs="Arial"/>
                <w:color w:val="000000"/>
                <w:sz w:val="20"/>
                <w:szCs w:val="20"/>
              </w:rPr>
            </w:pPr>
            <w:r w:rsidRPr="00A20A96">
              <w:rPr>
                <w:rFonts w:ascii="Arial" w:hAnsi="Arial" w:cs="Arial"/>
                <w:color w:val="000000"/>
                <w:sz w:val="20"/>
                <w:szCs w:val="20"/>
              </w:rPr>
              <w:t>p- value</w:t>
            </w:r>
          </w:p>
        </w:tc>
        <w:tc>
          <w:tcPr>
            <w:tcW w:w="1440" w:type="dxa"/>
            <w:tcBorders>
              <w:top w:val="single" w:sz="4" w:space="0" w:color="auto"/>
              <w:left w:val="single" w:sz="4" w:space="0" w:color="auto"/>
              <w:bottom w:val="single" w:sz="4" w:space="0" w:color="auto"/>
              <w:right w:val="single" w:sz="4" w:space="0" w:color="auto"/>
            </w:tcBorders>
          </w:tcPr>
          <w:p w14:paraId="6356FF40" w14:textId="77777777" w:rsidR="003C22CE" w:rsidRPr="00A20A96" w:rsidRDefault="003C22CE" w:rsidP="0025065D">
            <w:pPr>
              <w:jc w:val="center"/>
              <w:rPr>
                <w:rFonts w:ascii="Arial" w:hAnsi="Arial" w:cs="Arial"/>
                <w:color w:val="000000"/>
                <w:sz w:val="20"/>
                <w:szCs w:val="20"/>
              </w:rPr>
            </w:pPr>
            <w:r w:rsidRPr="00A20A96">
              <w:rPr>
                <w:rFonts w:ascii="Arial" w:hAnsi="Arial" w:cs="Arial"/>
                <w:color w:val="000000"/>
                <w:sz w:val="20"/>
                <w:szCs w:val="20"/>
              </w:rPr>
              <w:t>Stage 0/</w:t>
            </w:r>
            <w:r>
              <w:rPr>
                <w:rFonts w:ascii="Arial" w:hAnsi="Arial" w:cs="Arial"/>
                <w:color w:val="000000"/>
                <w:sz w:val="20"/>
                <w:szCs w:val="20"/>
              </w:rPr>
              <w:t>I</w:t>
            </w:r>
          </w:p>
        </w:tc>
        <w:tc>
          <w:tcPr>
            <w:tcW w:w="1530" w:type="dxa"/>
            <w:tcBorders>
              <w:top w:val="single" w:sz="4" w:space="0" w:color="auto"/>
              <w:left w:val="single" w:sz="4" w:space="0" w:color="auto"/>
              <w:bottom w:val="single" w:sz="4" w:space="0" w:color="auto"/>
              <w:right w:val="single" w:sz="4" w:space="0" w:color="auto"/>
            </w:tcBorders>
          </w:tcPr>
          <w:p w14:paraId="1B8B1C55" w14:textId="77777777" w:rsidR="003C22CE" w:rsidRPr="00A20A96" w:rsidRDefault="003C22CE" w:rsidP="0025065D">
            <w:pPr>
              <w:jc w:val="center"/>
              <w:rPr>
                <w:rFonts w:ascii="Arial" w:hAnsi="Arial" w:cs="Arial"/>
                <w:color w:val="000000"/>
                <w:sz w:val="20"/>
                <w:szCs w:val="20"/>
              </w:rPr>
            </w:pPr>
            <w:r w:rsidRPr="00A20A96">
              <w:rPr>
                <w:rFonts w:ascii="Arial" w:hAnsi="Arial" w:cs="Arial"/>
                <w:color w:val="000000"/>
                <w:sz w:val="20"/>
                <w:szCs w:val="20"/>
              </w:rPr>
              <w:t xml:space="preserve">Stage </w:t>
            </w:r>
            <w:r>
              <w:rPr>
                <w:rFonts w:ascii="Arial" w:hAnsi="Arial" w:cs="Arial"/>
                <w:color w:val="000000"/>
                <w:sz w:val="20"/>
                <w:szCs w:val="20"/>
              </w:rPr>
              <w:t>II</w:t>
            </w:r>
            <w:r w:rsidRPr="00A20A96">
              <w:rPr>
                <w:rFonts w:ascii="Arial" w:hAnsi="Arial" w:cs="Arial"/>
                <w:color w:val="000000"/>
                <w:sz w:val="20"/>
                <w:szCs w:val="20"/>
              </w:rPr>
              <w:t>/</w:t>
            </w:r>
            <w:r>
              <w:rPr>
                <w:rFonts w:ascii="Arial" w:hAnsi="Arial" w:cs="Arial"/>
                <w:color w:val="000000"/>
                <w:sz w:val="20"/>
                <w:szCs w:val="20"/>
              </w:rPr>
              <w:t>III</w:t>
            </w:r>
          </w:p>
        </w:tc>
        <w:tc>
          <w:tcPr>
            <w:tcW w:w="967" w:type="dxa"/>
            <w:tcBorders>
              <w:top w:val="single" w:sz="4" w:space="0" w:color="auto"/>
              <w:left w:val="single" w:sz="4" w:space="0" w:color="auto"/>
              <w:bottom w:val="single" w:sz="4" w:space="0" w:color="auto"/>
              <w:right w:val="single" w:sz="4" w:space="0" w:color="auto"/>
            </w:tcBorders>
          </w:tcPr>
          <w:p w14:paraId="42CAB9CD" w14:textId="77777777" w:rsidR="003C22CE" w:rsidRPr="00A20A96" w:rsidRDefault="003C22CE" w:rsidP="0025065D">
            <w:pPr>
              <w:jc w:val="center"/>
              <w:rPr>
                <w:rFonts w:ascii="Arial" w:hAnsi="Arial" w:cs="Arial"/>
                <w:color w:val="000000"/>
                <w:sz w:val="20"/>
                <w:szCs w:val="20"/>
              </w:rPr>
            </w:pPr>
            <w:r w:rsidRPr="00A20A96">
              <w:rPr>
                <w:rFonts w:ascii="Arial" w:hAnsi="Arial" w:cs="Arial"/>
                <w:color w:val="000000"/>
                <w:sz w:val="20"/>
                <w:szCs w:val="20"/>
              </w:rPr>
              <w:t>p- value</w:t>
            </w:r>
          </w:p>
        </w:tc>
      </w:tr>
      <w:tr w:rsidR="003C22CE" w:rsidRPr="00A20A96" w14:paraId="1A76F1C0" w14:textId="77777777" w:rsidTr="0025065D">
        <w:tc>
          <w:tcPr>
            <w:tcW w:w="2065" w:type="dxa"/>
            <w:tcBorders>
              <w:top w:val="single" w:sz="4" w:space="0" w:color="auto"/>
              <w:left w:val="single" w:sz="4" w:space="0" w:color="auto"/>
              <w:bottom w:val="single" w:sz="4" w:space="0" w:color="auto"/>
              <w:right w:val="single" w:sz="4" w:space="0" w:color="auto"/>
            </w:tcBorders>
            <w:vAlign w:val="bottom"/>
          </w:tcPr>
          <w:p w14:paraId="15560E5B" w14:textId="77777777" w:rsidR="003C22CE" w:rsidRPr="00A20A96" w:rsidRDefault="003C22CE" w:rsidP="0025065D">
            <w:pPr>
              <w:rPr>
                <w:rFonts w:ascii="Arial" w:hAnsi="Arial" w:cs="Arial"/>
                <w:color w:val="000000"/>
                <w:sz w:val="20"/>
                <w:szCs w:val="20"/>
              </w:rPr>
            </w:pPr>
          </w:p>
        </w:tc>
        <w:tc>
          <w:tcPr>
            <w:tcW w:w="11238" w:type="dxa"/>
            <w:gridSpan w:val="10"/>
            <w:tcBorders>
              <w:top w:val="single" w:sz="4" w:space="0" w:color="auto"/>
              <w:left w:val="single" w:sz="4" w:space="0" w:color="auto"/>
              <w:bottom w:val="single" w:sz="4" w:space="0" w:color="auto"/>
              <w:right w:val="single" w:sz="4" w:space="0" w:color="auto"/>
            </w:tcBorders>
          </w:tcPr>
          <w:p w14:paraId="21718137" w14:textId="77777777" w:rsidR="003C22CE" w:rsidRPr="00A20A96" w:rsidRDefault="003C22CE" w:rsidP="0025065D">
            <w:pPr>
              <w:jc w:val="center"/>
              <w:rPr>
                <w:rFonts w:ascii="Arial" w:hAnsi="Arial" w:cs="Arial"/>
                <w:color w:val="000000"/>
                <w:sz w:val="20"/>
                <w:szCs w:val="20"/>
              </w:rPr>
            </w:pPr>
            <w:r w:rsidRPr="00A20A96">
              <w:rPr>
                <w:rFonts w:ascii="Arial" w:hAnsi="Arial" w:cs="Arial"/>
                <w:color w:val="000000"/>
                <w:sz w:val="20"/>
                <w:szCs w:val="20"/>
              </w:rPr>
              <w:t>Mean (SD) or Percent (n)</w:t>
            </w:r>
          </w:p>
        </w:tc>
      </w:tr>
      <w:tr w:rsidR="003C22CE" w:rsidRPr="00A20A96" w14:paraId="3E1265B2" w14:textId="77777777" w:rsidTr="0025065D">
        <w:trPr>
          <w:gridAfter w:val="1"/>
          <w:wAfter w:w="11" w:type="dxa"/>
        </w:trPr>
        <w:tc>
          <w:tcPr>
            <w:tcW w:w="2065" w:type="dxa"/>
            <w:tcBorders>
              <w:top w:val="single" w:sz="4" w:space="0" w:color="auto"/>
              <w:left w:val="single" w:sz="4" w:space="0" w:color="auto"/>
              <w:bottom w:val="single" w:sz="4" w:space="0" w:color="auto"/>
              <w:right w:val="single" w:sz="4" w:space="0" w:color="auto"/>
            </w:tcBorders>
          </w:tcPr>
          <w:p w14:paraId="60251343"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Age, years</w:t>
            </w:r>
          </w:p>
        </w:tc>
        <w:tc>
          <w:tcPr>
            <w:tcW w:w="1350" w:type="dxa"/>
            <w:tcBorders>
              <w:top w:val="single" w:sz="4" w:space="0" w:color="auto"/>
              <w:left w:val="single" w:sz="4" w:space="0" w:color="auto"/>
              <w:bottom w:val="single" w:sz="4" w:space="0" w:color="auto"/>
              <w:right w:val="single" w:sz="4" w:space="0" w:color="auto"/>
            </w:tcBorders>
          </w:tcPr>
          <w:p w14:paraId="0960DA3E"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67.3 (5.4)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A13B63"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68.1 (5.9)</w:t>
            </w:r>
          </w:p>
        </w:tc>
        <w:tc>
          <w:tcPr>
            <w:tcW w:w="900" w:type="dxa"/>
            <w:tcBorders>
              <w:top w:val="single" w:sz="4" w:space="0" w:color="auto"/>
              <w:left w:val="single" w:sz="4" w:space="0" w:color="auto"/>
              <w:bottom w:val="single" w:sz="4" w:space="0" w:color="auto"/>
              <w:right w:val="single" w:sz="4" w:space="0" w:color="auto"/>
            </w:tcBorders>
          </w:tcPr>
          <w:p w14:paraId="3B702E04"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0.286</w:t>
            </w:r>
          </w:p>
        </w:tc>
        <w:tc>
          <w:tcPr>
            <w:tcW w:w="1350" w:type="dxa"/>
            <w:tcBorders>
              <w:top w:val="single" w:sz="4" w:space="0" w:color="auto"/>
              <w:left w:val="single" w:sz="4" w:space="0" w:color="auto"/>
              <w:bottom w:val="single" w:sz="4" w:space="0" w:color="auto"/>
              <w:right w:val="single" w:sz="4" w:space="0" w:color="auto"/>
            </w:tcBorders>
          </w:tcPr>
          <w:p w14:paraId="59A21C41"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68.0 (5.7)</w:t>
            </w:r>
          </w:p>
        </w:tc>
        <w:tc>
          <w:tcPr>
            <w:tcW w:w="1350" w:type="dxa"/>
            <w:tcBorders>
              <w:top w:val="single" w:sz="4" w:space="0" w:color="auto"/>
              <w:left w:val="single" w:sz="4" w:space="0" w:color="auto"/>
              <w:bottom w:val="single" w:sz="4" w:space="0" w:color="auto"/>
              <w:right w:val="single" w:sz="4" w:space="0" w:color="auto"/>
            </w:tcBorders>
          </w:tcPr>
          <w:p w14:paraId="3B22CA6C"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68.0 (5.9)</w:t>
            </w:r>
          </w:p>
        </w:tc>
        <w:tc>
          <w:tcPr>
            <w:tcW w:w="990" w:type="dxa"/>
            <w:tcBorders>
              <w:top w:val="single" w:sz="4" w:space="0" w:color="auto"/>
              <w:left w:val="single" w:sz="4" w:space="0" w:color="auto"/>
              <w:bottom w:val="single" w:sz="4" w:space="0" w:color="auto"/>
              <w:right w:val="single" w:sz="4" w:space="0" w:color="auto"/>
            </w:tcBorders>
          </w:tcPr>
          <w:p w14:paraId="40BC5EC9"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0.901</w:t>
            </w:r>
          </w:p>
        </w:tc>
        <w:tc>
          <w:tcPr>
            <w:tcW w:w="1440" w:type="dxa"/>
            <w:tcBorders>
              <w:top w:val="single" w:sz="4" w:space="0" w:color="auto"/>
              <w:left w:val="single" w:sz="4" w:space="0" w:color="auto"/>
              <w:bottom w:val="single" w:sz="4" w:space="0" w:color="auto"/>
              <w:right w:val="single" w:sz="4" w:space="0" w:color="auto"/>
            </w:tcBorders>
          </w:tcPr>
          <w:p w14:paraId="158D1EC9"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68.2 (5.8)</w:t>
            </w:r>
          </w:p>
        </w:tc>
        <w:tc>
          <w:tcPr>
            <w:tcW w:w="1530" w:type="dxa"/>
            <w:tcBorders>
              <w:top w:val="single" w:sz="4" w:space="0" w:color="auto"/>
              <w:left w:val="single" w:sz="4" w:space="0" w:color="auto"/>
              <w:bottom w:val="single" w:sz="4" w:space="0" w:color="auto"/>
              <w:right w:val="single" w:sz="4" w:space="0" w:color="auto"/>
            </w:tcBorders>
          </w:tcPr>
          <w:p w14:paraId="61E2CFB9"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67.7 (5.8)</w:t>
            </w:r>
          </w:p>
        </w:tc>
        <w:tc>
          <w:tcPr>
            <w:tcW w:w="967" w:type="dxa"/>
            <w:tcBorders>
              <w:top w:val="single" w:sz="4" w:space="0" w:color="auto"/>
              <w:left w:val="single" w:sz="4" w:space="0" w:color="auto"/>
              <w:bottom w:val="single" w:sz="4" w:space="0" w:color="auto"/>
              <w:right w:val="single" w:sz="4" w:space="0" w:color="auto"/>
            </w:tcBorders>
          </w:tcPr>
          <w:p w14:paraId="5547C9B7"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0.369</w:t>
            </w:r>
          </w:p>
        </w:tc>
      </w:tr>
      <w:tr w:rsidR="003C22CE" w:rsidRPr="00A20A96" w14:paraId="33AE6602" w14:textId="77777777" w:rsidTr="0025065D">
        <w:trPr>
          <w:gridAfter w:val="1"/>
          <w:wAfter w:w="11" w:type="dxa"/>
          <w:trHeight w:val="746"/>
        </w:trPr>
        <w:tc>
          <w:tcPr>
            <w:tcW w:w="2065" w:type="dxa"/>
            <w:tcBorders>
              <w:top w:val="single" w:sz="4" w:space="0" w:color="auto"/>
              <w:left w:val="single" w:sz="4" w:space="0" w:color="auto"/>
              <w:right w:val="single" w:sz="4" w:space="0" w:color="auto"/>
            </w:tcBorders>
          </w:tcPr>
          <w:p w14:paraId="62D42CF0"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Race</w:t>
            </w:r>
          </w:p>
          <w:p w14:paraId="00CCD3C6" w14:textId="77777777" w:rsidR="003C22CE" w:rsidRPr="00A20A96" w:rsidRDefault="003C22CE" w:rsidP="0025065D">
            <w:pPr>
              <w:rPr>
                <w:rFonts w:ascii="Arial" w:hAnsi="Arial" w:cs="Arial"/>
                <w:color w:val="000000"/>
                <w:sz w:val="20"/>
                <w:szCs w:val="20"/>
              </w:rPr>
            </w:pPr>
            <w:r>
              <w:rPr>
                <w:rFonts w:ascii="Arial" w:hAnsi="Arial" w:cs="Arial"/>
                <w:color w:val="000000"/>
                <w:sz w:val="20"/>
                <w:szCs w:val="20"/>
              </w:rPr>
              <w:t xml:space="preserve">  </w:t>
            </w:r>
            <w:r w:rsidRPr="00A20A96">
              <w:rPr>
                <w:rFonts w:ascii="Arial" w:hAnsi="Arial" w:cs="Arial"/>
                <w:color w:val="000000"/>
                <w:sz w:val="20"/>
                <w:szCs w:val="20"/>
              </w:rPr>
              <w:t>White</w:t>
            </w:r>
          </w:p>
          <w:p w14:paraId="4CE50B93" w14:textId="77777777" w:rsidR="003C22CE" w:rsidRPr="00A20A96" w:rsidRDefault="003C22CE" w:rsidP="0025065D">
            <w:pPr>
              <w:rPr>
                <w:rFonts w:ascii="Arial" w:hAnsi="Arial" w:cs="Arial"/>
                <w:color w:val="000000"/>
                <w:sz w:val="20"/>
                <w:szCs w:val="20"/>
              </w:rPr>
            </w:pPr>
            <w:r>
              <w:rPr>
                <w:rFonts w:ascii="Arial" w:hAnsi="Arial" w:cs="Arial"/>
                <w:color w:val="000000"/>
                <w:sz w:val="20"/>
                <w:szCs w:val="20"/>
              </w:rPr>
              <w:t xml:space="preserve">  </w:t>
            </w:r>
            <w:r w:rsidRPr="00A20A96">
              <w:rPr>
                <w:rFonts w:ascii="Arial" w:hAnsi="Arial" w:cs="Arial"/>
                <w:color w:val="000000"/>
                <w:sz w:val="20"/>
                <w:szCs w:val="20"/>
              </w:rPr>
              <w:t>Non-white*</w:t>
            </w:r>
          </w:p>
        </w:tc>
        <w:tc>
          <w:tcPr>
            <w:tcW w:w="1350" w:type="dxa"/>
            <w:tcBorders>
              <w:top w:val="single" w:sz="4" w:space="0" w:color="auto"/>
              <w:left w:val="single" w:sz="4" w:space="0" w:color="auto"/>
              <w:right w:val="single" w:sz="4" w:space="0" w:color="auto"/>
            </w:tcBorders>
          </w:tcPr>
          <w:p w14:paraId="09F9EC89" w14:textId="77777777" w:rsidR="003C22CE" w:rsidRPr="00A20A96" w:rsidRDefault="003C22CE" w:rsidP="0025065D">
            <w:pPr>
              <w:rPr>
                <w:rFonts w:ascii="Arial" w:hAnsi="Arial" w:cs="Arial"/>
                <w:color w:val="000000"/>
                <w:sz w:val="20"/>
                <w:szCs w:val="20"/>
              </w:rPr>
            </w:pPr>
          </w:p>
          <w:p w14:paraId="53F3F273"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78.8% (52)</w:t>
            </w:r>
          </w:p>
          <w:p w14:paraId="50A905D6"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21.2% (14)</w:t>
            </w:r>
          </w:p>
        </w:tc>
        <w:tc>
          <w:tcPr>
            <w:tcW w:w="1350" w:type="dxa"/>
            <w:tcBorders>
              <w:top w:val="single" w:sz="4" w:space="0" w:color="auto"/>
              <w:left w:val="single" w:sz="4" w:space="0" w:color="auto"/>
              <w:right w:val="single" w:sz="4" w:space="0" w:color="auto"/>
            </w:tcBorders>
          </w:tcPr>
          <w:p w14:paraId="7F51B755" w14:textId="77777777" w:rsidR="003C22CE" w:rsidRPr="00A20A96" w:rsidRDefault="003C22CE" w:rsidP="0025065D">
            <w:pPr>
              <w:rPr>
                <w:rFonts w:ascii="Arial" w:hAnsi="Arial" w:cs="Arial"/>
                <w:color w:val="000000"/>
                <w:sz w:val="20"/>
                <w:szCs w:val="20"/>
              </w:rPr>
            </w:pPr>
          </w:p>
          <w:p w14:paraId="7CF33ADA"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79.7% (440)</w:t>
            </w:r>
          </w:p>
          <w:p w14:paraId="1A25AA85"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20.3% (112)</w:t>
            </w:r>
          </w:p>
        </w:tc>
        <w:tc>
          <w:tcPr>
            <w:tcW w:w="900" w:type="dxa"/>
            <w:tcBorders>
              <w:top w:val="single" w:sz="4" w:space="0" w:color="auto"/>
              <w:left w:val="single" w:sz="4" w:space="0" w:color="auto"/>
              <w:right w:val="single" w:sz="4" w:space="0" w:color="auto"/>
            </w:tcBorders>
          </w:tcPr>
          <w:p w14:paraId="320B6465"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0.860</w:t>
            </w:r>
          </w:p>
        </w:tc>
        <w:tc>
          <w:tcPr>
            <w:tcW w:w="1350" w:type="dxa"/>
            <w:tcBorders>
              <w:top w:val="single" w:sz="4" w:space="0" w:color="auto"/>
              <w:left w:val="single" w:sz="4" w:space="0" w:color="auto"/>
              <w:right w:val="single" w:sz="4" w:space="0" w:color="auto"/>
            </w:tcBorders>
          </w:tcPr>
          <w:p w14:paraId="7A173361" w14:textId="77777777" w:rsidR="003C22CE" w:rsidRPr="00D35725" w:rsidRDefault="003C22CE" w:rsidP="0025065D">
            <w:pPr>
              <w:rPr>
                <w:rFonts w:ascii="Arial" w:hAnsi="Arial" w:cs="Arial"/>
                <w:color w:val="000000"/>
                <w:sz w:val="20"/>
                <w:szCs w:val="20"/>
              </w:rPr>
            </w:pPr>
          </w:p>
          <w:p w14:paraId="671B1562" w14:textId="77777777" w:rsidR="003C22CE" w:rsidRPr="00D35725" w:rsidRDefault="003C22CE" w:rsidP="0025065D">
            <w:pPr>
              <w:rPr>
                <w:rFonts w:ascii="Arial" w:hAnsi="Arial" w:cs="Arial"/>
                <w:color w:val="000000"/>
                <w:sz w:val="20"/>
                <w:szCs w:val="20"/>
              </w:rPr>
            </w:pPr>
            <w:r w:rsidRPr="00D35725">
              <w:rPr>
                <w:rFonts w:ascii="Arial" w:hAnsi="Arial" w:cs="Arial"/>
                <w:color w:val="000000"/>
                <w:sz w:val="20"/>
                <w:szCs w:val="20"/>
              </w:rPr>
              <w:t>81.5% (397)</w:t>
            </w:r>
          </w:p>
          <w:p w14:paraId="15104844" w14:textId="77777777" w:rsidR="003C22CE" w:rsidRPr="00D35725" w:rsidRDefault="003C22CE" w:rsidP="0025065D">
            <w:pPr>
              <w:rPr>
                <w:rFonts w:ascii="Arial" w:hAnsi="Arial" w:cs="Arial"/>
                <w:color w:val="000000"/>
                <w:sz w:val="20"/>
                <w:szCs w:val="20"/>
              </w:rPr>
            </w:pPr>
            <w:r w:rsidRPr="00D35725">
              <w:rPr>
                <w:rFonts w:ascii="Arial" w:hAnsi="Arial" w:cs="Arial"/>
                <w:color w:val="000000"/>
                <w:sz w:val="20"/>
                <w:szCs w:val="20"/>
              </w:rPr>
              <w:t>18.5% (90)</w:t>
            </w:r>
          </w:p>
        </w:tc>
        <w:tc>
          <w:tcPr>
            <w:tcW w:w="1350" w:type="dxa"/>
            <w:tcBorders>
              <w:top w:val="single" w:sz="4" w:space="0" w:color="auto"/>
              <w:left w:val="single" w:sz="4" w:space="0" w:color="auto"/>
              <w:right w:val="single" w:sz="4" w:space="0" w:color="auto"/>
            </w:tcBorders>
          </w:tcPr>
          <w:p w14:paraId="2CB10F41" w14:textId="77777777" w:rsidR="003C22CE" w:rsidRPr="00D35725" w:rsidRDefault="003C22CE" w:rsidP="0025065D">
            <w:pPr>
              <w:rPr>
                <w:rFonts w:ascii="Arial" w:hAnsi="Arial" w:cs="Arial"/>
                <w:color w:val="000000"/>
                <w:sz w:val="20"/>
                <w:szCs w:val="20"/>
              </w:rPr>
            </w:pPr>
          </w:p>
          <w:p w14:paraId="1FA2ED15" w14:textId="77777777" w:rsidR="003C22CE" w:rsidRPr="00D35725" w:rsidRDefault="003C22CE" w:rsidP="0025065D">
            <w:pPr>
              <w:rPr>
                <w:rFonts w:ascii="Arial" w:hAnsi="Arial" w:cs="Arial"/>
                <w:color w:val="000000"/>
                <w:sz w:val="20"/>
                <w:szCs w:val="20"/>
              </w:rPr>
            </w:pPr>
            <w:r w:rsidRPr="00D35725">
              <w:rPr>
                <w:rFonts w:ascii="Arial" w:hAnsi="Arial" w:cs="Arial"/>
                <w:color w:val="000000"/>
                <w:sz w:val="20"/>
                <w:szCs w:val="20"/>
              </w:rPr>
              <w:t>74.2% (144)</w:t>
            </w:r>
          </w:p>
          <w:p w14:paraId="486E0882" w14:textId="77777777" w:rsidR="003C22CE" w:rsidRPr="00D35725" w:rsidRDefault="003C22CE" w:rsidP="0025065D">
            <w:pPr>
              <w:rPr>
                <w:rFonts w:ascii="Arial" w:hAnsi="Arial" w:cs="Arial"/>
                <w:color w:val="000000"/>
                <w:sz w:val="20"/>
                <w:szCs w:val="20"/>
              </w:rPr>
            </w:pPr>
            <w:r w:rsidRPr="00D35725">
              <w:rPr>
                <w:rFonts w:ascii="Arial" w:hAnsi="Arial" w:cs="Arial"/>
                <w:color w:val="000000"/>
                <w:sz w:val="20"/>
                <w:szCs w:val="20"/>
              </w:rPr>
              <w:t>25.8% (50)</w:t>
            </w:r>
          </w:p>
        </w:tc>
        <w:tc>
          <w:tcPr>
            <w:tcW w:w="990" w:type="dxa"/>
            <w:tcBorders>
              <w:top w:val="single" w:sz="4" w:space="0" w:color="auto"/>
              <w:left w:val="single" w:sz="4" w:space="0" w:color="auto"/>
              <w:right w:val="single" w:sz="4" w:space="0" w:color="auto"/>
            </w:tcBorders>
          </w:tcPr>
          <w:p w14:paraId="404940D0" w14:textId="77777777" w:rsidR="003C22CE" w:rsidRPr="00D35725" w:rsidRDefault="003C22CE" w:rsidP="0025065D">
            <w:pPr>
              <w:rPr>
                <w:rFonts w:ascii="Arial" w:hAnsi="Arial" w:cs="Arial"/>
                <w:color w:val="000000"/>
                <w:sz w:val="20"/>
                <w:szCs w:val="20"/>
              </w:rPr>
            </w:pPr>
            <w:r w:rsidRPr="00D35725">
              <w:rPr>
                <w:rFonts w:ascii="Arial" w:hAnsi="Arial" w:cs="Arial"/>
                <w:color w:val="000000"/>
                <w:sz w:val="20"/>
                <w:szCs w:val="20"/>
              </w:rPr>
              <w:t>0.034</w:t>
            </w:r>
          </w:p>
        </w:tc>
        <w:tc>
          <w:tcPr>
            <w:tcW w:w="1440" w:type="dxa"/>
            <w:tcBorders>
              <w:top w:val="single" w:sz="4" w:space="0" w:color="auto"/>
              <w:left w:val="single" w:sz="4" w:space="0" w:color="auto"/>
              <w:right w:val="single" w:sz="4" w:space="0" w:color="auto"/>
            </w:tcBorders>
          </w:tcPr>
          <w:p w14:paraId="55484061" w14:textId="77777777" w:rsidR="003C22CE" w:rsidRPr="00A20A96" w:rsidRDefault="003C22CE" w:rsidP="0025065D">
            <w:pPr>
              <w:rPr>
                <w:rFonts w:ascii="Arial" w:hAnsi="Arial" w:cs="Arial"/>
                <w:color w:val="000000"/>
                <w:sz w:val="20"/>
                <w:szCs w:val="20"/>
              </w:rPr>
            </w:pPr>
          </w:p>
          <w:p w14:paraId="4FDABAC1"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80.4% (405)</w:t>
            </w:r>
          </w:p>
          <w:p w14:paraId="153B5F13"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19.6% (99)</w:t>
            </w:r>
          </w:p>
        </w:tc>
        <w:tc>
          <w:tcPr>
            <w:tcW w:w="1530" w:type="dxa"/>
            <w:tcBorders>
              <w:top w:val="single" w:sz="4" w:space="0" w:color="auto"/>
              <w:left w:val="single" w:sz="4" w:space="0" w:color="auto"/>
              <w:right w:val="single" w:sz="4" w:space="0" w:color="auto"/>
            </w:tcBorders>
          </w:tcPr>
          <w:p w14:paraId="21BB1107" w14:textId="77777777" w:rsidR="003C22CE" w:rsidRPr="00A20A96" w:rsidRDefault="003C22CE" w:rsidP="0025065D">
            <w:pPr>
              <w:rPr>
                <w:rFonts w:ascii="Arial" w:hAnsi="Arial" w:cs="Arial"/>
                <w:color w:val="000000"/>
                <w:sz w:val="20"/>
                <w:szCs w:val="20"/>
              </w:rPr>
            </w:pPr>
          </w:p>
          <w:p w14:paraId="20890B11"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75.3% (143)</w:t>
            </w:r>
          </w:p>
          <w:p w14:paraId="447A56A1"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24.7% (47)</w:t>
            </w:r>
          </w:p>
        </w:tc>
        <w:tc>
          <w:tcPr>
            <w:tcW w:w="967" w:type="dxa"/>
            <w:tcBorders>
              <w:top w:val="single" w:sz="4" w:space="0" w:color="auto"/>
              <w:left w:val="single" w:sz="4" w:space="0" w:color="auto"/>
              <w:right w:val="single" w:sz="4" w:space="0" w:color="auto"/>
            </w:tcBorders>
          </w:tcPr>
          <w:p w14:paraId="245A34F5"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0.142</w:t>
            </w:r>
          </w:p>
        </w:tc>
      </w:tr>
      <w:tr w:rsidR="003C22CE" w:rsidRPr="00A20A96" w14:paraId="7DE1D9C0" w14:textId="77777777" w:rsidTr="0025065D">
        <w:trPr>
          <w:gridAfter w:val="1"/>
          <w:wAfter w:w="11" w:type="dxa"/>
          <w:trHeight w:val="485"/>
        </w:trPr>
        <w:tc>
          <w:tcPr>
            <w:tcW w:w="2065" w:type="dxa"/>
            <w:tcBorders>
              <w:top w:val="single" w:sz="4" w:space="0" w:color="auto"/>
              <w:left w:val="single" w:sz="4" w:space="0" w:color="auto"/>
              <w:right w:val="single" w:sz="4" w:space="0" w:color="auto"/>
            </w:tcBorders>
          </w:tcPr>
          <w:p w14:paraId="448C2DBF" w14:textId="77777777" w:rsidR="003C22CE" w:rsidRPr="00D35725" w:rsidRDefault="003C22CE" w:rsidP="0025065D">
            <w:pPr>
              <w:rPr>
                <w:rFonts w:ascii="Arial" w:hAnsi="Arial" w:cs="Arial"/>
                <w:color w:val="000000"/>
                <w:sz w:val="20"/>
                <w:szCs w:val="20"/>
                <w:highlight w:val="yellow"/>
              </w:rPr>
            </w:pPr>
            <w:r w:rsidRPr="00E62D9E">
              <w:rPr>
                <w:rFonts w:ascii="Arial" w:hAnsi="Arial" w:cs="Arial"/>
                <w:color w:val="000000"/>
                <w:sz w:val="20"/>
                <w:szCs w:val="20"/>
              </w:rPr>
              <w:t>Education, years</w:t>
            </w:r>
          </w:p>
        </w:tc>
        <w:tc>
          <w:tcPr>
            <w:tcW w:w="1350" w:type="dxa"/>
            <w:tcBorders>
              <w:top w:val="single" w:sz="4" w:space="0" w:color="auto"/>
              <w:left w:val="single" w:sz="4" w:space="0" w:color="auto"/>
              <w:right w:val="single" w:sz="4" w:space="0" w:color="auto"/>
            </w:tcBorders>
          </w:tcPr>
          <w:p w14:paraId="50C3DC1E" w14:textId="77777777" w:rsidR="003C22CE" w:rsidRPr="00D35725" w:rsidRDefault="003C22CE" w:rsidP="0025065D">
            <w:pPr>
              <w:rPr>
                <w:rFonts w:ascii="Arial" w:hAnsi="Arial" w:cs="Arial"/>
                <w:color w:val="000000"/>
                <w:sz w:val="20"/>
                <w:szCs w:val="20"/>
                <w:highlight w:val="yellow"/>
              </w:rPr>
            </w:pPr>
            <w:r w:rsidRPr="00B8736F">
              <w:rPr>
                <w:rFonts w:ascii="Arial" w:hAnsi="Arial" w:cs="Arial"/>
                <w:color w:val="000000"/>
                <w:sz w:val="20"/>
                <w:szCs w:val="20"/>
              </w:rPr>
              <w:t>15.0 (2.2)</w:t>
            </w:r>
          </w:p>
        </w:tc>
        <w:tc>
          <w:tcPr>
            <w:tcW w:w="1350" w:type="dxa"/>
            <w:tcBorders>
              <w:top w:val="single" w:sz="4" w:space="0" w:color="auto"/>
              <w:left w:val="single" w:sz="4" w:space="0" w:color="auto"/>
              <w:right w:val="single" w:sz="4" w:space="0" w:color="auto"/>
            </w:tcBorders>
            <w:shd w:val="clear" w:color="auto" w:fill="auto"/>
          </w:tcPr>
          <w:p w14:paraId="04E03BAD" w14:textId="77777777" w:rsidR="003C22CE" w:rsidRPr="00A20A96" w:rsidRDefault="003C22CE" w:rsidP="0025065D">
            <w:pPr>
              <w:rPr>
                <w:rFonts w:ascii="Arial" w:hAnsi="Arial" w:cs="Arial"/>
                <w:color w:val="000000"/>
                <w:sz w:val="20"/>
                <w:szCs w:val="20"/>
              </w:rPr>
            </w:pPr>
            <w:r w:rsidRPr="00B8736F">
              <w:rPr>
                <w:rFonts w:ascii="Arial" w:hAnsi="Arial" w:cs="Arial"/>
                <w:color w:val="000000"/>
                <w:sz w:val="20"/>
                <w:szCs w:val="20"/>
              </w:rPr>
              <w:t>15.3 (2.2)</w:t>
            </w:r>
          </w:p>
        </w:tc>
        <w:tc>
          <w:tcPr>
            <w:tcW w:w="900" w:type="dxa"/>
            <w:tcBorders>
              <w:top w:val="single" w:sz="4" w:space="0" w:color="auto"/>
              <w:left w:val="single" w:sz="4" w:space="0" w:color="auto"/>
              <w:right w:val="single" w:sz="4" w:space="0" w:color="auto"/>
            </w:tcBorders>
          </w:tcPr>
          <w:p w14:paraId="295E07FB" w14:textId="77777777" w:rsidR="003C22CE" w:rsidRPr="00A20A96" w:rsidRDefault="003C22CE" w:rsidP="0025065D">
            <w:pPr>
              <w:rPr>
                <w:rFonts w:ascii="Arial" w:hAnsi="Arial" w:cs="Arial"/>
                <w:color w:val="000000"/>
                <w:sz w:val="20"/>
                <w:szCs w:val="20"/>
              </w:rPr>
            </w:pPr>
            <w:r w:rsidRPr="00B8736F">
              <w:rPr>
                <w:rFonts w:ascii="Arial" w:hAnsi="Arial" w:cs="Arial"/>
                <w:color w:val="000000"/>
                <w:sz w:val="20"/>
                <w:szCs w:val="20"/>
              </w:rPr>
              <w:t>0.189</w:t>
            </w:r>
          </w:p>
        </w:tc>
        <w:tc>
          <w:tcPr>
            <w:tcW w:w="1350" w:type="dxa"/>
            <w:tcBorders>
              <w:top w:val="single" w:sz="4" w:space="0" w:color="auto"/>
              <w:left w:val="single" w:sz="4" w:space="0" w:color="auto"/>
              <w:right w:val="single" w:sz="4" w:space="0" w:color="auto"/>
            </w:tcBorders>
            <w:shd w:val="clear" w:color="auto" w:fill="auto"/>
          </w:tcPr>
          <w:p w14:paraId="17650180" w14:textId="77777777" w:rsidR="003C22CE" w:rsidRPr="00A20A96" w:rsidRDefault="003C22CE" w:rsidP="0025065D">
            <w:pPr>
              <w:rPr>
                <w:rFonts w:ascii="Arial" w:hAnsi="Arial" w:cs="Arial"/>
                <w:color w:val="000000"/>
                <w:sz w:val="20"/>
                <w:szCs w:val="20"/>
              </w:rPr>
            </w:pPr>
            <w:r w:rsidRPr="00A3793C">
              <w:rPr>
                <w:rFonts w:ascii="Arial" w:hAnsi="Arial" w:cs="Arial"/>
                <w:color w:val="000000" w:themeColor="text1"/>
                <w:sz w:val="22"/>
                <w:szCs w:val="22"/>
              </w:rPr>
              <w:t>15.5</w:t>
            </w:r>
            <w:r>
              <w:rPr>
                <w:rFonts w:ascii="Arial" w:hAnsi="Arial" w:cs="Arial"/>
                <w:color w:val="000000" w:themeColor="text1"/>
                <w:sz w:val="22"/>
                <w:szCs w:val="22"/>
              </w:rPr>
              <w:t xml:space="preserve"> (2</w:t>
            </w:r>
            <w:r w:rsidRPr="00A3793C">
              <w:rPr>
                <w:rFonts w:ascii="Arial" w:hAnsi="Arial" w:cs="Arial"/>
                <w:color w:val="000000" w:themeColor="text1"/>
                <w:sz w:val="22"/>
                <w:szCs w:val="22"/>
              </w:rPr>
              <w:t>.1</w:t>
            </w:r>
            <w:r>
              <w:rPr>
                <w:rFonts w:ascii="Arial" w:hAnsi="Arial" w:cs="Arial"/>
                <w:color w:val="000000" w:themeColor="text1"/>
                <w:sz w:val="22"/>
                <w:szCs w:val="22"/>
              </w:rPr>
              <w:t>)</w:t>
            </w:r>
            <w:r w:rsidRPr="00A3793C">
              <w:rPr>
                <w:rFonts w:ascii="Arial" w:hAnsi="Arial" w:cs="Arial"/>
                <w:color w:val="000000" w:themeColor="text1"/>
                <w:sz w:val="22"/>
                <w:szCs w:val="22"/>
              </w:rPr>
              <w:t xml:space="preserve"> </w:t>
            </w:r>
          </w:p>
        </w:tc>
        <w:tc>
          <w:tcPr>
            <w:tcW w:w="1350" w:type="dxa"/>
            <w:tcBorders>
              <w:top w:val="single" w:sz="4" w:space="0" w:color="auto"/>
              <w:left w:val="single" w:sz="4" w:space="0" w:color="auto"/>
              <w:right w:val="single" w:sz="4" w:space="0" w:color="auto"/>
            </w:tcBorders>
          </w:tcPr>
          <w:p w14:paraId="18F752C2" w14:textId="77777777" w:rsidR="003C22CE" w:rsidRPr="00A20A96" w:rsidRDefault="003C22CE" w:rsidP="0025065D">
            <w:pPr>
              <w:rPr>
                <w:rFonts w:ascii="Arial" w:hAnsi="Arial" w:cs="Arial"/>
                <w:color w:val="000000"/>
                <w:sz w:val="20"/>
                <w:szCs w:val="20"/>
              </w:rPr>
            </w:pPr>
            <w:r w:rsidRPr="00A3793C">
              <w:rPr>
                <w:rFonts w:ascii="Arial" w:hAnsi="Arial" w:cs="Arial"/>
                <w:color w:val="000000" w:themeColor="text1"/>
                <w:sz w:val="22"/>
                <w:szCs w:val="22"/>
              </w:rPr>
              <w:t>14.9</w:t>
            </w:r>
            <w:r>
              <w:rPr>
                <w:rFonts w:ascii="Arial" w:hAnsi="Arial" w:cs="Arial"/>
                <w:color w:val="000000" w:themeColor="text1"/>
                <w:sz w:val="22"/>
                <w:szCs w:val="22"/>
              </w:rPr>
              <w:t xml:space="preserve"> (</w:t>
            </w:r>
            <w:r w:rsidRPr="00A3793C">
              <w:rPr>
                <w:rFonts w:ascii="Arial" w:hAnsi="Arial" w:cs="Arial"/>
                <w:color w:val="000000" w:themeColor="text1"/>
                <w:sz w:val="22"/>
                <w:szCs w:val="22"/>
              </w:rPr>
              <w:t>2.2</w:t>
            </w:r>
            <w:r>
              <w:rPr>
                <w:rFonts w:ascii="Arial" w:hAnsi="Arial" w:cs="Arial"/>
                <w:color w:val="000000" w:themeColor="text1"/>
                <w:sz w:val="22"/>
                <w:szCs w:val="22"/>
              </w:rPr>
              <w:t>)</w:t>
            </w:r>
          </w:p>
        </w:tc>
        <w:tc>
          <w:tcPr>
            <w:tcW w:w="990" w:type="dxa"/>
            <w:tcBorders>
              <w:top w:val="single" w:sz="4" w:space="0" w:color="auto"/>
              <w:left w:val="single" w:sz="4" w:space="0" w:color="auto"/>
              <w:right w:val="single" w:sz="4" w:space="0" w:color="auto"/>
            </w:tcBorders>
            <w:shd w:val="clear" w:color="auto" w:fill="auto"/>
          </w:tcPr>
          <w:p w14:paraId="632EAC59" w14:textId="77777777" w:rsidR="003C22CE" w:rsidRPr="00A20A96" w:rsidRDefault="003C22CE" w:rsidP="0025065D">
            <w:pPr>
              <w:rPr>
                <w:rFonts w:ascii="Arial" w:hAnsi="Arial" w:cs="Arial"/>
                <w:color w:val="000000"/>
                <w:sz w:val="20"/>
                <w:szCs w:val="20"/>
              </w:rPr>
            </w:pPr>
            <w:r>
              <w:rPr>
                <w:rFonts w:ascii="Arial" w:hAnsi="Arial" w:cs="Arial"/>
                <w:color w:val="000000"/>
                <w:sz w:val="20"/>
                <w:szCs w:val="20"/>
              </w:rPr>
              <w:t>0.005</w:t>
            </w:r>
          </w:p>
        </w:tc>
        <w:tc>
          <w:tcPr>
            <w:tcW w:w="1440" w:type="dxa"/>
            <w:tcBorders>
              <w:top w:val="single" w:sz="4" w:space="0" w:color="auto"/>
              <w:left w:val="single" w:sz="4" w:space="0" w:color="auto"/>
              <w:right w:val="single" w:sz="4" w:space="0" w:color="auto"/>
            </w:tcBorders>
            <w:shd w:val="clear" w:color="auto" w:fill="auto"/>
          </w:tcPr>
          <w:p w14:paraId="1096C44D" w14:textId="77777777" w:rsidR="003C22CE" w:rsidRPr="00A20A96" w:rsidRDefault="003C22CE" w:rsidP="0025065D">
            <w:pPr>
              <w:rPr>
                <w:rFonts w:ascii="Arial" w:hAnsi="Arial" w:cs="Arial"/>
                <w:color w:val="000000"/>
                <w:sz w:val="20"/>
                <w:szCs w:val="20"/>
              </w:rPr>
            </w:pPr>
            <w:r w:rsidRPr="00B8736F">
              <w:rPr>
                <w:rFonts w:ascii="Arial" w:hAnsi="Arial" w:cs="Arial"/>
                <w:color w:val="000000"/>
                <w:sz w:val="20"/>
                <w:szCs w:val="20"/>
              </w:rPr>
              <w:t>15.4 (2.2)</w:t>
            </w:r>
          </w:p>
        </w:tc>
        <w:tc>
          <w:tcPr>
            <w:tcW w:w="1530" w:type="dxa"/>
            <w:tcBorders>
              <w:top w:val="single" w:sz="4" w:space="0" w:color="auto"/>
              <w:left w:val="single" w:sz="4" w:space="0" w:color="auto"/>
              <w:right w:val="single" w:sz="4" w:space="0" w:color="auto"/>
            </w:tcBorders>
            <w:shd w:val="clear" w:color="auto" w:fill="auto"/>
          </w:tcPr>
          <w:p w14:paraId="02F57C04" w14:textId="77777777" w:rsidR="003C22CE" w:rsidRPr="00A20A96" w:rsidRDefault="003C22CE" w:rsidP="0025065D">
            <w:pPr>
              <w:rPr>
                <w:rFonts w:ascii="Arial" w:hAnsi="Arial" w:cs="Arial"/>
                <w:color w:val="000000"/>
                <w:sz w:val="20"/>
                <w:szCs w:val="20"/>
              </w:rPr>
            </w:pPr>
            <w:r w:rsidRPr="00B8736F">
              <w:rPr>
                <w:rFonts w:ascii="Arial" w:hAnsi="Arial" w:cs="Arial"/>
                <w:color w:val="000000"/>
                <w:sz w:val="20"/>
                <w:szCs w:val="20"/>
              </w:rPr>
              <w:t>15.0 (2.1)</w:t>
            </w:r>
          </w:p>
        </w:tc>
        <w:tc>
          <w:tcPr>
            <w:tcW w:w="967" w:type="dxa"/>
            <w:tcBorders>
              <w:top w:val="single" w:sz="4" w:space="0" w:color="auto"/>
              <w:left w:val="single" w:sz="4" w:space="0" w:color="auto"/>
              <w:right w:val="single" w:sz="4" w:space="0" w:color="auto"/>
            </w:tcBorders>
          </w:tcPr>
          <w:p w14:paraId="1EA36837" w14:textId="77777777" w:rsidR="003C22CE" w:rsidRPr="00A20A96" w:rsidRDefault="003C22CE" w:rsidP="0025065D">
            <w:pPr>
              <w:rPr>
                <w:rFonts w:ascii="Arial" w:hAnsi="Arial" w:cs="Arial"/>
                <w:color w:val="000000"/>
                <w:sz w:val="20"/>
                <w:szCs w:val="20"/>
              </w:rPr>
            </w:pPr>
            <w:r w:rsidRPr="00B8736F">
              <w:rPr>
                <w:rFonts w:ascii="Arial" w:hAnsi="Arial" w:cs="Arial"/>
                <w:color w:val="000000"/>
                <w:sz w:val="20"/>
                <w:szCs w:val="20"/>
              </w:rPr>
              <w:t>0.015</w:t>
            </w:r>
          </w:p>
        </w:tc>
      </w:tr>
      <w:tr w:rsidR="003C22CE" w:rsidRPr="00A20A96" w14:paraId="46469887" w14:textId="77777777" w:rsidTr="0025065D">
        <w:trPr>
          <w:gridAfter w:val="1"/>
          <w:wAfter w:w="11" w:type="dxa"/>
          <w:trHeight w:val="953"/>
        </w:trPr>
        <w:tc>
          <w:tcPr>
            <w:tcW w:w="2065" w:type="dxa"/>
            <w:tcBorders>
              <w:top w:val="single" w:sz="4" w:space="0" w:color="auto"/>
              <w:left w:val="single" w:sz="4" w:space="0" w:color="auto"/>
              <w:right w:val="single" w:sz="4" w:space="0" w:color="auto"/>
            </w:tcBorders>
          </w:tcPr>
          <w:p w14:paraId="5C6B8E70"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Medicaid</w:t>
            </w:r>
          </w:p>
          <w:p w14:paraId="254449E9" w14:textId="77777777" w:rsidR="003C22CE" w:rsidRPr="00A20A96" w:rsidRDefault="003C22CE" w:rsidP="0025065D">
            <w:pPr>
              <w:rPr>
                <w:rFonts w:ascii="Arial" w:hAnsi="Arial" w:cs="Arial"/>
                <w:color w:val="000000"/>
                <w:sz w:val="20"/>
                <w:szCs w:val="20"/>
              </w:rPr>
            </w:pPr>
            <w:r>
              <w:rPr>
                <w:rFonts w:ascii="Arial" w:hAnsi="Arial" w:cs="Arial"/>
                <w:color w:val="000000"/>
                <w:sz w:val="20"/>
                <w:szCs w:val="20"/>
              </w:rPr>
              <w:t xml:space="preserve">  </w:t>
            </w:r>
            <w:r w:rsidRPr="00A20A96">
              <w:rPr>
                <w:rFonts w:ascii="Arial" w:hAnsi="Arial" w:cs="Arial"/>
                <w:color w:val="000000"/>
                <w:sz w:val="20"/>
                <w:szCs w:val="20"/>
              </w:rPr>
              <w:t>Yes</w:t>
            </w:r>
          </w:p>
          <w:p w14:paraId="47D446B6" w14:textId="77777777" w:rsidR="003C22CE" w:rsidRPr="00A20A96" w:rsidRDefault="003C22CE" w:rsidP="0025065D">
            <w:pPr>
              <w:rPr>
                <w:rFonts w:ascii="Arial" w:hAnsi="Arial" w:cs="Arial"/>
                <w:color w:val="000000"/>
                <w:sz w:val="20"/>
                <w:szCs w:val="20"/>
              </w:rPr>
            </w:pPr>
            <w:r>
              <w:rPr>
                <w:rFonts w:ascii="Arial" w:hAnsi="Arial" w:cs="Arial"/>
                <w:color w:val="000000"/>
                <w:sz w:val="20"/>
                <w:szCs w:val="20"/>
              </w:rPr>
              <w:t xml:space="preserve">  </w:t>
            </w:r>
            <w:r w:rsidRPr="00A20A96">
              <w:rPr>
                <w:rFonts w:ascii="Arial" w:hAnsi="Arial" w:cs="Arial"/>
                <w:color w:val="000000"/>
                <w:sz w:val="20"/>
                <w:szCs w:val="20"/>
              </w:rPr>
              <w:t>No</w:t>
            </w:r>
          </w:p>
        </w:tc>
        <w:tc>
          <w:tcPr>
            <w:tcW w:w="1350" w:type="dxa"/>
            <w:tcBorders>
              <w:top w:val="single" w:sz="4" w:space="0" w:color="auto"/>
              <w:left w:val="single" w:sz="4" w:space="0" w:color="auto"/>
              <w:right w:val="single" w:sz="4" w:space="0" w:color="auto"/>
            </w:tcBorders>
          </w:tcPr>
          <w:p w14:paraId="35A99081" w14:textId="77777777" w:rsidR="003C22CE" w:rsidRPr="00A20A96" w:rsidRDefault="003C22CE" w:rsidP="0025065D">
            <w:pPr>
              <w:rPr>
                <w:rFonts w:ascii="Arial" w:hAnsi="Arial" w:cs="Arial"/>
                <w:color w:val="000000"/>
                <w:sz w:val="20"/>
                <w:szCs w:val="20"/>
              </w:rPr>
            </w:pPr>
          </w:p>
          <w:p w14:paraId="45197D47"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3.4% (2)</w:t>
            </w:r>
          </w:p>
          <w:p w14:paraId="7DE7F384"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96.6% (57)</w:t>
            </w:r>
          </w:p>
        </w:tc>
        <w:tc>
          <w:tcPr>
            <w:tcW w:w="1350" w:type="dxa"/>
            <w:tcBorders>
              <w:top w:val="single" w:sz="4" w:space="0" w:color="auto"/>
              <w:left w:val="single" w:sz="4" w:space="0" w:color="auto"/>
              <w:right w:val="single" w:sz="4" w:space="0" w:color="auto"/>
            </w:tcBorders>
            <w:shd w:val="clear" w:color="auto" w:fill="auto"/>
          </w:tcPr>
          <w:p w14:paraId="46761048" w14:textId="77777777" w:rsidR="003C22CE" w:rsidRPr="00A20A96" w:rsidRDefault="003C22CE" w:rsidP="0025065D">
            <w:pPr>
              <w:rPr>
                <w:rFonts w:ascii="Arial" w:hAnsi="Arial" w:cs="Arial"/>
                <w:color w:val="000000"/>
                <w:sz w:val="20"/>
                <w:szCs w:val="20"/>
              </w:rPr>
            </w:pPr>
          </w:p>
          <w:p w14:paraId="3A5B616A"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4.0% (21)</w:t>
            </w:r>
          </w:p>
          <w:p w14:paraId="5EB4EF61"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96.0% (501)</w:t>
            </w:r>
          </w:p>
        </w:tc>
        <w:tc>
          <w:tcPr>
            <w:tcW w:w="900" w:type="dxa"/>
            <w:tcBorders>
              <w:top w:val="single" w:sz="4" w:space="0" w:color="auto"/>
              <w:left w:val="single" w:sz="4" w:space="0" w:color="auto"/>
              <w:right w:val="single" w:sz="4" w:space="0" w:color="auto"/>
            </w:tcBorders>
          </w:tcPr>
          <w:p w14:paraId="5E504E34"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0.813</w:t>
            </w:r>
          </w:p>
        </w:tc>
        <w:tc>
          <w:tcPr>
            <w:tcW w:w="1350" w:type="dxa"/>
            <w:tcBorders>
              <w:top w:val="single" w:sz="4" w:space="0" w:color="auto"/>
              <w:left w:val="single" w:sz="4" w:space="0" w:color="auto"/>
              <w:right w:val="single" w:sz="4" w:space="0" w:color="auto"/>
            </w:tcBorders>
            <w:shd w:val="clear" w:color="auto" w:fill="auto"/>
          </w:tcPr>
          <w:p w14:paraId="49D5054B" w14:textId="77777777" w:rsidR="003C22CE" w:rsidRPr="00A20A96" w:rsidRDefault="003C22CE" w:rsidP="0025065D">
            <w:pPr>
              <w:rPr>
                <w:rFonts w:ascii="Arial" w:hAnsi="Arial" w:cs="Arial"/>
                <w:color w:val="000000"/>
                <w:sz w:val="20"/>
                <w:szCs w:val="20"/>
              </w:rPr>
            </w:pPr>
          </w:p>
          <w:p w14:paraId="0C38F760"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3.3% (15)</w:t>
            </w:r>
          </w:p>
          <w:p w14:paraId="0076CB49"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96.7% (440)</w:t>
            </w:r>
          </w:p>
        </w:tc>
        <w:tc>
          <w:tcPr>
            <w:tcW w:w="1350" w:type="dxa"/>
            <w:tcBorders>
              <w:top w:val="single" w:sz="4" w:space="0" w:color="auto"/>
              <w:left w:val="single" w:sz="4" w:space="0" w:color="auto"/>
              <w:right w:val="single" w:sz="4" w:space="0" w:color="auto"/>
            </w:tcBorders>
          </w:tcPr>
          <w:p w14:paraId="686165D7" w14:textId="77777777" w:rsidR="003C22CE" w:rsidRPr="00A20A96" w:rsidRDefault="003C22CE" w:rsidP="0025065D">
            <w:pPr>
              <w:rPr>
                <w:rFonts w:ascii="Arial" w:hAnsi="Arial" w:cs="Arial"/>
                <w:color w:val="000000"/>
                <w:sz w:val="20"/>
                <w:szCs w:val="20"/>
              </w:rPr>
            </w:pPr>
          </w:p>
          <w:p w14:paraId="7B8CDD64"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5.0% (9)</w:t>
            </w:r>
          </w:p>
          <w:p w14:paraId="66164D65"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95.0% (172)</w:t>
            </w:r>
          </w:p>
        </w:tc>
        <w:tc>
          <w:tcPr>
            <w:tcW w:w="990" w:type="dxa"/>
            <w:tcBorders>
              <w:top w:val="single" w:sz="4" w:space="0" w:color="auto"/>
              <w:left w:val="single" w:sz="4" w:space="0" w:color="auto"/>
              <w:right w:val="single" w:sz="4" w:space="0" w:color="auto"/>
            </w:tcBorders>
            <w:shd w:val="clear" w:color="auto" w:fill="auto"/>
          </w:tcPr>
          <w:p w14:paraId="00A41681"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0.317</w:t>
            </w:r>
          </w:p>
        </w:tc>
        <w:tc>
          <w:tcPr>
            <w:tcW w:w="1440" w:type="dxa"/>
            <w:tcBorders>
              <w:top w:val="single" w:sz="4" w:space="0" w:color="auto"/>
              <w:left w:val="single" w:sz="4" w:space="0" w:color="auto"/>
              <w:right w:val="single" w:sz="4" w:space="0" w:color="auto"/>
            </w:tcBorders>
            <w:shd w:val="clear" w:color="auto" w:fill="auto"/>
          </w:tcPr>
          <w:p w14:paraId="31FFFB2D" w14:textId="77777777" w:rsidR="003C22CE" w:rsidRPr="00A20A96" w:rsidRDefault="003C22CE" w:rsidP="0025065D">
            <w:pPr>
              <w:rPr>
                <w:rFonts w:ascii="Arial" w:hAnsi="Arial" w:cs="Arial"/>
                <w:color w:val="000000"/>
                <w:sz w:val="20"/>
                <w:szCs w:val="20"/>
              </w:rPr>
            </w:pPr>
          </w:p>
          <w:p w14:paraId="4453BC8C"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3.4% (16)</w:t>
            </w:r>
          </w:p>
          <w:p w14:paraId="5B752BF9"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96.6% (455)</w:t>
            </w:r>
          </w:p>
        </w:tc>
        <w:tc>
          <w:tcPr>
            <w:tcW w:w="1530" w:type="dxa"/>
            <w:tcBorders>
              <w:top w:val="single" w:sz="4" w:space="0" w:color="auto"/>
              <w:left w:val="single" w:sz="4" w:space="0" w:color="auto"/>
              <w:right w:val="single" w:sz="4" w:space="0" w:color="auto"/>
            </w:tcBorders>
            <w:shd w:val="clear" w:color="auto" w:fill="auto"/>
          </w:tcPr>
          <w:p w14:paraId="3924E133" w14:textId="77777777" w:rsidR="003C22CE" w:rsidRPr="00A20A96" w:rsidRDefault="003C22CE" w:rsidP="0025065D">
            <w:pPr>
              <w:rPr>
                <w:rFonts w:ascii="Arial" w:hAnsi="Arial" w:cs="Arial"/>
                <w:color w:val="000000"/>
                <w:sz w:val="20"/>
                <w:szCs w:val="20"/>
              </w:rPr>
            </w:pPr>
          </w:p>
          <w:p w14:paraId="56E03106"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4.0% (7)</w:t>
            </w:r>
          </w:p>
          <w:p w14:paraId="71C5A8AA"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96.0% (170)</w:t>
            </w:r>
          </w:p>
        </w:tc>
        <w:tc>
          <w:tcPr>
            <w:tcW w:w="967" w:type="dxa"/>
            <w:tcBorders>
              <w:top w:val="single" w:sz="4" w:space="0" w:color="auto"/>
              <w:left w:val="single" w:sz="4" w:space="0" w:color="auto"/>
              <w:right w:val="single" w:sz="4" w:space="0" w:color="auto"/>
            </w:tcBorders>
          </w:tcPr>
          <w:p w14:paraId="46E47AC4"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0.732</w:t>
            </w:r>
          </w:p>
        </w:tc>
      </w:tr>
      <w:tr w:rsidR="003C22CE" w:rsidRPr="00A20A96" w14:paraId="4AB86B03" w14:textId="77777777" w:rsidTr="0025065D">
        <w:trPr>
          <w:gridAfter w:val="1"/>
          <w:wAfter w:w="11" w:type="dxa"/>
        </w:trPr>
        <w:tc>
          <w:tcPr>
            <w:tcW w:w="2065" w:type="dxa"/>
            <w:tcBorders>
              <w:top w:val="single" w:sz="4" w:space="0" w:color="auto"/>
              <w:left w:val="single" w:sz="4" w:space="0" w:color="auto"/>
              <w:bottom w:val="single" w:sz="4" w:space="0" w:color="auto"/>
              <w:right w:val="single" w:sz="4" w:space="0" w:color="auto"/>
            </w:tcBorders>
          </w:tcPr>
          <w:p w14:paraId="1D565F64"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WRAT score</w:t>
            </w:r>
          </w:p>
        </w:tc>
        <w:tc>
          <w:tcPr>
            <w:tcW w:w="1350" w:type="dxa"/>
            <w:tcBorders>
              <w:top w:val="single" w:sz="4" w:space="0" w:color="auto"/>
              <w:left w:val="single" w:sz="4" w:space="0" w:color="auto"/>
              <w:bottom w:val="single" w:sz="4" w:space="0" w:color="auto"/>
              <w:right w:val="single" w:sz="4" w:space="0" w:color="auto"/>
            </w:tcBorders>
          </w:tcPr>
          <w:p w14:paraId="15964BD5"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108.4 (15.3)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E7EF50"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110.4 (15.2)</w:t>
            </w:r>
          </w:p>
        </w:tc>
        <w:tc>
          <w:tcPr>
            <w:tcW w:w="900" w:type="dxa"/>
            <w:tcBorders>
              <w:top w:val="single" w:sz="4" w:space="0" w:color="auto"/>
              <w:left w:val="single" w:sz="4" w:space="0" w:color="auto"/>
              <w:bottom w:val="single" w:sz="4" w:space="0" w:color="auto"/>
              <w:right w:val="single" w:sz="4" w:space="0" w:color="auto"/>
            </w:tcBorders>
          </w:tcPr>
          <w:p w14:paraId="79D4AE18"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0.328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27CD58"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110.3 (14.8)</w:t>
            </w:r>
          </w:p>
        </w:tc>
        <w:tc>
          <w:tcPr>
            <w:tcW w:w="1350" w:type="dxa"/>
            <w:tcBorders>
              <w:top w:val="single" w:sz="4" w:space="0" w:color="auto"/>
              <w:left w:val="single" w:sz="4" w:space="0" w:color="auto"/>
              <w:bottom w:val="single" w:sz="4" w:space="0" w:color="auto"/>
              <w:right w:val="single" w:sz="4" w:space="0" w:color="auto"/>
            </w:tcBorders>
          </w:tcPr>
          <w:p w14:paraId="64FDA845"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109.3 (16.1)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2D5048"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0.427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6DC59A"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110.0 (14.9)</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1429111"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109.7 (15.8)</w:t>
            </w:r>
          </w:p>
        </w:tc>
        <w:tc>
          <w:tcPr>
            <w:tcW w:w="967" w:type="dxa"/>
            <w:tcBorders>
              <w:top w:val="single" w:sz="4" w:space="0" w:color="auto"/>
              <w:left w:val="single" w:sz="4" w:space="0" w:color="auto"/>
              <w:bottom w:val="single" w:sz="4" w:space="0" w:color="auto"/>
              <w:right w:val="single" w:sz="4" w:space="0" w:color="auto"/>
            </w:tcBorders>
          </w:tcPr>
          <w:p w14:paraId="31C41723"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0.768</w:t>
            </w:r>
          </w:p>
        </w:tc>
      </w:tr>
      <w:tr w:rsidR="003C22CE" w:rsidRPr="00A20A96" w14:paraId="75D5E498" w14:textId="77777777" w:rsidTr="0025065D">
        <w:trPr>
          <w:gridAfter w:val="1"/>
          <w:wAfter w:w="11" w:type="dxa"/>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1FEE2F01"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CES-D Cut-off 1</w:t>
            </w:r>
            <w:r>
              <w:rPr>
                <w:rFonts w:ascii="Arial" w:hAnsi="Arial" w:cs="Arial"/>
                <w:color w:val="000000"/>
                <w:sz w:val="20"/>
                <w:szCs w:val="20"/>
              </w:rPr>
              <w:t>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8DF5D5"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17.2% (10)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1CB642"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11.4% (58)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88DF8F"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0.196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9F56C21"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11.2% (50)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7421F81"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16.5% (29)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EBF78D1"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0.076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8AEBC8" w14:textId="77777777" w:rsidR="003C22CE" w:rsidRPr="00D35725" w:rsidRDefault="003C22CE" w:rsidP="0025065D">
            <w:pPr>
              <w:rPr>
                <w:rFonts w:ascii="Arial" w:hAnsi="Arial" w:cs="Arial"/>
                <w:color w:val="000000"/>
                <w:sz w:val="20"/>
                <w:szCs w:val="20"/>
              </w:rPr>
            </w:pPr>
            <w:r w:rsidRPr="00D35725">
              <w:rPr>
                <w:rFonts w:ascii="Arial" w:hAnsi="Arial" w:cs="Arial"/>
                <w:color w:val="000000"/>
                <w:sz w:val="20"/>
                <w:szCs w:val="20"/>
              </w:rPr>
              <w:t>10.2% (47)</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68402E3" w14:textId="77777777" w:rsidR="003C22CE" w:rsidRPr="00D35725" w:rsidRDefault="003C22CE" w:rsidP="0025065D">
            <w:pPr>
              <w:rPr>
                <w:rFonts w:ascii="Arial" w:hAnsi="Arial" w:cs="Arial"/>
                <w:color w:val="000000"/>
                <w:sz w:val="20"/>
                <w:szCs w:val="20"/>
              </w:rPr>
            </w:pPr>
            <w:r w:rsidRPr="00D35725">
              <w:rPr>
                <w:rFonts w:ascii="Arial" w:hAnsi="Arial" w:cs="Arial"/>
                <w:color w:val="000000"/>
                <w:sz w:val="20"/>
                <w:szCs w:val="20"/>
              </w:rPr>
              <w:t>18.2% (31)</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416FB740" w14:textId="77777777" w:rsidR="003C22CE" w:rsidRPr="00D35725" w:rsidRDefault="003C22CE" w:rsidP="0025065D">
            <w:pPr>
              <w:rPr>
                <w:rFonts w:ascii="Arial" w:hAnsi="Arial" w:cs="Arial"/>
                <w:color w:val="000000"/>
                <w:sz w:val="20"/>
                <w:szCs w:val="20"/>
              </w:rPr>
            </w:pPr>
            <w:r w:rsidRPr="00D35725">
              <w:rPr>
                <w:rFonts w:ascii="Arial" w:hAnsi="Arial" w:cs="Arial"/>
                <w:color w:val="000000"/>
                <w:sz w:val="20"/>
                <w:szCs w:val="20"/>
              </w:rPr>
              <w:t>0.006</w:t>
            </w:r>
          </w:p>
        </w:tc>
      </w:tr>
      <w:tr w:rsidR="003C22CE" w:rsidRPr="00A20A96" w14:paraId="64A37984" w14:textId="77777777" w:rsidTr="0025065D">
        <w:trPr>
          <w:gridAfter w:val="1"/>
          <w:wAfter w:w="11" w:type="dxa"/>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29AF8CF6"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STAI Cut-off &gt;44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BF8904"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11.7% (7)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F83B84"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5.6% (29)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10015B"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0.067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10E810"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5.5% (25)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A365C8"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7.3% (13)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1849DCD"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0.410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A66390" w14:textId="77777777" w:rsidR="003C22CE" w:rsidRPr="00D35725" w:rsidRDefault="003C22CE" w:rsidP="0025065D">
            <w:pPr>
              <w:rPr>
                <w:rFonts w:ascii="Arial" w:hAnsi="Arial" w:cs="Arial"/>
                <w:color w:val="000000"/>
                <w:sz w:val="20"/>
                <w:szCs w:val="20"/>
              </w:rPr>
            </w:pPr>
            <w:r w:rsidRPr="00D35725">
              <w:rPr>
                <w:rFonts w:ascii="Arial" w:hAnsi="Arial" w:cs="Arial"/>
                <w:color w:val="000000"/>
                <w:sz w:val="20"/>
                <w:szCs w:val="20"/>
              </w:rPr>
              <w:t>4.1% (19)</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5467DF5" w14:textId="77777777" w:rsidR="003C22CE" w:rsidRPr="00D35725" w:rsidRDefault="003C22CE" w:rsidP="0025065D">
            <w:pPr>
              <w:rPr>
                <w:rFonts w:ascii="Arial" w:hAnsi="Arial" w:cs="Arial"/>
                <w:color w:val="000000"/>
                <w:sz w:val="20"/>
                <w:szCs w:val="20"/>
              </w:rPr>
            </w:pPr>
            <w:r w:rsidRPr="00D35725">
              <w:rPr>
                <w:rFonts w:ascii="Arial" w:hAnsi="Arial" w:cs="Arial"/>
                <w:color w:val="000000"/>
                <w:sz w:val="20"/>
                <w:szCs w:val="20"/>
              </w:rPr>
              <w:t>10.3% (18)</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C5ADB80" w14:textId="77777777" w:rsidR="003C22CE" w:rsidRPr="00D35725" w:rsidRDefault="003C22CE" w:rsidP="0025065D">
            <w:pPr>
              <w:rPr>
                <w:rFonts w:ascii="Arial" w:hAnsi="Arial" w:cs="Arial"/>
                <w:color w:val="000000"/>
                <w:sz w:val="20"/>
                <w:szCs w:val="20"/>
              </w:rPr>
            </w:pPr>
            <w:r w:rsidRPr="00D35725">
              <w:rPr>
                <w:rFonts w:ascii="Arial" w:hAnsi="Arial" w:cs="Arial"/>
                <w:color w:val="000000"/>
                <w:sz w:val="20"/>
                <w:szCs w:val="20"/>
              </w:rPr>
              <w:t>0.003</w:t>
            </w:r>
          </w:p>
        </w:tc>
      </w:tr>
      <w:tr w:rsidR="003C22CE" w:rsidRPr="00E46127" w14:paraId="1248B174" w14:textId="77777777" w:rsidTr="0025065D">
        <w:trPr>
          <w:gridAfter w:val="1"/>
          <w:wAfter w:w="11" w:type="dxa"/>
        </w:trPr>
        <w:tc>
          <w:tcPr>
            <w:tcW w:w="2065" w:type="dxa"/>
            <w:tcBorders>
              <w:top w:val="single" w:sz="4" w:space="0" w:color="auto"/>
              <w:left w:val="single" w:sz="4" w:space="0" w:color="auto"/>
              <w:bottom w:val="single" w:sz="4" w:space="0" w:color="auto"/>
              <w:right w:val="single" w:sz="4" w:space="0" w:color="auto"/>
            </w:tcBorders>
          </w:tcPr>
          <w:p w14:paraId="6E79A9BF"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Comorbidities</w:t>
            </w:r>
          </w:p>
        </w:tc>
        <w:tc>
          <w:tcPr>
            <w:tcW w:w="1350" w:type="dxa"/>
            <w:tcBorders>
              <w:top w:val="single" w:sz="4" w:space="0" w:color="auto"/>
              <w:left w:val="single" w:sz="4" w:space="0" w:color="auto"/>
              <w:bottom w:val="single" w:sz="4" w:space="0" w:color="auto"/>
              <w:right w:val="single" w:sz="4" w:space="0" w:color="auto"/>
            </w:tcBorders>
          </w:tcPr>
          <w:p w14:paraId="4C71FAB3"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2.7 (2.0)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AB77AC"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2.8 (2.0)</w:t>
            </w:r>
          </w:p>
        </w:tc>
        <w:tc>
          <w:tcPr>
            <w:tcW w:w="900" w:type="dxa"/>
            <w:tcBorders>
              <w:top w:val="single" w:sz="4" w:space="0" w:color="auto"/>
              <w:left w:val="single" w:sz="4" w:space="0" w:color="auto"/>
              <w:bottom w:val="single" w:sz="4" w:space="0" w:color="auto"/>
              <w:right w:val="single" w:sz="4" w:space="0" w:color="auto"/>
            </w:tcBorders>
          </w:tcPr>
          <w:p w14:paraId="0C1AE8BD"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0.743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5F59AC"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2.8 (1.9)</w:t>
            </w:r>
          </w:p>
        </w:tc>
        <w:tc>
          <w:tcPr>
            <w:tcW w:w="1350" w:type="dxa"/>
            <w:tcBorders>
              <w:top w:val="single" w:sz="4" w:space="0" w:color="auto"/>
              <w:left w:val="single" w:sz="4" w:space="0" w:color="auto"/>
              <w:bottom w:val="single" w:sz="4" w:space="0" w:color="auto"/>
              <w:right w:val="single" w:sz="4" w:space="0" w:color="auto"/>
            </w:tcBorders>
          </w:tcPr>
          <w:p w14:paraId="08001279"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2.9 (2.2)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5D17085"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0.477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D65982"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2.8 (2.0)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034BD1A" w14:textId="77777777" w:rsidR="003C22CE" w:rsidRPr="00A20A96" w:rsidRDefault="003C22CE" w:rsidP="0025065D">
            <w:pPr>
              <w:rPr>
                <w:rFonts w:ascii="Arial" w:hAnsi="Arial" w:cs="Arial"/>
                <w:color w:val="000000"/>
                <w:sz w:val="20"/>
                <w:szCs w:val="20"/>
              </w:rPr>
            </w:pPr>
            <w:r w:rsidRPr="00A20A96">
              <w:rPr>
                <w:rFonts w:ascii="Arial" w:hAnsi="Arial" w:cs="Arial"/>
                <w:color w:val="000000"/>
                <w:sz w:val="20"/>
                <w:szCs w:val="20"/>
              </w:rPr>
              <w:t>2.7 (2.0)</w:t>
            </w:r>
          </w:p>
        </w:tc>
        <w:tc>
          <w:tcPr>
            <w:tcW w:w="967" w:type="dxa"/>
            <w:tcBorders>
              <w:top w:val="single" w:sz="4" w:space="0" w:color="auto"/>
              <w:left w:val="single" w:sz="4" w:space="0" w:color="auto"/>
              <w:bottom w:val="single" w:sz="4" w:space="0" w:color="auto"/>
              <w:right w:val="single" w:sz="4" w:space="0" w:color="auto"/>
            </w:tcBorders>
          </w:tcPr>
          <w:p w14:paraId="52473F00" w14:textId="77777777" w:rsidR="003C22CE" w:rsidRPr="00B8736F" w:rsidRDefault="003C22CE" w:rsidP="0025065D">
            <w:pPr>
              <w:rPr>
                <w:rFonts w:ascii="Arial" w:hAnsi="Arial" w:cs="Arial"/>
                <w:color w:val="000000"/>
                <w:sz w:val="20"/>
                <w:szCs w:val="20"/>
              </w:rPr>
            </w:pPr>
            <w:r w:rsidRPr="00A20A96">
              <w:rPr>
                <w:rFonts w:ascii="Arial" w:hAnsi="Arial" w:cs="Arial"/>
                <w:color w:val="000000"/>
                <w:sz w:val="20"/>
                <w:szCs w:val="20"/>
              </w:rPr>
              <w:t>0.552</w:t>
            </w:r>
          </w:p>
        </w:tc>
      </w:tr>
    </w:tbl>
    <w:p w14:paraId="09CC6970" w14:textId="77777777" w:rsidR="003C22CE" w:rsidRDefault="003C22CE" w:rsidP="003C22CE">
      <w:pPr>
        <w:rPr>
          <w:rFonts w:ascii="Arial" w:hAnsi="Arial" w:cs="Arial"/>
          <w:bCs/>
          <w:color w:val="000000"/>
          <w:sz w:val="22"/>
          <w:szCs w:val="22"/>
        </w:rPr>
      </w:pPr>
    </w:p>
    <w:p w14:paraId="01F5AD4E" w14:textId="77777777" w:rsidR="003C22CE" w:rsidRPr="007C2666" w:rsidRDefault="003C22CE" w:rsidP="003C22CE">
      <w:pPr>
        <w:rPr>
          <w:rFonts w:ascii="Arial" w:hAnsi="Arial" w:cs="Arial"/>
          <w:bCs/>
          <w:color w:val="000000"/>
          <w:sz w:val="16"/>
          <w:szCs w:val="16"/>
        </w:rPr>
      </w:pPr>
      <w:r w:rsidRPr="007C2666">
        <w:rPr>
          <w:rFonts w:ascii="Arial" w:hAnsi="Arial" w:cs="Arial"/>
          <w:bCs/>
          <w:color w:val="000000"/>
          <w:sz w:val="16"/>
          <w:szCs w:val="16"/>
        </w:rPr>
        <w:t>* non-White includes Black</w:t>
      </w:r>
      <w:r>
        <w:rPr>
          <w:rFonts w:ascii="Arial" w:hAnsi="Arial" w:cs="Arial"/>
          <w:bCs/>
          <w:color w:val="000000"/>
          <w:sz w:val="16"/>
          <w:szCs w:val="16"/>
        </w:rPr>
        <w:t xml:space="preserve"> and Asian</w:t>
      </w:r>
    </w:p>
    <w:p w14:paraId="490644FB" w14:textId="77777777" w:rsidR="003C22CE" w:rsidRPr="007C2666" w:rsidRDefault="003C22CE" w:rsidP="003C22CE">
      <w:pPr>
        <w:rPr>
          <w:rFonts w:ascii="Arial" w:hAnsi="Arial" w:cs="Arial"/>
          <w:bCs/>
          <w:color w:val="000000"/>
          <w:sz w:val="16"/>
          <w:szCs w:val="16"/>
        </w:rPr>
      </w:pPr>
      <w:r>
        <w:rPr>
          <w:rFonts w:ascii="Arial" w:hAnsi="Arial" w:cs="Arial"/>
          <w:bCs/>
          <w:color w:val="000000"/>
          <w:sz w:val="16"/>
          <w:szCs w:val="16"/>
        </w:rPr>
        <w:t xml:space="preserve">** </w:t>
      </w:r>
      <w:r w:rsidRPr="007C2666">
        <w:rPr>
          <w:rFonts w:ascii="Arial" w:hAnsi="Arial" w:cs="Arial"/>
          <w:bCs/>
          <w:color w:val="000000"/>
          <w:sz w:val="16"/>
          <w:szCs w:val="16"/>
        </w:rPr>
        <w:t>Scores on the State-Trait Anxiety Inventory range from 20 to 80, with higher scores reflecting more anxiety</w:t>
      </w:r>
      <w:r>
        <w:rPr>
          <w:rFonts w:ascii="Arial" w:hAnsi="Arial" w:cs="Arial"/>
          <w:bCs/>
          <w:color w:val="000000"/>
          <w:sz w:val="16"/>
          <w:szCs w:val="16"/>
        </w:rPr>
        <w:t>;</w:t>
      </w:r>
      <w:r w:rsidRPr="008E402F">
        <w:rPr>
          <w:rFonts w:ascii="Arial" w:hAnsi="Arial" w:cs="Arial"/>
          <w:bCs/>
          <w:color w:val="000000"/>
          <w:sz w:val="16"/>
          <w:szCs w:val="16"/>
        </w:rPr>
        <w:t xml:space="preserve"> </w:t>
      </w:r>
      <w:r>
        <w:rPr>
          <w:rFonts w:ascii="Arial" w:hAnsi="Arial" w:cs="Arial"/>
          <w:bCs/>
          <w:color w:val="000000"/>
          <w:sz w:val="16"/>
          <w:szCs w:val="16"/>
        </w:rPr>
        <w:t>a cut point of &gt;44 is used to define clinical anxiety.</w:t>
      </w:r>
    </w:p>
    <w:p w14:paraId="10911B25" w14:textId="77777777" w:rsidR="003C22CE" w:rsidRDefault="003C22CE" w:rsidP="003C22CE">
      <w:pPr>
        <w:rPr>
          <w:rFonts w:ascii="Arial" w:hAnsi="Arial" w:cs="Arial"/>
          <w:bCs/>
          <w:color w:val="000000"/>
          <w:sz w:val="16"/>
          <w:szCs w:val="16"/>
        </w:rPr>
      </w:pPr>
      <w:proofErr w:type="gramStart"/>
      <w:r w:rsidRPr="003A6904">
        <w:rPr>
          <w:rFonts w:ascii="Arial" w:hAnsi="Arial" w:cs="Arial"/>
          <w:bCs/>
          <w:color w:val="000000"/>
          <w:sz w:val="22"/>
          <w:szCs w:val="22"/>
          <w:vertAlign w:val="superscript"/>
        </w:rPr>
        <w:t>†</w:t>
      </w:r>
      <w:r>
        <w:rPr>
          <w:rFonts w:ascii="Arial" w:hAnsi="Arial" w:cs="Arial"/>
          <w:bCs/>
          <w:color w:val="000000"/>
          <w:sz w:val="22"/>
          <w:szCs w:val="22"/>
          <w:vertAlign w:val="superscript"/>
        </w:rPr>
        <w:t xml:space="preserve">  </w:t>
      </w:r>
      <w:r w:rsidRPr="007C2666">
        <w:rPr>
          <w:rFonts w:ascii="Arial" w:hAnsi="Arial" w:cs="Arial"/>
          <w:bCs/>
          <w:color w:val="000000"/>
          <w:sz w:val="16"/>
          <w:szCs w:val="16"/>
        </w:rPr>
        <w:t>Scores</w:t>
      </w:r>
      <w:proofErr w:type="gramEnd"/>
      <w:r w:rsidRPr="007C2666">
        <w:rPr>
          <w:rFonts w:ascii="Arial" w:hAnsi="Arial" w:cs="Arial"/>
          <w:bCs/>
          <w:color w:val="000000"/>
          <w:sz w:val="16"/>
          <w:szCs w:val="16"/>
        </w:rPr>
        <w:t xml:space="preserve"> on the Center fo</w:t>
      </w:r>
      <w:r>
        <w:rPr>
          <w:rFonts w:ascii="Arial" w:hAnsi="Arial" w:cs="Arial"/>
          <w:bCs/>
          <w:color w:val="000000"/>
          <w:sz w:val="16"/>
          <w:szCs w:val="16"/>
        </w:rPr>
        <w:t xml:space="preserve">r </w:t>
      </w:r>
      <w:r w:rsidRPr="007C2666">
        <w:rPr>
          <w:rFonts w:ascii="Arial" w:hAnsi="Arial" w:cs="Arial"/>
          <w:bCs/>
          <w:color w:val="000000"/>
          <w:sz w:val="16"/>
          <w:szCs w:val="16"/>
        </w:rPr>
        <w:t>Epidemiologic Studies Depression Sc</w:t>
      </w:r>
      <w:r>
        <w:rPr>
          <w:rFonts w:ascii="Arial" w:hAnsi="Arial" w:cs="Arial"/>
          <w:bCs/>
          <w:color w:val="000000"/>
          <w:sz w:val="16"/>
          <w:szCs w:val="16"/>
        </w:rPr>
        <w:t>a</w:t>
      </w:r>
      <w:r w:rsidRPr="007C2666">
        <w:rPr>
          <w:rFonts w:ascii="Arial" w:hAnsi="Arial" w:cs="Arial"/>
          <w:bCs/>
          <w:color w:val="000000"/>
          <w:sz w:val="16"/>
          <w:szCs w:val="16"/>
        </w:rPr>
        <w:t>le range from 0-60, with higher scores represent</w:t>
      </w:r>
      <w:r>
        <w:rPr>
          <w:rFonts w:ascii="Arial" w:hAnsi="Arial" w:cs="Arial"/>
          <w:bCs/>
          <w:color w:val="000000"/>
          <w:sz w:val="16"/>
          <w:szCs w:val="16"/>
        </w:rPr>
        <w:t xml:space="preserve">ing </w:t>
      </w:r>
      <w:r w:rsidRPr="007C2666">
        <w:rPr>
          <w:rFonts w:ascii="Arial" w:hAnsi="Arial" w:cs="Arial"/>
          <w:bCs/>
          <w:color w:val="000000"/>
          <w:sz w:val="16"/>
          <w:szCs w:val="16"/>
        </w:rPr>
        <w:t xml:space="preserve">more </w:t>
      </w:r>
      <w:r>
        <w:rPr>
          <w:rFonts w:ascii="Arial" w:hAnsi="Arial" w:cs="Arial"/>
          <w:bCs/>
          <w:color w:val="000000"/>
          <w:sz w:val="16"/>
          <w:szCs w:val="16"/>
        </w:rPr>
        <w:t>depressive symptoms; a cut point of 16+ is used to define clinical depression.</w:t>
      </w:r>
    </w:p>
    <w:p w14:paraId="29CB0946" w14:textId="77777777" w:rsidR="003C22CE" w:rsidRDefault="003C22CE" w:rsidP="003C22CE">
      <w:pPr>
        <w:rPr>
          <w:rFonts w:ascii="Arial" w:hAnsi="Arial" w:cs="Arial"/>
          <w:bCs/>
          <w:color w:val="000000"/>
          <w:sz w:val="16"/>
          <w:szCs w:val="16"/>
        </w:rPr>
      </w:pPr>
      <w:r w:rsidRPr="003A6904">
        <w:rPr>
          <w:rFonts w:ascii="Arial" w:hAnsi="Arial" w:cs="Arial"/>
          <w:bCs/>
          <w:color w:val="000000"/>
          <w:sz w:val="22"/>
          <w:szCs w:val="22"/>
          <w:vertAlign w:val="superscript"/>
        </w:rPr>
        <w:t>‡</w:t>
      </w:r>
      <w:r>
        <w:rPr>
          <w:rFonts w:ascii="Arial" w:hAnsi="Arial" w:cs="Arial"/>
          <w:bCs/>
          <w:color w:val="000000"/>
          <w:sz w:val="22"/>
          <w:szCs w:val="22"/>
          <w:vertAlign w:val="superscript"/>
        </w:rPr>
        <w:t xml:space="preserve"> </w:t>
      </w:r>
      <w:r w:rsidRPr="007C2666">
        <w:rPr>
          <w:rFonts w:ascii="Arial" w:hAnsi="Arial" w:cs="Arial"/>
          <w:bCs/>
          <w:color w:val="000000"/>
          <w:sz w:val="16"/>
          <w:szCs w:val="16"/>
        </w:rPr>
        <w:t>HER2 positivity was defined as scoring 3+ on HER2 IHC, or tested positive on HER2 FISH, or going on to receive Herceptin treatment.</w:t>
      </w:r>
    </w:p>
    <w:p w14:paraId="6D2F8A0F" w14:textId="77777777" w:rsidR="003C22CE" w:rsidRDefault="003C22CE" w:rsidP="003C22CE">
      <w:pPr>
        <w:rPr>
          <w:rFonts w:ascii="Arial" w:hAnsi="Arial" w:cs="Arial"/>
          <w:bCs/>
          <w:color w:val="000000"/>
          <w:sz w:val="16"/>
          <w:szCs w:val="16"/>
        </w:rPr>
      </w:pPr>
      <w:r w:rsidRPr="00430ADB">
        <w:rPr>
          <w:rFonts w:ascii="Segoe UI Symbol" w:hAnsi="Segoe UI Symbol" w:cs="Arial"/>
          <w:bCs/>
          <w:color w:val="000000"/>
          <w:sz w:val="16"/>
          <w:szCs w:val="16"/>
          <w:vertAlign w:val="superscript"/>
        </w:rPr>
        <w:t>❡</w:t>
      </w:r>
      <w:r>
        <w:rPr>
          <w:rFonts w:ascii="Segoe UI Symbol" w:hAnsi="Segoe UI Symbol" w:cs="Arial"/>
          <w:bCs/>
          <w:color w:val="000000"/>
          <w:sz w:val="16"/>
          <w:szCs w:val="16"/>
          <w:vertAlign w:val="superscript"/>
        </w:rPr>
        <w:t xml:space="preserve"> </w:t>
      </w:r>
      <w:r w:rsidRPr="007C2666">
        <w:rPr>
          <w:rFonts w:ascii="Arial" w:hAnsi="Arial" w:cs="Arial"/>
          <w:bCs/>
          <w:color w:val="000000"/>
          <w:sz w:val="16"/>
          <w:szCs w:val="16"/>
        </w:rPr>
        <w:t>Hormone receptor positive was defined as being estrogen receptor (ER) positive and/or progesterone receptor (PR) positive.</w:t>
      </w:r>
    </w:p>
    <w:p w14:paraId="53D0542A" w14:textId="77777777" w:rsidR="003C22CE" w:rsidRDefault="003C22CE" w:rsidP="003C22CE">
      <w:pPr>
        <w:rPr>
          <w:rFonts w:ascii="Arial" w:hAnsi="Arial" w:cs="Arial"/>
          <w:color w:val="000000"/>
          <w:sz w:val="22"/>
          <w:szCs w:val="22"/>
        </w:rPr>
        <w:sectPr w:rsidR="003C22CE" w:rsidSect="00246BF1">
          <w:headerReference w:type="default" r:id="rId4"/>
          <w:pgSz w:w="15840" w:h="12240" w:orient="landscape"/>
          <w:pgMar w:top="720" w:right="720" w:bottom="720" w:left="720" w:header="720" w:footer="720" w:gutter="0"/>
          <w:cols w:space="720"/>
          <w:docGrid w:linePitch="360"/>
        </w:sectPr>
      </w:pPr>
    </w:p>
    <w:p w14:paraId="7A39ACB1" w14:textId="77777777" w:rsidR="003C22CE" w:rsidRDefault="003C22CE" w:rsidP="003C22CE">
      <w:pPr>
        <w:rPr>
          <w:rFonts w:ascii="Arial" w:hAnsi="Arial" w:cs="Arial"/>
          <w:bCs/>
          <w:color w:val="000000"/>
          <w:sz w:val="20"/>
          <w:szCs w:val="20"/>
        </w:rPr>
      </w:pPr>
      <w:r w:rsidRPr="0063515D">
        <w:rPr>
          <w:rFonts w:ascii="Arial" w:hAnsi="Arial" w:cs="Arial"/>
          <w:bCs/>
          <w:color w:val="000000"/>
          <w:sz w:val="20"/>
          <w:szCs w:val="20"/>
        </w:rPr>
        <w:lastRenderedPageBreak/>
        <w:t>Table 2a. Adjusted</w:t>
      </w:r>
      <w:r w:rsidRPr="0063515D">
        <w:rPr>
          <w:rFonts w:ascii="Arial" w:hAnsi="Arial" w:cs="Arial"/>
          <w:bCs/>
          <w:color w:val="000000"/>
          <w:sz w:val="20"/>
          <w:szCs w:val="20"/>
          <w:vertAlign w:val="superscript"/>
        </w:rPr>
        <w:t>1</w:t>
      </w:r>
      <w:r w:rsidRPr="0063515D">
        <w:rPr>
          <w:rFonts w:ascii="Arial" w:hAnsi="Arial" w:cs="Arial"/>
          <w:bCs/>
          <w:color w:val="000000"/>
          <w:sz w:val="20"/>
          <w:szCs w:val="20"/>
        </w:rPr>
        <w:t xml:space="preserve"> Pre-systemic Therapy Cognitive Function by Tumor Characteristics among Older Patients with Non-Metastatic Breast Cancer</w:t>
      </w:r>
      <w:r>
        <w:rPr>
          <w:rFonts w:ascii="Arial" w:hAnsi="Arial" w:cs="Arial"/>
          <w:bCs/>
          <w:color w:val="000000"/>
          <w:sz w:val="20"/>
          <w:szCs w:val="20"/>
        </w:rPr>
        <w:t>,</w:t>
      </w:r>
    </w:p>
    <w:p w14:paraId="11A2EF8D" w14:textId="77777777" w:rsidR="003C22CE" w:rsidRPr="0063515D" w:rsidRDefault="003C22CE" w:rsidP="003C22CE">
      <w:pPr>
        <w:rPr>
          <w:rFonts w:ascii="Arial" w:hAnsi="Arial" w:cs="Arial"/>
          <w:bCs/>
          <w:color w:val="000000"/>
          <w:sz w:val="20"/>
          <w:szCs w:val="20"/>
        </w:rPr>
      </w:pPr>
      <w:r w:rsidRPr="0063515D">
        <w:rPr>
          <w:rFonts w:ascii="Arial" w:hAnsi="Arial" w:cs="Arial"/>
          <w:bCs/>
          <w:color w:val="000000"/>
          <w:sz w:val="20"/>
          <w:szCs w:val="20"/>
        </w:rPr>
        <w:t xml:space="preserve"> Controlling for Depression</w:t>
      </w:r>
      <w:r w:rsidRPr="0063515D">
        <w:rPr>
          <w:rFonts w:ascii="Arial" w:hAnsi="Arial" w:cs="Arial"/>
          <w:bCs/>
          <w:color w:val="000000"/>
          <w:sz w:val="20"/>
          <w:szCs w:val="20"/>
          <w:vertAlign w:val="superscript"/>
        </w:rPr>
        <w:t>2</w:t>
      </w:r>
    </w:p>
    <w:tbl>
      <w:tblPr>
        <w:tblStyle w:val="TableGrid"/>
        <w:tblW w:w="49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3"/>
        <w:gridCol w:w="1904"/>
        <w:gridCol w:w="1740"/>
        <w:gridCol w:w="2528"/>
        <w:gridCol w:w="1740"/>
        <w:gridCol w:w="2523"/>
        <w:gridCol w:w="1797"/>
      </w:tblGrid>
      <w:tr w:rsidR="003C22CE" w:rsidRPr="00E46127" w14:paraId="5BFE71B5" w14:textId="77777777" w:rsidTr="0025065D">
        <w:tc>
          <w:tcPr>
            <w:tcW w:w="670" w:type="pct"/>
            <w:tcBorders>
              <w:top w:val="single" w:sz="4" w:space="0" w:color="auto"/>
              <w:left w:val="single" w:sz="4" w:space="0" w:color="auto"/>
              <w:bottom w:val="single" w:sz="4" w:space="0" w:color="auto"/>
              <w:right w:val="single" w:sz="4" w:space="0" w:color="auto"/>
            </w:tcBorders>
          </w:tcPr>
          <w:p w14:paraId="32CCA168" w14:textId="77777777" w:rsidR="003C22CE" w:rsidRPr="00E46127" w:rsidRDefault="003C22CE" w:rsidP="0025065D">
            <w:pPr>
              <w:rPr>
                <w:rFonts w:ascii="Arial" w:hAnsi="Arial" w:cs="Arial"/>
                <w:bCs/>
                <w:color w:val="000000"/>
                <w:sz w:val="20"/>
                <w:szCs w:val="20"/>
              </w:rPr>
            </w:pPr>
          </w:p>
        </w:tc>
        <w:tc>
          <w:tcPr>
            <w:tcW w:w="1290" w:type="pct"/>
            <w:gridSpan w:val="2"/>
            <w:tcBorders>
              <w:top w:val="single" w:sz="4" w:space="0" w:color="auto"/>
              <w:left w:val="single" w:sz="4" w:space="0" w:color="auto"/>
              <w:bottom w:val="single" w:sz="4" w:space="0" w:color="auto"/>
              <w:right w:val="single" w:sz="4" w:space="0" w:color="auto"/>
            </w:tcBorders>
          </w:tcPr>
          <w:p w14:paraId="6F58DA8F" w14:textId="77777777" w:rsidR="003C22CE" w:rsidRPr="00E46127" w:rsidRDefault="003C22CE" w:rsidP="0025065D">
            <w:pPr>
              <w:rPr>
                <w:rFonts w:ascii="Arial" w:hAnsi="Arial" w:cs="Arial"/>
                <w:bCs/>
                <w:color w:val="000000"/>
                <w:sz w:val="20"/>
                <w:szCs w:val="20"/>
              </w:rPr>
            </w:pPr>
            <w:r w:rsidRPr="00E46127">
              <w:rPr>
                <w:rFonts w:ascii="Arial" w:hAnsi="Arial" w:cs="Arial"/>
                <w:bCs/>
                <w:color w:val="000000"/>
                <w:sz w:val="20"/>
                <w:szCs w:val="20"/>
              </w:rPr>
              <w:t>FACT-Cog PCI Score</w:t>
            </w:r>
            <w:r>
              <w:rPr>
                <w:rFonts w:ascii="Arial" w:hAnsi="Arial" w:cs="Arial"/>
                <w:bCs/>
                <w:color w:val="000000"/>
                <w:sz w:val="20"/>
                <w:szCs w:val="20"/>
                <w:vertAlign w:val="superscript"/>
              </w:rPr>
              <w:t>3</w:t>
            </w:r>
          </w:p>
        </w:tc>
        <w:tc>
          <w:tcPr>
            <w:tcW w:w="1511" w:type="pct"/>
            <w:gridSpan w:val="2"/>
            <w:tcBorders>
              <w:top w:val="single" w:sz="4" w:space="0" w:color="auto"/>
              <w:left w:val="single" w:sz="4" w:space="0" w:color="auto"/>
              <w:bottom w:val="single" w:sz="4" w:space="0" w:color="auto"/>
              <w:right w:val="single" w:sz="4" w:space="0" w:color="auto"/>
            </w:tcBorders>
          </w:tcPr>
          <w:p w14:paraId="3EC5A09A" w14:textId="77777777" w:rsidR="003C22CE" w:rsidRPr="00E46127" w:rsidRDefault="003C22CE" w:rsidP="0025065D">
            <w:pPr>
              <w:rPr>
                <w:rFonts w:ascii="Arial" w:hAnsi="Arial" w:cs="Arial"/>
                <w:bCs/>
                <w:color w:val="000000"/>
                <w:sz w:val="20"/>
                <w:szCs w:val="20"/>
              </w:rPr>
            </w:pPr>
            <w:r w:rsidRPr="00E46127">
              <w:rPr>
                <w:rFonts w:ascii="Arial" w:hAnsi="Arial" w:cs="Arial"/>
                <w:bCs/>
                <w:color w:val="000000"/>
                <w:sz w:val="20"/>
                <w:szCs w:val="20"/>
              </w:rPr>
              <w:t>Attention, Processing Speed, Executive Function</w:t>
            </w:r>
            <w:r w:rsidRPr="005A5D7A">
              <w:rPr>
                <w:rFonts w:ascii="Arial" w:hAnsi="Arial" w:cs="Arial"/>
                <w:bCs/>
                <w:color w:val="000000"/>
                <w:sz w:val="20"/>
                <w:szCs w:val="20"/>
                <w:vertAlign w:val="superscript"/>
              </w:rPr>
              <w:t>4</w:t>
            </w:r>
          </w:p>
        </w:tc>
        <w:tc>
          <w:tcPr>
            <w:tcW w:w="1529" w:type="pct"/>
            <w:gridSpan w:val="2"/>
            <w:tcBorders>
              <w:top w:val="single" w:sz="4" w:space="0" w:color="auto"/>
              <w:left w:val="single" w:sz="4" w:space="0" w:color="auto"/>
              <w:bottom w:val="single" w:sz="4" w:space="0" w:color="auto"/>
              <w:right w:val="single" w:sz="4" w:space="0" w:color="auto"/>
            </w:tcBorders>
          </w:tcPr>
          <w:p w14:paraId="3EAF0924" w14:textId="77777777" w:rsidR="003C22CE" w:rsidRPr="00E46127" w:rsidRDefault="003C22CE" w:rsidP="0025065D">
            <w:pPr>
              <w:rPr>
                <w:rFonts w:ascii="Arial" w:hAnsi="Arial" w:cs="Arial"/>
                <w:bCs/>
                <w:color w:val="000000"/>
                <w:sz w:val="20"/>
                <w:szCs w:val="20"/>
              </w:rPr>
            </w:pPr>
            <w:r w:rsidRPr="00E46127">
              <w:rPr>
                <w:rFonts w:ascii="Arial" w:hAnsi="Arial" w:cs="Arial"/>
                <w:bCs/>
                <w:color w:val="000000"/>
                <w:sz w:val="20"/>
                <w:szCs w:val="20"/>
              </w:rPr>
              <w:t>Learning and Memory</w:t>
            </w:r>
            <w:r w:rsidRPr="005A5D7A">
              <w:rPr>
                <w:rFonts w:ascii="Arial" w:hAnsi="Arial" w:cs="Arial"/>
                <w:bCs/>
                <w:color w:val="000000"/>
                <w:sz w:val="20"/>
                <w:szCs w:val="20"/>
                <w:vertAlign w:val="superscript"/>
              </w:rPr>
              <w:t>4</w:t>
            </w:r>
          </w:p>
        </w:tc>
      </w:tr>
      <w:tr w:rsidR="003C22CE" w:rsidRPr="00E46127" w14:paraId="0C85274D" w14:textId="77777777" w:rsidTr="0025065D">
        <w:tc>
          <w:tcPr>
            <w:tcW w:w="670" w:type="pct"/>
            <w:tcBorders>
              <w:top w:val="single" w:sz="4" w:space="0" w:color="auto"/>
              <w:left w:val="single" w:sz="4" w:space="0" w:color="auto"/>
              <w:bottom w:val="single" w:sz="4" w:space="0" w:color="auto"/>
              <w:right w:val="single" w:sz="4" w:space="0" w:color="auto"/>
            </w:tcBorders>
          </w:tcPr>
          <w:p w14:paraId="4B5D1F78" w14:textId="77777777" w:rsidR="003C22CE" w:rsidRPr="00E46127" w:rsidRDefault="003C22CE" w:rsidP="0025065D">
            <w:pPr>
              <w:rPr>
                <w:rFonts w:ascii="Arial" w:hAnsi="Arial" w:cs="Arial"/>
                <w:bCs/>
                <w:color w:val="000000"/>
                <w:sz w:val="20"/>
                <w:szCs w:val="20"/>
              </w:rPr>
            </w:pPr>
          </w:p>
        </w:tc>
        <w:tc>
          <w:tcPr>
            <w:tcW w:w="1290" w:type="pct"/>
            <w:gridSpan w:val="2"/>
            <w:tcBorders>
              <w:top w:val="single" w:sz="4" w:space="0" w:color="auto"/>
              <w:left w:val="single" w:sz="4" w:space="0" w:color="auto"/>
              <w:bottom w:val="single" w:sz="4" w:space="0" w:color="auto"/>
              <w:right w:val="single" w:sz="4" w:space="0" w:color="auto"/>
            </w:tcBorders>
          </w:tcPr>
          <w:p w14:paraId="4E8D1BF4" w14:textId="77777777" w:rsidR="003C22CE" w:rsidRPr="00E46127" w:rsidRDefault="003C22CE" w:rsidP="0025065D">
            <w:pPr>
              <w:rPr>
                <w:rFonts w:ascii="Arial" w:hAnsi="Arial" w:cs="Arial"/>
                <w:bCs/>
                <w:color w:val="000000"/>
                <w:sz w:val="20"/>
                <w:szCs w:val="20"/>
              </w:rPr>
            </w:pPr>
            <w:r w:rsidRPr="00E46127">
              <w:rPr>
                <w:rFonts w:ascii="Arial" w:hAnsi="Arial" w:cs="Arial"/>
                <w:bCs/>
                <w:color w:val="000000"/>
                <w:sz w:val="20"/>
                <w:szCs w:val="20"/>
              </w:rPr>
              <w:t>Adjusted</w:t>
            </w:r>
          </w:p>
        </w:tc>
        <w:tc>
          <w:tcPr>
            <w:tcW w:w="1511" w:type="pct"/>
            <w:gridSpan w:val="2"/>
            <w:tcBorders>
              <w:top w:val="single" w:sz="4" w:space="0" w:color="auto"/>
              <w:left w:val="single" w:sz="4" w:space="0" w:color="auto"/>
              <w:bottom w:val="single" w:sz="4" w:space="0" w:color="auto"/>
              <w:right w:val="single" w:sz="4" w:space="0" w:color="auto"/>
            </w:tcBorders>
          </w:tcPr>
          <w:p w14:paraId="167645EC" w14:textId="77777777" w:rsidR="003C22CE" w:rsidRPr="00E46127" w:rsidRDefault="003C22CE" w:rsidP="0025065D">
            <w:pPr>
              <w:rPr>
                <w:rFonts w:ascii="Arial" w:hAnsi="Arial" w:cs="Arial"/>
                <w:bCs/>
                <w:color w:val="000000"/>
                <w:sz w:val="20"/>
                <w:szCs w:val="20"/>
              </w:rPr>
            </w:pPr>
            <w:r w:rsidRPr="00E46127">
              <w:rPr>
                <w:rFonts w:ascii="Arial" w:hAnsi="Arial" w:cs="Arial"/>
                <w:bCs/>
                <w:color w:val="000000"/>
                <w:sz w:val="20"/>
                <w:szCs w:val="20"/>
              </w:rPr>
              <w:t>Adjusted</w:t>
            </w:r>
          </w:p>
        </w:tc>
        <w:tc>
          <w:tcPr>
            <w:tcW w:w="1529" w:type="pct"/>
            <w:gridSpan w:val="2"/>
            <w:tcBorders>
              <w:top w:val="single" w:sz="4" w:space="0" w:color="auto"/>
              <w:left w:val="single" w:sz="4" w:space="0" w:color="auto"/>
              <w:bottom w:val="single" w:sz="4" w:space="0" w:color="auto"/>
              <w:right w:val="single" w:sz="4" w:space="0" w:color="auto"/>
            </w:tcBorders>
          </w:tcPr>
          <w:p w14:paraId="52651FE3" w14:textId="77777777" w:rsidR="003C22CE" w:rsidRPr="00E46127" w:rsidRDefault="003C22CE" w:rsidP="0025065D">
            <w:pPr>
              <w:rPr>
                <w:rFonts w:ascii="Arial" w:hAnsi="Arial" w:cs="Arial"/>
                <w:bCs/>
                <w:color w:val="000000"/>
                <w:sz w:val="20"/>
                <w:szCs w:val="20"/>
              </w:rPr>
            </w:pPr>
            <w:r w:rsidRPr="00E46127">
              <w:rPr>
                <w:rFonts w:ascii="Arial" w:hAnsi="Arial" w:cs="Arial"/>
                <w:bCs/>
                <w:color w:val="000000"/>
                <w:sz w:val="20"/>
                <w:szCs w:val="20"/>
              </w:rPr>
              <w:t>Adjusted</w:t>
            </w:r>
          </w:p>
        </w:tc>
      </w:tr>
      <w:tr w:rsidR="003C22CE" w:rsidRPr="00E46127" w14:paraId="4925605E" w14:textId="77777777" w:rsidTr="0025065D">
        <w:tc>
          <w:tcPr>
            <w:tcW w:w="5000" w:type="pct"/>
            <w:gridSpan w:val="7"/>
            <w:tcBorders>
              <w:top w:val="single" w:sz="4" w:space="0" w:color="auto"/>
              <w:left w:val="single" w:sz="4" w:space="0" w:color="auto"/>
              <w:bottom w:val="single" w:sz="4" w:space="0" w:color="auto"/>
              <w:right w:val="single" w:sz="4" w:space="0" w:color="auto"/>
            </w:tcBorders>
          </w:tcPr>
          <w:p w14:paraId="6B4174A9" w14:textId="77777777" w:rsidR="003C22CE" w:rsidRPr="007E71DF" w:rsidRDefault="003C22CE" w:rsidP="0025065D">
            <w:pPr>
              <w:rPr>
                <w:rFonts w:ascii="Arial" w:hAnsi="Arial" w:cs="Arial"/>
                <w:color w:val="000000"/>
                <w:sz w:val="20"/>
                <w:szCs w:val="20"/>
              </w:rPr>
            </w:pPr>
            <w:r w:rsidRPr="00E46127">
              <w:rPr>
                <w:rFonts w:ascii="Arial" w:hAnsi="Arial" w:cs="Arial"/>
                <w:color w:val="000000"/>
                <w:sz w:val="20"/>
                <w:szCs w:val="20"/>
              </w:rPr>
              <w:t>Stage</w:t>
            </w:r>
          </w:p>
        </w:tc>
      </w:tr>
      <w:tr w:rsidR="003C22CE" w:rsidRPr="00E46127" w14:paraId="5F8CE522" w14:textId="77777777" w:rsidTr="0025065D">
        <w:tc>
          <w:tcPr>
            <w:tcW w:w="670" w:type="pct"/>
            <w:tcBorders>
              <w:top w:val="single" w:sz="4" w:space="0" w:color="auto"/>
              <w:left w:val="single" w:sz="4" w:space="0" w:color="auto"/>
              <w:bottom w:val="single" w:sz="4" w:space="0" w:color="auto"/>
              <w:right w:val="single" w:sz="4" w:space="0" w:color="auto"/>
            </w:tcBorders>
          </w:tcPr>
          <w:p w14:paraId="39EEE26C" w14:textId="77777777" w:rsidR="003C22CE" w:rsidRPr="00E46127" w:rsidRDefault="003C22CE" w:rsidP="0025065D">
            <w:pPr>
              <w:rPr>
                <w:rFonts w:ascii="Arial" w:hAnsi="Arial" w:cs="Arial"/>
                <w:color w:val="000000"/>
                <w:sz w:val="20"/>
                <w:szCs w:val="20"/>
              </w:rPr>
            </w:pPr>
            <w:r w:rsidRPr="00E46127">
              <w:rPr>
                <w:rFonts w:ascii="Arial" w:hAnsi="Arial" w:cs="Arial"/>
                <w:color w:val="000000"/>
                <w:sz w:val="20"/>
                <w:szCs w:val="20"/>
              </w:rPr>
              <w:t>Stage 0/</w:t>
            </w:r>
            <w:r>
              <w:rPr>
                <w:rFonts w:ascii="Arial" w:hAnsi="Arial" w:cs="Arial"/>
                <w:color w:val="000000"/>
                <w:sz w:val="20"/>
                <w:szCs w:val="20"/>
              </w:rPr>
              <w:t>I</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1C710EC5"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57.4 (0.8)</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3850649F"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p=0.674</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7F31056B" w14:textId="77777777" w:rsidR="003C22CE" w:rsidRPr="006D67FE" w:rsidRDefault="003C22CE" w:rsidP="0025065D">
            <w:pPr>
              <w:rPr>
                <w:rFonts w:ascii="Arial" w:hAnsi="Arial" w:cs="Arial"/>
                <w:b/>
                <w:bCs/>
                <w:color w:val="000000"/>
                <w:sz w:val="20"/>
                <w:szCs w:val="20"/>
              </w:rPr>
            </w:pPr>
            <w:r w:rsidRPr="006D67FE">
              <w:rPr>
                <w:rFonts w:ascii="Arial" w:hAnsi="Arial" w:cs="Arial"/>
                <w:b/>
                <w:bCs/>
                <w:color w:val="000000"/>
                <w:sz w:val="20"/>
                <w:szCs w:val="20"/>
              </w:rPr>
              <w:t>-.261 (0.046)</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16A9DC06" w14:textId="77777777" w:rsidR="003C22CE" w:rsidRPr="006D67FE" w:rsidRDefault="003C22CE" w:rsidP="0025065D">
            <w:pPr>
              <w:rPr>
                <w:rFonts w:ascii="Arial" w:hAnsi="Arial" w:cs="Arial"/>
                <w:b/>
                <w:bCs/>
                <w:color w:val="000000"/>
                <w:sz w:val="20"/>
                <w:szCs w:val="20"/>
              </w:rPr>
            </w:pPr>
            <w:r w:rsidRPr="006D67FE">
              <w:rPr>
                <w:rFonts w:ascii="Arial" w:hAnsi="Arial" w:cs="Arial"/>
                <w:b/>
                <w:bCs/>
                <w:color w:val="000000"/>
                <w:sz w:val="20"/>
                <w:szCs w:val="20"/>
              </w:rPr>
              <w:t>p=0.014</w:t>
            </w:r>
          </w:p>
        </w:tc>
        <w:tc>
          <w:tcPr>
            <w:tcW w:w="893" w:type="pct"/>
            <w:tcBorders>
              <w:top w:val="single" w:sz="4" w:space="0" w:color="auto"/>
              <w:left w:val="single" w:sz="4" w:space="0" w:color="auto"/>
              <w:bottom w:val="single" w:sz="4" w:space="0" w:color="auto"/>
              <w:right w:val="single" w:sz="4" w:space="0" w:color="auto"/>
            </w:tcBorders>
          </w:tcPr>
          <w:p w14:paraId="0D6A994A"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-.381 (0.058)</w:t>
            </w:r>
          </w:p>
        </w:tc>
        <w:tc>
          <w:tcPr>
            <w:tcW w:w="636" w:type="pct"/>
            <w:tcBorders>
              <w:top w:val="single" w:sz="4" w:space="0" w:color="auto"/>
              <w:left w:val="single" w:sz="4" w:space="0" w:color="auto"/>
              <w:bottom w:val="single" w:sz="4" w:space="0" w:color="auto"/>
              <w:right w:val="single" w:sz="4" w:space="0" w:color="auto"/>
            </w:tcBorders>
          </w:tcPr>
          <w:p w14:paraId="4D876DD2" w14:textId="77777777" w:rsidR="003C22CE" w:rsidRPr="007E71DF" w:rsidRDefault="003C22CE" w:rsidP="0025065D">
            <w:pPr>
              <w:rPr>
                <w:rFonts w:ascii="Arial" w:hAnsi="Arial" w:cs="Arial"/>
                <w:color w:val="000000"/>
                <w:sz w:val="20"/>
                <w:szCs w:val="20"/>
              </w:rPr>
            </w:pPr>
            <w:r w:rsidRPr="0063515D">
              <w:rPr>
                <w:rFonts w:ascii="Arial" w:hAnsi="Arial" w:cs="Arial"/>
                <w:color w:val="000000"/>
                <w:sz w:val="20"/>
                <w:szCs w:val="20"/>
              </w:rPr>
              <w:t>p=0.298</w:t>
            </w:r>
          </w:p>
        </w:tc>
      </w:tr>
      <w:tr w:rsidR="003C22CE" w:rsidRPr="00E46127" w14:paraId="0103DA9B" w14:textId="77777777" w:rsidTr="0025065D">
        <w:tc>
          <w:tcPr>
            <w:tcW w:w="670" w:type="pct"/>
            <w:tcBorders>
              <w:top w:val="single" w:sz="4" w:space="0" w:color="auto"/>
              <w:left w:val="single" w:sz="4" w:space="0" w:color="auto"/>
              <w:bottom w:val="single" w:sz="4" w:space="0" w:color="auto"/>
              <w:right w:val="single" w:sz="4" w:space="0" w:color="auto"/>
            </w:tcBorders>
          </w:tcPr>
          <w:p w14:paraId="3B3F2D02" w14:textId="77777777" w:rsidR="003C22CE" w:rsidRPr="00E46127" w:rsidRDefault="003C22CE" w:rsidP="0025065D">
            <w:pPr>
              <w:rPr>
                <w:rFonts w:ascii="Arial" w:hAnsi="Arial" w:cs="Arial"/>
                <w:color w:val="000000"/>
                <w:sz w:val="20"/>
                <w:szCs w:val="20"/>
              </w:rPr>
            </w:pPr>
            <w:r w:rsidRPr="00E46127">
              <w:rPr>
                <w:rFonts w:ascii="Arial" w:hAnsi="Arial" w:cs="Arial"/>
                <w:color w:val="000000"/>
                <w:sz w:val="20"/>
                <w:szCs w:val="20"/>
              </w:rPr>
              <w:t xml:space="preserve">Stage </w:t>
            </w:r>
            <w:r>
              <w:rPr>
                <w:rFonts w:ascii="Arial" w:hAnsi="Arial" w:cs="Arial"/>
                <w:color w:val="000000"/>
                <w:sz w:val="20"/>
                <w:szCs w:val="20"/>
              </w:rPr>
              <w:t>II</w:t>
            </w:r>
            <w:r w:rsidRPr="00E46127">
              <w:rPr>
                <w:rFonts w:ascii="Arial" w:hAnsi="Arial" w:cs="Arial"/>
                <w:color w:val="000000"/>
                <w:sz w:val="20"/>
                <w:szCs w:val="20"/>
              </w:rPr>
              <w:t>/</w:t>
            </w:r>
            <w:r>
              <w:rPr>
                <w:rFonts w:ascii="Arial" w:hAnsi="Arial" w:cs="Arial"/>
                <w:color w:val="000000"/>
                <w:sz w:val="20"/>
                <w:szCs w:val="20"/>
              </w:rPr>
              <w:t>III</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01AE6F89"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57.0 (0.9)</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1BF98B07" w14:textId="77777777" w:rsidR="003C22CE" w:rsidRPr="00E46127" w:rsidRDefault="003C22CE" w:rsidP="0025065D">
            <w:pPr>
              <w:rPr>
                <w:rFonts w:ascii="Arial" w:hAnsi="Arial" w:cs="Arial"/>
                <w:color w:val="000000"/>
                <w:sz w:val="20"/>
                <w:szCs w:val="20"/>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4F573E1F" w14:textId="77777777" w:rsidR="003C22CE" w:rsidRPr="006D67FE" w:rsidRDefault="003C22CE" w:rsidP="0025065D">
            <w:pPr>
              <w:rPr>
                <w:rFonts w:ascii="Arial" w:hAnsi="Arial" w:cs="Arial"/>
                <w:b/>
                <w:bCs/>
                <w:color w:val="000000"/>
                <w:sz w:val="20"/>
                <w:szCs w:val="20"/>
              </w:rPr>
            </w:pPr>
            <w:r w:rsidRPr="006D67FE">
              <w:rPr>
                <w:rFonts w:ascii="Arial" w:hAnsi="Arial" w:cs="Arial"/>
                <w:b/>
                <w:bCs/>
                <w:color w:val="000000"/>
                <w:sz w:val="20"/>
                <w:szCs w:val="20"/>
              </w:rPr>
              <w:t>-.398 (0.056)</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60F70D0B" w14:textId="77777777" w:rsidR="003C22CE" w:rsidRPr="006D67FE" w:rsidRDefault="003C22CE" w:rsidP="0025065D">
            <w:pPr>
              <w:rPr>
                <w:rFonts w:ascii="Arial" w:hAnsi="Arial" w:cs="Arial"/>
                <w:b/>
                <w:bCs/>
                <w:color w:val="000000"/>
                <w:sz w:val="20"/>
                <w:szCs w:val="20"/>
              </w:rPr>
            </w:pPr>
          </w:p>
        </w:tc>
        <w:tc>
          <w:tcPr>
            <w:tcW w:w="893" w:type="pct"/>
            <w:tcBorders>
              <w:top w:val="single" w:sz="4" w:space="0" w:color="auto"/>
              <w:left w:val="single" w:sz="4" w:space="0" w:color="auto"/>
              <w:bottom w:val="single" w:sz="4" w:space="0" w:color="auto"/>
              <w:right w:val="single" w:sz="4" w:space="0" w:color="auto"/>
            </w:tcBorders>
          </w:tcPr>
          <w:p w14:paraId="00BC3A6A"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-.308 (0.071)</w:t>
            </w:r>
          </w:p>
        </w:tc>
        <w:tc>
          <w:tcPr>
            <w:tcW w:w="636" w:type="pct"/>
            <w:tcBorders>
              <w:top w:val="single" w:sz="4" w:space="0" w:color="auto"/>
              <w:left w:val="single" w:sz="4" w:space="0" w:color="auto"/>
              <w:bottom w:val="single" w:sz="4" w:space="0" w:color="auto"/>
              <w:right w:val="single" w:sz="4" w:space="0" w:color="auto"/>
            </w:tcBorders>
          </w:tcPr>
          <w:p w14:paraId="501998B3" w14:textId="77777777" w:rsidR="003C22CE" w:rsidRPr="007E71DF" w:rsidRDefault="003C22CE" w:rsidP="0025065D">
            <w:pPr>
              <w:rPr>
                <w:rFonts w:ascii="Arial" w:hAnsi="Arial" w:cs="Arial"/>
                <w:color w:val="000000"/>
                <w:sz w:val="20"/>
                <w:szCs w:val="20"/>
              </w:rPr>
            </w:pPr>
          </w:p>
        </w:tc>
      </w:tr>
      <w:tr w:rsidR="003C22CE" w:rsidRPr="00E46127" w14:paraId="15468CEF" w14:textId="77777777" w:rsidTr="0025065D">
        <w:tc>
          <w:tcPr>
            <w:tcW w:w="670" w:type="pct"/>
            <w:tcBorders>
              <w:top w:val="single" w:sz="4" w:space="0" w:color="auto"/>
              <w:left w:val="single" w:sz="4" w:space="0" w:color="auto"/>
              <w:bottom w:val="single" w:sz="4" w:space="0" w:color="auto"/>
              <w:right w:val="single" w:sz="4" w:space="0" w:color="auto"/>
            </w:tcBorders>
            <w:vAlign w:val="bottom"/>
          </w:tcPr>
          <w:p w14:paraId="0BE62781" w14:textId="77777777" w:rsidR="003C22CE" w:rsidRPr="00E46127" w:rsidRDefault="003C22CE" w:rsidP="0025065D">
            <w:pPr>
              <w:rPr>
                <w:rFonts w:ascii="Arial" w:hAnsi="Arial" w:cs="Arial"/>
                <w:color w:val="000000"/>
                <w:sz w:val="20"/>
                <w:szCs w:val="20"/>
              </w:rPr>
            </w:pPr>
            <w:r w:rsidRPr="00E46127">
              <w:rPr>
                <w:rFonts w:ascii="Arial" w:hAnsi="Arial" w:cs="Arial"/>
                <w:color w:val="000000"/>
                <w:sz w:val="20"/>
                <w:szCs w:val="20"/>
              </w:rPr>
              <w:t>HER2</w:t>
            </w:r>
            <w:r>
              <w:rPr>
                <w:rFonts w:ascii="Arial" w:hAnsi="Arial" w:cs="Arial"/>
                <w:color w:val="000000"/>
                <w:sz w:val="20"/>
                <w:szCs w:val="20"/>
                <w:vertAlign w:val="superscript"/>
              </w:rPr>
              <w:t>5</w:t>
            </w:r>
          </w:p>
        </w:tc>
        <w:tc>
          <w:tcPr>
            <w:tcW w:w="4330" w:type="pct"/>
            <w:gridSpan w:val="6"/>
            <w:tcBorders>
              <w:top w:val="single" w:sz="4" w:space="0" w:color="auto"/>
              <w:left w:val="single" w:sz="4" w:space="0" w:color="auto"/>
              <w:bottom w:val="single" w:sz="4" w:space="0" w:color="auto"/>
              <w:right w:val="single" w:sz="4" w:space="0" w:color="auto"/>
            </w:tcBorders>
          </w:tcPr>
          <w:p w14:paraId="17864660" w14:textId="77777777" w:rsidR="003C22CE" w:rsidRPr="00E46127" w:rsidRDefault="003C22CE" w:rsidP="0025065D">
            <w:pPr>
              <w:rPr>
                <w:rFonts w:ascii="Arial" w:hAnsi="Arial" w:cs="Arial"/>
                <w:bCs/>
                <w:color w:val="000000"/>
                <w:sz w:val="20"/>
                <w:szCs w:val="20"/>
              </w:rPr>
            </w:pPr>
          </w:p>
        </w:tc>
      </w:tr>
      <w:tr w:rsidR="003C22CE" w:rsidRPr="00E46127" w14:paraId="56406B34" w14:textId="77777777" w:rsidTr="0025065D">
        <w:tc>
          <w:tcPr>
            <w:tcW w:w="670" w:type="pct"/>
            <w:tcBorders>
              <w:top w:val="single" w:sz="4" w:space="0" w:color="auto"/>
              <w:left w:val="single" w:sz="4" w:space="0" w:color="auto"/>
              <w:bottom w:val="single" w:sz="4" w:space="0" w:color="auto"/>
              <w:right w:val="single" w:sz="4" w:space="0" w:color="auto"/>
            </w:tcBorders>
          </w:tcPr>
          <w:p w14:paraId="4E99638F" w14:textId="77777777" w:rsidR="003C22CE" w:rsidRPr="00E46127" w:rsidRDefault="003C22CE" w:rsidP="0025065D">
            <w:pPr>
              <w:rPr>
                <w:rFonts w:ascii="Arial" w:hAnsi="Arial" w:cs="Arial"/>
                <w:color w:val="000000"/>
                <w:sz w:val="20"/>
                <w:szCs w:val="20"/>
              </w:rPr>
            </w:pPr>
            <w:r w:rsidRPr="00E46127">
              <w:rPr>
                <w:rFonts w:ascii="Arial" w:hAnsi="Arial" w:cs="Arial"/>
                <w:color w:val="000000"/>
                <w:sz w:val="20"/>
                <w:szCs w:val="20"/>
              </w:rPr>
              <w:t>Negative</w:t>
            </w:r>
          </w:p>
        </w:tc>
        <w:tc>
          <w:tcPr>
            <w:tcW w:w="674" w:type="pct"/>
            <w:tcBorders>
              <w:top w:val="single" w:sz="4" w:space="0" w:color="auto"/>
              <w:left w:val="single" w:sz="4" w:space="0" w:color="auto"/>
              <w:bottom w:val="single" w:sz="4" w:space="0" w:color="auto"/>
              <w:right w:val="single" w:sz="4" w:space="0" w:color="auto"/>
            </w:tcBorders>
          </w:tcPr>
          <w:p w14:paraId="6D8D4604" w14:textId="77777777" w:rsidR="003C22CE" w:rsidRPr="006D67FE" w:rsidRDefault="003C22CE" w:rsidP="0025065D">
            <w:pPr>
              <w:rPr>
                <w:rFonts w:ascii="Arial" w:hAnsi="Arial" w:cs="Arial"/>
                <w:b/>
                <w:bCs/>
                <w:color w:val="000000"/>
                <w:sz w:val="20"/>
                <w:szCs w:val="20"/>
              </w:rPr>
            </w:pPr>
            <w:r w:rsidRPr="006D67FE">
              <w:rPr>
                <w:rFonts w:ascii="Arial" w:hAnsi="Arial" w:cs="Arial"/>
                <w:b/>
                <w:bCs/>
                <w:color w:val="000000"/>
                <w:sz w:val="20"/>
                <w:szCs w:val="20"/>
              </w:rPr>
              <w:t>57.2 (0.8)</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5FC40089" w14:textId="77777777" w:rsidR="003C22CE" w:rsidRPr="006D67FE" w:rsidRDefault="003C22CE" w:rsidP="0025065D">
            <w:pPr>
              <w:rPr>
                <w:rFonts w:ascii="Arial" w:hAnsi="Arial" w:cs="Arial"/>
                <w:b/>
                <w:bCs/>
                <w:color w:val="000000"/>
                <w:sz w:val="20"/>
                <w:szCs w:val="20"/>
              </w:rPr>
            </w:pPr>
            <w:r w:rsidRPr="006D67FE">
              <w:rPr>
                <w:rFonts w:ascii="Arial" w:hAnsi="Arial" w:cs="Arial"/>
                <w:b/>
                <w:bCs/>
                <w:color w:val="000000"/>
                <w:sz w:val="20"/>
                <w:szCs w:val="20"/>
              </w:rPr>
              <w:t>p=0.059</w:t>
            </w:r>
          </w:p>
        </w:tc>
        <w:tc>
          <w:tcPr>
            <w:tcW w:w="895" w:type="pct"/>
            <w:tcBorders>
              <w:top w:val="single" w:sz="4" w:space="0" w:color="auto"/>
              <w:left w:val="single" w:sz="4" w:space="0" w:color="auto"/>
              <w:bottom w:val="single" w:sz="4" w:space="0" w:color="auto"/>
              <w:right w:val="single" w:sz="4" w:space="0" w:color="auto"/>
            </w:tcBorders>
          </w:tcPr>
          <w:p w14:paraId="7D5575FC"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-.334 (0.047)</w:t>
            </w:r>
          </w:p>
        </w:tc>
        <w:tc>
          <w:tcPr>
            <w:tcW w:w="616" w:type="pct"/>
            <w:tcBorders>
              <w:top w:val="single" w:sz="4" w:space="0" w:color="auto"/>
              <w:left w:val="single" w:sz="4" w:space="0" w:color="auto"/>
              <w:bottom w:val="single" w:sz="4" w:space="0" w:color="auto"/>
              <w:right w:val="single" w:sz="4" w:space="0" w:color="auto"/>
            </w:tcBorders>
          </w:tcPr>
          <w:p w14:paraId="529C4C2B"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p=0.828</w:t>
            </w:r>
          </w:p>
        </w:tc>
        <w:tc>
          <w:tcPr>
            <w:tcW w:w="893" w:type="pct"/>
            <w:tcBorders>
              <w:top w:val="single" w:sz="4" w:space="0" w:color="auto"/>
              <w:left w:val="single" w:sz="4" w:space="0" w:color="auto"/>
              <w:bottom w:val="single" w:sz="4" w:space="0" w:color="auto"/>
              <w:right w:val="single" w:sz="4" w:space="0" w:color="auto"/>
            </w:tcBorders>
          </w:tcPr>
          <w:p w14:paraId="5122DEC5"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-.395 (0.059)</w:t>
            </w:r>
          </w:p>
        </w:tc>
        <w:tc>
          <w:tcPr>
            <w:tcW w:w="636" w:type="pct"/>
            <w:tcBorders>
              <w:top w:val="single" w:sz="4" w:space="0" w:color="auto"/>
              <w:left w:val="single" w:sz="4" w:space="0" w:color="auto"/>
              <w:bottom w:val="single" w:sz="4" w:space="0" w:color="auto"/>
              <w:right w:val="single" w:sz="4" w:space="0" w:color="auto"/>
            </w:tcBorders>
          </w:tcPr>
          <w:p w14:paraId="41C8FA8B" w14:textId="77777777" w:rsidR="003C22CE" w:rsidRPr="007E71DF" w:rsidRDefault="003C22CE" w:rsidP="0025065D">
            <w:pPr>
              <w:rPr>
                <w:rFonts w:ascii="Arial" w:hAnsi="Arial" w:cs="Arial"/>
                <w:color w:val="000000"/>
                <w:sz w:val="20"/>
                <w:szCs w:val="20"/>
              </w:rPr>
            </w:pPr>
            <w:r w:rsidRPr="0063515D">
              <w:rPr>
                <w:rFonts w:ascii="Arial" w:hAnsi="Arial" w:cs="Arial"/>
                <w:color w:val="000000"/>
                <w:sz w:val="20"/>
                <w:szCs w:val="20"/>
              </w:rPr>
              <w:t>p=0.284</w:t>
            </w:r>
          </w:p>
        </w:tc>
      </w:tr>
      <w:tr w:rsidR="003C22CE" w:rsidRPr="00E46127" w14:paraId="43166E5F" w14:textId="77777777" w:rsidTr="0025065D">
        <w:tc>
          <w:tcPr>
            <w:tcW w:w="670" w:type="pct"/>
            <w:tcBorders>
              <w:top w:val="single" w:sz="4" w:space="0" w:color="auto"/>
              <w:left w:val="single" w:sz="4" w:space="0" w:color="auto"/>
              <w:bottom w:val="single" w:sz="4" w:space="0" w:color="auto"/>
              <w:right w:val="single" w:sz="4" w:space="0" w:color="auto"/>
            </w:tcBorders>
          </w:tcPr>
          <w:p w14:paraId="005D9963" w14:textId="77777777" w:rsidR="003C22CE" w:rsidRPr="00E46127" w:rsidRDefault="003C22CE" w:rsidP="0025065D">
            <w:pPr>
              <w:rPr>
                <w:rFonts w:ascii="Arial" w:hAnsi="Arial" w:cs="Arial"/>
                <w:color w:val="000000"/>
                <w:sz w:val="20"/>
                <w:szCs w:val="20"/>
              </w:rPr>
            </w:pPr>
            <w:r w:rsidRPr="00E46127">
              <w:rPr>
                <w:rFonts w:ascii="Arial" w:hAnsi="Arial" w:cs="Arial"/>
                <w:color w:val="000000"/>
                <w:sz w:val="20"/>
                <w:szCs w:val="20"/>
              </w:rPr>
              <w:t>Positive</w:t>
            </w:r>
          </w:p>
        </w:tc>
        <w:tc>
          <w:tcPr>
            <w:tcW w:w="674" w:type="pct"/>
            <w:tcBorders>
              <w:top w:val="single" w:sz="4" w:space="0" w:color="auto"/>
              <w:left w:val="single" w:sz="4" w:space="0" w:color="auto"/>
              <w:bottom w:val="single" w:sz="4" w:space="0" w:color="auto"/>
              <w:right w:val="single" w:sz="4" w:space="0" w:color="auto"/>
            </w:tcBorders>
          </w:tcPr>
          <w:p w14:paraId="21D2293C" w14:textId="77777777" w:rsidR="003C22CE" w:rsidRPr="006D67FE" w:rsidRDefault="003C22CE" w:rsidP="0025065D">
            <w:pPr>
              <w:rPr>
                <w:rFonts w:ascii="Arial" w:hAnsi="Arial" w:cs="Arial"/>
                <w:b/>
                <w:bCs/>
                <w:color w:val="000000"/>
                <w:sz w:val="20"/>
                <w:szCs w:val="20"/>
              </w:rPr>
            </w:pPr>
            <w:r w:rsidRPr="006D67FE">
              <w:rPr>
                <w:rFonts w:ascii="Arial" w:hAnsi="Arial" w:cs="Arial"/>
                <w:b/>
                <w:bCs/>
                <w:color w:val="000000"/>
                <w:sz w:val="20"/>
                <w:szCs w:val="20"/>
              </w:rPr>
              <w:t>54.6 (1.4)</w:t>
            </w:r>
          </w:p>
        </w:tc>
        <w:tc>
          <w:tcPr>
            <w:tcW w:w="616" w:type="pct"/>
            <w:tcBorders>
              <w:top w:val="single" w:sz="4" w:space="0" w:color="auto"/>
              <w:left w:val="single" w:sz="4" w:space="0" w:color="auto"/>
              <w:bottom w:val="single" w:sz="4" w:space="0" w:color="auto"/>
              <w:right w:val="single" w:sz="4" w:space="0" w:color="auto"/>
            </w:tcBorders>
          </w:tcPr>
          <w:p w14:paraId="1684941B" w14:textId="77777777" w:rsidR="003C22CE" w:rsidRPr="006D67FE" w:rsidRDefault="003C22CE" w:rsidP="0025065D">
            <w:pPr>
              <w:rPr>
                <w:rFonts w:ascii="Arial" w:hAnsi="Arial" w:cs="Arial"/>
                <w:b/>
                <w:bCs/>
                <w:color w:val="000000"/>
                <w:sz w:val="20"/>
                <w:szCs w:val="20"/>
              </w:rPr>
            </w:pPr>
          </w:p>
        </w:tc>
        <w:tc>
          <w:tcPr>
            <w:tcW w:w="895" w:type="pct"/>
            <w:tcBorders>
              <w:top w:val="single" w:sz="4" w:space="0" w:color="auto"/>
              <w:left w:val="single" w:sz="4" w:space="0" w:color="auto"/>
              <w:bottom w:val="single" w:sz="4" w:space="0" w:color="auto"/>
              <w:right w:val="single" w:sz="4" w:space="0" w:color="auto"/>
            </w:tcBorders>
          </w:tcPr>
          <w:p w14:paraId="77327F3C"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-.315 (0.088)</w:t>
            </w:r>
          </w:p>
        </w:tc>
        <w:tc>
          <w:tcPr>
            <w:tcW w:w="616" w:type="pct"/>
            <w:tcBorders>
              <w:top w:val="single" w:sz="4" w:space="0" w:color="auto"/>
              <w:left w:val="single" w:sz="4" w:space="0" w:color="auto"/>
              <w:bottom w:val="single" w:sz="4" w:space="0" w:color="auto"/>
              <w:right w:val="single" w:sz="4" w:space="0" w:color="auto"/>
            </w:tcBorders>
          </w:tcPr>
          <w:p w14:paraId="6748202C" w14:textId="77777777" w:rsidR="003C22CE" w:rsidRPr="00E46127" w:rsidRDefault="003C22CE" w:rsidP="0025065D">
            <w:pPr>
              <w:rPr>
                <w:rFonts w:ascii="Arial" w:hAnsi="Arial" w:cs="Arial"/>
                <w:color w:val="000000"/>
                <w:sz w:val="20"/>
                <w:szCs w:val="20"/>
              </w:rPr>
            </w:pPr>
          </w:p>
        </w:tc>
        <w:tc>
          <w:tcPr>
            <w:tcW w:w="893" w:type="pct"/>
            <w:tcBorders>
              <w:top w:val="single" w:sz="4" w:space="0" w:color="auto"/>
              <w:left w:val="single" w:sz="4" w:space="0" w:color="auto"/>
              <w:bottom w:val="single" w:sz="4" w:space="0" w:color="auto"/>
              <w:right w:val="single" w:sz="4" w:space="0" w:color="auto"/>
            </w:tcBorders>
          </w:tcPr>
          <w:p w14:paraId="55073018"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-.510 (0.110)</w:t>
            </w:r>
          </w:p>
        </w:tc>
        <w:tc>
          <w:tcPr>
            <w:tcW w:w="636" w:type="pct"/>
            <w:tcBorders>
              <w:top w:val="single" w:sz="4" w:space="0" w:color="auto"/>
              <w:left w:val="single" w:sz="4" w:space="0" w:color="auto"/>
              <w:bottom w:val="single" w:sz="4" w:space="0" w:color="auto"/>
              <w:right w:val="single" w:sz="4" w:space="0" w:color="auto"/>
            </w:tcBorders>
          </w:tcPr>
          <w:p w14:paraId="0FCCE914" w14:textId="77777777" w:rsidR="003C22CE" w:rsidRPr="007E71DF" w:rsidRDefault="003C22CE" w:rsidP="0025065D">
            <w:pPr>
              <w:rPr>
                <w:rFonts w:ascii="Arial" w:hAnsi="Arial" w:cs="Arial"/>
                <w:color w:val="000000"/>
                <w:sz w:val="20"/>
                <w:szCs w:val="20"/>
              </w:rPr>
            </w:pPr>
          </w:p>
        </w:tc>
      </w:tr>
      <w:tr w:rsidR="003C22CE" w:rsidRPr="00E46127" w14:paraId="37C9FF8C" w14:textId="77777777" w:rsidTr="0025065D">
        <w:tc>
          <w:tcPr>
            <w:tcW w:w="670" w:type="pct"/>
            <w:tcBorders>
              <w:top w:val="single" w:sz="4" w:space="0" w:color="auto"/>
              <w:left w:val="single" w:sz="4" w:space="0" w:color="auto"/>
              <w:bottom w:val="single" w:sz="4" w:space="0" w:color="auto"/>
              <w:right w:val="single" w:sz="4" w:space="0" w:color="auto"/>
            </w:tcBorders>
          </w:tcPr>
          <w:p w14:paraId="4E94FEA3" w14:textId="77777777" w:rsidR="003C22CE" w:rsidRPr="00E46127" w:rsidRDefault="003C22CE" w:rsidP="0025065D">
            <w:pPr>
              <w:rPr>
                <w:rFonts w:ascii="Arial" w:hAnsi="Arial" w:cs="Arial"/>
                <w:color w:val="000000"/>
                <w:sz w:val="20"/>
                <w:szCs w:val="20"/>
              </w:rPr>
            </w:pPr>
            <w:r w:rsidRPr="00E46127">
              <w:rPr>
                <w:rFonts w:ascii="Arial" w:hAnsi="Arial" w:cs="Arial"/>
                <w:color w:val="000000"/>
                <w:sz w:val="20"/>
                <w:szCs w:val="20"/>
              </w:rPr>
              <w:t>Tumor size</w:t>
            </w:r>
          </w:p>
        </w:tc>
        <w:tc>
          <w:tcPr>
            <w:tcW w:w="4330" w:type="pct"/>
            <w:gridSpan w:val="6"/>
            <w:tcBorders>
              <w:top w:val="single" w:sz="4" w:space="0" w:color="auto"/>
              <w:left w:val="single" w:sz="4" w:space="0" w:color="auto"/>
              <w:bottom w:val="single" w:sz="4" w:space="0" w:color="auto"/>
              <w:right w:val="single" w:sz="4" w:space="0" w:color="auto"/>
            </w:tcBorders>
            <w:shd w:val="clear" w:color="auto" w:fill="auto"/>
          </w:tcPr>
          <w:p w14:paraId="44F9A209" w14:textId="77777777" w:rsidR="003C22CE" w:rsidRPr="007E71DF" w:rsidRDefault="003C22CE" w:rsidP="0025065D">
            <w:pPr>
              <w:rPr>
                <w:rFonts w:ascii="Arial" w:hAnsi="Arial" w:cs="Arial"/>
                <w:color w:val="000000"/>
                <w:sz w:val="20"/>
                <w:szCs w:val="20"/>
              </w:rPr>
            </w:pPr>
          </w:p>
        </w:tc>
      </w:tr>
      <w:tr w:rsidR="003C22CE" w:rsidRPr="00E46127" w14:paraId="383A29A1" w14:textId="77777777" w:rsidTr="0025065D">
        <w:tc>
          <w:tcPr>
            <w:tcW w:w="670" w:type="pct"/>
            <w:tcBorders>
              <w:top w:val="single" w:sz="4" w:space="0" w:color="auto"/>
              <w:left w:val="single" w:sz="4" w:space="0" w:color="auto"/>
              <w:bottom w:val="single" w:sz="4" w:space="0" w:color="auto"/>
              <w:right w:val="single" w:sz="4" w:space="0" w:color="auto"/>
            </w:tcBorders>
          </w:tcPr>
          <w:p w14:paraId="5B5D7440" w14:textId="77777777" w:rsidR="003C22CE" w:rsidRPr="00E46127" w:rsidRDefault="003C22CE" w:rsidP="0025065D">
            <w:pPr>
              <w:rPr>
                <w:rFonts w:ascii="Arial" w:hAnsi="Arial" w:cs="Arial"/>
                <w:color w:val="000000"/>
                <w:sz w:val="20"/>
                <w:szCs w:val="20"/>
              </w:rPr>
            </w:pPr>
            <w:r w:rsidRPr="00E46127">
              <w:rPr>
                <w:rFonts w:ascii="Arial" w:hAnsi="Arial" w:cs="Arial"/>
                <w:color w:val="000000"/>
                <w:sz w:val="20"/>
                <w:szCs w:val="20"/>
              </w:rPr>
              <w:t>&lt;2 cm</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2B41A5A6" w14:textId="77777777" w:rsidR="003C22CE" w:rsidRPr="006D67FE" w:rsidRDefault="003C22CE" w:rsidP="0025065D">
            <w:pPr>
              <w:rPr>
                <w:rFonts w:ascii="Arial" w:hAnsi="Arial" w:cs="Arial"/>
                <w:b/>
                <w:bCs/>
                <w:color w:val="000000"/>
                <w:sz w:val="20"/>
                <w:szCs w:val="20"/>
              </w:rPr>
            </w:pPr>
            <w:r w:rsidRPr="006D67FE">
              <w:rPr>
                <w:rFonts w:ascii="Arial" w:hAnsi="Arial" w:cs="Arial"/>
                <w:b/>
                <w:bCs/>
                <w:color w:val="000000"/>
                <w:sz w:val="20"/>
                <w:szCs w:val="20"/>
              </w:rPr>
              <w:t>57.5 (0.8)</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107CA873" w14:textId="77777777" w:rsidR="003C22CE" w:rsidRPr="006D67FE" w:rsidRDefault="003C22CE" w:rsidP="0025065D">
            <w:pPr>
              <w:rPr>
                <w:rFonts w:ascii="Arial" w:hAnsi="Arial" w:cs="Arial"/>
                <w:b/>
                <w:bCs/>
                <w:color w:val="000000"/>
                <w:sz w:val="20"/>
                <w:szCs w:val="20"/>
              </w:rPr>
            </w:pPr>
            <w:r w:rsidRPr="006D67FE">
              <w:rPr>
                <w:rFonts w:ascii="Arial" w:hAnsi="Arial" w:cs="Arial"/>
                <w:b/>
                <w:bCs/>
                <w:color w:val="000000"/>
                <w:sz w:val="20"/>
                <w:szCs w:val="20"/>
              </w:rPr>
              <w:t>p=0.056</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195700C6"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-.281 (0.046)</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39C559DD"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p=0.125</w:t>
            </w:r>
          </w:p>
        </w:tc>
        <w:tc>
          <w:tcPr>
            <w:tcW w:w="893" w:type="pct"/>
            <w:tcBorders>
              <w:top w:val="single" w:sz="4" w:space="0" w:color="auto"/>
              <w:left w:val="single" w:sz="4" w:space="0" w:color="auto"/>
              <w:bottom w:val="single" w:sz="4" w:space="0" w:color="auto"/>
              <w:right w:val="single" w:sz="4" w:space="0" w:color="auto"/>
            </w:tcBorders>
          </w:tcPr>
          <w:p w14:paraId="63153405"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-.381 (0.058)</w:t>
            </w:r>
          </w:p>
        </w:tc>
        <w:tc>
          <w:tcPr>
            <w:tcW w:w="636" w:type="pct"/>
            <w:tcBorders>
              <w:top w:val="single" w:sz="4" w:space="0" w:color="auto"/>
              <w:left w:val="single" w:sz="4" w:space="0" w:color="auto"/>
              <w:bottom w:val="single" w:sz="4" w:space="0" w:color="auto"/>
              <w:right w:val="single" w:sz="4" w:space="0" w:color="auto"/>
            </w:tcBorders>
          </w:tcPr>
          <w:p w14:paraId="3F79A19F" w14:textId="77777777" w:rsidR="003C22CE" w:rsidRPr="007E71DF" w:rsidRDefault="003C22CE" w:rsidP="0025065D">
            <w:pPr>
              <w:rPr>
                <w:rFonts w:ascii="Arial" w:hAnsi="Arial" w:cs="Arial"/>
                <w:color w:val="000000"/>
                <w:sz w:val="20"/>
                <w:szCs w:val="20"/>
              </w:rPr>
            </w:pPr>
            <w:r w:rsidRPr="0063515D">
              <w:rPr>
                <w:rFonts w:ascii="Arial" w:hAnsi="Arial" w:cs="Arial"/>
                <w:color w:val="000000"/>
                <w:sz w:val="20"/>
                <w:szCs w:val="20"/>
              </w:rPr>
              <w:t>p=0.269</w:t>
            </w:r>
          </w:p>
        </w:tc>
      </w:tr>
      <w:tr w:rsidR="003C22CE" w:rsidRPr="00E46127" w14:paraId="1763D3E8" w14:textId="77777777" w:rsidTr="0025065D">
        <w:tc>
          <w:tcPr>
            <w:tcW w:w="670" w:type="pct"/>
            <w:tcBorders>
              <w:top w:val="single" w:sz="4" w:space="0" w:color="auto"/>
              <w:left w:val="single" w:sz="4" w:space="0" w:color="auto"/>
              <w:bottom w:val="single" w:sz="4" w:space="0" w:color="auto"/>
              <w:right w:val="single" w:sz="4" w:space="0" w:color="auto"/>
            </w:tcBorders>
          </w:tcPr>
          <w:p w14:paraId="2A5BC94D" w14:textId="77777777" w:rsidR="003C22CE" w:rsidRPr="00E46127" w:rsidRDefault="003C22CE" w:rsidP="0025065D">
            <w:pPr>
              <w:rPr>
                <w:rFonts w:ascii="Arial" w:hAnsi="Arial" w:cs="Arial"/>
                <w:color w:val="000000"/>
                <w:sz w:val="20"/>
                <w:szCs w:val="20"/>
              </w:rPr>
            </w:pPr>
            <w:r w:rsidRPr="00E46127">
              <w:rPr>
                <w:rFonts w:ascii="Arial" w:hAnsi="Arial" w:cs="Arial"/>
                <w:color w:val="000000"/>
                <w:sz w:val="20"/>
                <w:szCs w:val="20"/>
              </w:rPr>
              <w:t>2+ cm</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1E465136" w14:textId="77777777" w:rsidR="003C22CE" w:rsidRPr="006D67FE" w:rsidRDefault="003C22CE" w:rsidP="0025065D">
            <w:pPr>
              <w:rPr>
                <w:rFonts w:ascii="Arial" w:hAnsi="Arial" w:cs="Arial"/>
                <w:b/>
                <w:bCs/>
                <w:color w:val="000000"/>
                <w:sz w:val="20"/>
                <w:szCs w:val="20"/>
              </w:rPr>
            </w:pPr>
            <w:r w:rsidRPr="006D67FE">
              <w:rPr>
                <w:rFonts w:ascii="Arial" w:hAnsi="Arial" w:cs="Arial"/>
                <w:b/>
                <w:bCs/>
                <w:color w:val="000000"/>
                <w:sz w:val="20"/>
                <w:szCs w:val="20"/>
              </w:rPr>
              <w:t>55.8 (0.9)</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AA64DFA" w14:textId="77777777" w:rsidR="003C22CE" w:rsidRPr="006D67FE" w:rsidRDefault="003C22CE" w:rsidP="0025065D">
            <w:pPr>
              <w:rPr>
                <w:rFonts w:ascii="Arial" w:hAnsi="Arial" w:cs="Arial"/>
                <w:b/>
                <w:bCs/>
                <w:color w:val="000000"/>
                <w:sz w:val="20"/>
                <w:szCs w:val="20"/>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290A1CA1"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-.364 (0.055)</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3F917CC" w14:textId="77777777" w:rsidR="003C22CE" w:rsidRPr="00E46127" w:rsidRDefault="003C22CE" w:rsidP="0025065D">
            <w:pPr>
              <w:rPr>
                <w:rFonts w:ascii="Arial" w:hAnsi="Arial" w:cs="Arial"/>
                <w:color w:val="000000"/>
                <w:sz w:val="20"/>
                <w:szCs w:val="20"/>
              </w:rPr>
            </w:pPr>
          </w:p>
        </w:tc>
        <w:tc>
          <w:tcPr>
            <w:tcW w:w="893" w:type="pct"/>
            <w:tcBorders>
              <w:top w:val="single" w:sz="4" w:space="0" w:color="auto"/>
              <w:left w:val="single" w:sz="4" w:space="0" w:color="auto"/>
              <w:bottom w:val="single" w:sz="4" w:space="0" w:color="auto"/>
              <w:right w:val="single" w:sz="4" w:space="0" w:color="auto"/>
            </w:tcBorders>
          </w:tcPr>
          <w:p w14:paraId="06128F48"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-.306 (0.070)</w:t>
            </w:r>
          </w:p>
        </w:tc>
        <w:tc>
          <w:tcPr>
            <w:tcW w:w="636" w:type="pct"/>
            <w:tcBorders>
              <w:top w:val="single" w:sz="4" w:space="0" w:color="auto"/>
              <w:left w:val="single" w:sz="4" w:space="0" w:color="auto"/>
              <w:bottom w:val="single" w:sz="4" w:space="0" w:color="auto"/>
              <w:right w:val="single" w:sz="4" w:space="0" w:color="auto"/>
            </w:tcBorders>
          </w:tcPr>
          <w:p w14:paraId="110F6A0B" w14:textId="77777777" w:rsidR="003C22CE" w:rsidRPr="007E71DF" w:rsidRDefault="003C22CE" w:rsidP="0025065D">
            <w:pPr>
              <w:rPr>
                <w:rFonts w:ascii="Arial" w:hAnsi="Arial" w:cs="Arial"/>
                <w:color w:val="000000"/>
                <w:sz w:val="20"/>
                <w:szCs w:val="20"/>
              </w:rPr>
            </w:pPr>
          </w:p>
        </w:tc>
      </w:tr>
    </w:tbl>
    <w:p w14:paraId="6BC52FB0" w14:textId="77777777" w:rsidR="003C22CE" w:rsidRPr="007C2666" w:rsidRDefault="003C22CE" w:rsidP="003C22CE">
      <w:pPr>
        <w:rPr>
          <w:rFonts w:ascii="Arial" w:hAnsi="Arial" w:cs="Arial"/>
          <w:bCs/>
          <w:color w:val="000000"/>
          <w:sz w:val="16"/>
          <w:szCs w:val="16"/>
        </w:rPr>
      </w:pPr>
      <w:r w:rsidRPr="007C2666">
        <w:rPr>
          <w:rFonts w:ascii="Arial" w:hAnsi="Arial" w:cs="Arial"/>
          <w:bCs/>
          <w:color w:val="000000"/>
          <w:sz w:val="16"/>
          <w:szCs w:val="16"/>
        </w:rPr>
        <w:t xml:space="preserve">1. Unadjusted scores for each individual categorical tumor characteristic were calculated from simple linear regression models, with significance testing based on Type III tests. Adjusted cognitive scores for each individual categorical tumor characteristic were controlled for age, race, and recruitment site from linear regression models. </w:t>
      </w:r>
    </w:p>
    <w:p w14:paraId="06C36CED" w14:textId="77777777" w:rsidR="003C22CE" w:rsidRDefault="003C22CE" w:rsidP="003C22CE">
      <w:pPr>
        <w:rPr>
          <w:rFonts w:ascii="Arial" w:hAnsi="Arial" w:cs="Arial"/>
          <w:bCs/>
          <w:color w:val="000000"/>
          <w:sz w:val="16"/>
          <w:szCs w:val="16"/>
        </w:rPr>
      </w:pPr>
      <w:r>
        <w:rPr>
          <w:rFonts w:ascii="Arial" w:hAnsi="Arial" w:cs="Arial"/>
          <w:bCs/>
          <w:color w:val="000000"/>
          <w:sz w:val="16"/>
          <w:szCs w:val="16"/>
        </w:rPr>
        <w:t xml:space="preserve">2. </w:t>
      </w:r>
      <w:r w:rsidRPr="007C2666">
        <w:rPr>
          <w:rFonts w:ascii="Arial" w:hAnsi="Arial" w:cs="Arial"/>
          <w:bCs/>
          <w:color w:val="000000"/>
          <w:sz w:val="16"/>
          <w:szCs w:val="16"/>
        </w:rPr>
        <w:t>Scores on the Center fo</w:t>
      </w:r>
      <w:r>
        <w:rPr>
          <w:rFonts w:ascii="Arial" w:hAnsi="Arial" w:cs="Arial"/>
          <w:bCs/>
          <w:color w:val="000000"/>
          <w:sz w:val="16"/>
          <w:szCs w:val="16"/>
        </w:rPr>
        <w:t xml:space="preserve">r </w:t>
      </w:r>
      <w:r w:rsidRPr="007C2666">
        <w:rPr>
          <w:rFonts w:ascii="Arial" w:hAnsi="Arial" w:cs="Arial"/>
          <w:bCs/>
          <w:color w:val="000000"/>
          <w:sz w:val="16"/>
          <w:szCs w:val="16"/>
        </w:rPr>
        <w:t>Epidemiologic Studies Depression Sc</w:t>
      </w:r>
      <w:r>
        <w:rPr>
          <w:rFonts w:ascii="Arial" w:hAnsi="Arial" w:cs="Arial"/>
          <w:bCs/>
          <w:color w:val="000000"/>
          <w:sz w:val="16"/>
          <w:szCs w:val="16"/>
        </w:rPr>
        <w:t>a</w:t>
      </w:r>
      <w:r w:rsidRPr="007C2666">
        <w:rPr>
          <w:rFonts w:ascii="Arial" w:hAnsi="Arial" w:cs="Arial"/>
          <w:bCs/>
          <w:color w:val="000000"/>
          <w:sz w:val="16"/>
          <w:szCs w:val="16"/>
        </w:rPr>
        <w:t>le range from 0-60, with higher scores represent</w:t>
      </w:r>
      <w:r>
        <w:rPr>
          <w:rFonts w:ascii="Arial" w:hAnsi="Arial" w:cs="Arial"/>
          <w:bCs/>
          <w:color w:val="000000"/>
          <w:sz w:val="16"/>
          <w:szCs w:val="16"/>
        </w:rPr>
        <w:t xml:space="preserve">ing </w:t>
      </w:r>
      <w:r w:rsidRPr="007C2666">
        <w:rPr>
          <w:rFonts w:ascii="Arial" w:hAnsi="Arial" w:cs="Arial"/>
          <w:bCs/>
          <w:color w:val="000000"/>
          <w:sz w:val="16"/>
          <w:szCs w:val="16"/>
        </w:rPr>
        <w:t xml:space="preserve">more </w:t>
      </w:r>
      <w:r>
        <w:rPr>
          <w:rFonts w:ascii="Arial" w:hAnsi="Arial" w:cs="Arial"/>
          <w:bCs/>
          <w:color w:val="000000"/>
          <w:sz w:val="16"/>
          <w:szCs w:val="16"/>
        </w:rPr>
        <w:t>depressive symptoms; a cut point of ≥16 is used to define clinical depression.</w:t>
      </w:r>
    </w:p>
    <w:p w14:paraId="1236687D" w14:textId="77777777" w:rsidR="003C22CE" w:rsidRDefault="003C22CE" w:rsidP="003C22CE">
      <w:pPr>
        <w:rPr>
          <w:rFonts w:ascii="Arial" w:hAnsi="Arial" w:cs="Arial"/>
          <w:bCs/>
          <w:color w:val="000000"/>
          <w:sz w:val="16"/>
          <w:szCs w:val="16"/>
        </w:rPr>
      </w:pPr>
      <w:r>
        <w:rPr>
          <w:rFonts w:ascii="Arial" w:hAnsi="Arial" w:cs="Arial"/>
          <w:bCs/>
          <w:color w:val="000000"/>
          <w:sz w:val="16"/>
          <w:szCs w:val="16"/>
        </w:rPr>
        <w:t>3</w:t>
      </w:r>
      <w:r w:rsidRPr="007C2666">
        <w:rPr>
          <w:rFonts w:ascii="Arial" w:hAnsi="Arial" w:cs="Arial"/>
          <w:bCs/>
          <w:color w:val="000000"/>
          <w:sz w:val="16"/>
          <w:szCs w:val="16"/>
        </w:rPr>
        <w:t>. Scores on the FACT-</w:t>
      </w:r>
      <w:r>
        <w:rPr>
          <w:rFonts w:ascii="Arial" w:hAnsi="Arial" w:cs="Arial"/>
          <w:bCs/>
          <w:color w:val="000000"/>
          <w:sz w:val="16"/>
          <w:szCs w:val="16"/>
        </w:rPr>
        <w:t>C</w:t>
      </w:r>
      <w:r w:rsidRPr="007C2666">
        <w:rPr>
          <w:rFonts w:ascii="Arial" w:hAnsi="Arial" w:cs="Arial"/>
          <w:bCs/>
          <w:color w:val="000000"/>
          <w:sz w:val="16"/>
          <w:szCs w:val="16"/>
        </w:rPr>
        <w:t>og perceived cognitive impairment scale range from 0-72, with higher scores represent better cognitive function</w:t>
      </w:r>
      <w:r>
        <w:rPr>
          <w:rFonts w:ascii="Arial" w:hAnsi="Arial" w:cs="Arial"/>
          <w:bCs/>
          <w:color w:val="000000"/>
          <w:sz w:val="16"/>
          <w:szCs w:val="16"/>
        </w:rPr>
        <w:t>. This is our primary outcome.</w:t>
      </w:r>
    </w:p>
    <w:p w14:paraId="4C533337" w14:textId="77777777" w:rsidR="003C22CE" w:rsidRPr="007C2666" w:rsidRDefault="003C22CE" w:rsidP="003C22CE">
      <w:pPr>
        <w:rPr>
          <w:rFonts w:ascii="Arial" w:hAnsi="Arial" w:cs="Arial"/>
          <w:bCs/>
          <w:color w:val="000000"/>
          <w:sz w:val="16"/>
          <w:szCs w:val="16"/>
        </w:rPr>
      </w:pPr>
      <w:r>
        <w:rPr>
          <w:rFonts w:ascii="Arial" w:hAnsi="Arial" w:cs="Arial"/>
          <w:bCs/>
          <w:color w:val="000000"/>
          <w:sz w:val="16"/>
          <w:szCs w:val="16"/>
        </w:rPr>
        <w:t xml:space="preserve">4. </w:t>
      </w:r>
      <w:r w:rsidRPr="007C2666">
        <w:rPr>
          <w:rFonts w:ascii="Arial" w:hAnsi="Arial" w:cs="Arial"/>
          <w:bCs/>
          <w:color w:val="000000"/>
          <w:sz w:val="16"/>
          <w:szCs w:val="16"/>
        </w:rPr>
        <w:t xml:space="preserve">Z-scores for neurological tests within each domain range from -3 to +3, with a mean of 0. A positive score indicates better cognitive </w:t>
      </w:r>
      <w:proofErr w:type="gramStart"/>
      <w:r w:rsidRPr="007C2666">
        <w:rPr>
          <w:rFonts w:ascii="Arial" w:hAnsi="Arial" w:cs="Arial"/>
          <w:bCs/>
          <w:color w:val="000000"/>
          <w:sz w:val="16"/>
          <w:szCs w:val="16"/>
        </w:rPr>
        <w:t>performance</w:t>
      </w:r>
      <w:proofErr w:type="gramEnd"/>
      <w:r w:rsidRPr="007C2666">
        <w:rPr>
          <w:rFonts w:ascii="Arial" w:hAnsi="Arial" w:cs="Arial"/>
          <w:bCs/>
          <w:color w:val="000000"/>
          <w:sz w:val="16"/>
          <w:szCs w:val="16"/>
        </w:rPr>
        <w:t xml:space="preserve"> and a negative score reflects worse than average scores.</w:t>
      </w:r>
    </w:p>
    <w:p w14:paraId="2EE09A7A" w14:textId="77777777" w:rsidR="003C22CE" w:rsidRDefault="003C22CE" w:rsidP="003C22CE">
      <w:pPr>
        <w:rPr>
          <w:rFonts w:ascii="Arial" w:hAnsi="Arial" w:cs="Arial"/>
          <w:bCs/>
          <w:color w:val="000000"/>
          <w:sz w:val="16"/>
          <w:szCs w:val="16"/>
        </w:rPr>
      </w:pPr>
      <w:r>
        <w:rPr>
          <w:rFonts w:ascii="Arial" w:hAnsi="Arial" w:cs="Arial"/>
          <w:bCs/>
          <w:color w:val="000000"/>
          <w:sz w:val="16"/>
          <w:szCs w:val="16"/>
        </w:rPr>
        <w:t>5</w:t>
      </w:r>
      <w:r w:rsidRPr="007C2666">
        <w:rPr>
          <w:rFonts w:ascii="Arial" w:hAnsi="Arial" w:cs="Arial"/>
          <w:bCs/>
          <w:color w:val="000000"/>
          <w:sz w:val="16"/>
          <w:szCs w:val="16"/>
        </w:rPr>
        <w:t>. HER2 positivity was defined as scoring 3+ on HER2 IHC, or tested positive on HER2 FISH, or receiving Herceptin treatment.</w:t>
      </w:r>
    </w:p>
    <w:p w14:paraId="7992F775" w14:textId="77777777" w:rsidR="003C22CE" w:rsidRDefault="003C22CE" w:rsidP="003C22CE">
      <w:pPr>
        <w:rPr>
          <w:rFonts w:ascii="Arial" w:hAnsi="Arial" w:cs="Arial"/>
          <w:bCs/>
          <w:color w:val="000000"/>
          <w:sz w:val="16"/>
          <w:szCs w:val="16"/>
        </w:rPr>
      </w:pPr>
    </w:p>
    <w:p w14:paraId="162C4C1A" w14:textId="77777777" w:rsidR="003C22CE" w:rsidRDefault="003C22CE" w:rsidP="003C22CE">
      <w:pPr>
        <w:rPr>
          <w:rFonts w:ascii="Arial" w:hAnsi="Arial" w:cs="Arial"/>
          <w:bCs/>
          <w:color w:val="000000"/>
          <w:sz w:val="16"/>
          <w:szCs w:val="16"/>
        </w:rPr>
      </w:pPr>
    </w:p>
    <w:p w14:paraId="3C703A04" w14:textId="77777777" w:rsidR="003C22CE" w:rsidRDefault="003C22CE" w:rsidP="003C22CE">
      <w:pPr>
        <w:rPr>
          <w:rFonts w:ascii="Arial" w:hAnsi="Arial" w:cs="Arial"/>
          <w:bCs/>
          <w:color w:val="000000"/>
          <w:sz w:val="16"/>
          <w:szCs w:val="16"/>
        </w:rPr>
      </w:pPr>
    </w:p>
    <w:p w14:paraId="386E8A9D" w14:textId="77777777" w:rsidR="003C22CE" w:rsidRPr="0063515D" w:rsidRDefault="003C22CE" w:rsidP="003C22CE">
      <w:pPr>
        <w:rPr>
          <w:rFonts w:ascii="Arial" w:hAnsi="Arial" w:cs="Arial"/>
          <w:bCs/>
          <w:color w:val="000000"/>
          <w:sz w:val="20"/>
          <w:szCs w:val="20"/>
        </w:rPr>
      </w:pPr>
      <w:r w:rsidRPr="0063515D">
        <w:rPr>
          <w:rFonts w:ascii="Arial" w:hAnsi="Arial" w:cs="Arial"/>
          <w:bCs/>
          <w:color w:val="000000"/>
          <w:sz w:val="20"/>
          <w:szCs w:val="20"/>
        </w:rPr>
        <w:t>Table 2b. Adjusted</w:t>
      </w:r>
      <w:r w:rsidRPr="0063515D">
        <w:rPr>
          <w:rFonts w:ascii="Arial" w:hAnsi="Arial" w:cs="Arial"/>
          <w:bCs/>
          <w:color w:val="000000"/>
          <w:sz w:val="20"/>
          <w:szCs w:val="20"/>
          <w:vertAlign w:val="superscript"/>
        </w:rPr>
        <w:t>1</w:t>
      </w:r>
      <w:r w:rsidRPr="0063515D">
        <w:rPr>
          <w:rFonts w:ascii="Arial" w:hAnsi="Arial" w:cs="Arial"/>
          <w:bCs/>
          <w:color w:val="000000"/>
          <w:sz w:val="20"/>
          <w:szCs w:val="20"/>
        </w:rPr>
        <w:t xml:space="preserve"> Pre-systemic Therapy Cognitive Function by Tumor Characteristics among Older Patients with Non-Metastatic Breast Cancer, Controlling for Anxiety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1905"/>
        <w:gridCol w:w="1738"/>
        <w:gridCol w:w="2527"/>
        <w:gridCol w:w="1741"/>
        <w:gridCol w:w="2524"/>
        <w:gridCol w:w="2061"/>
      </w:tblGrid>
      <w:tr w:rsidR="003C22CE" w:rsidRPr="00E46127" w14:paraId="7DE6FDCB" w14:textId="77777777" w:rsidTr="0025065D">
        <w:tc>
          <w:tcPr>
            <w:tcW w:w="658" w:type="pct"/>
            <w:tcBorders>
              <w:top w:val="single" w:sz="4" w:space="0" w:color="auto"/>
              <w:left w:val="single" w:sz="4" w:space="0" w:color="auto"/>
              <w:bottom w:val="single" w:sz="4" w:space="0" w:color="auto"/>
              <w:right w:val="single" w:sz="4" w:space="0" w:color="auto"/>
            </w:tcBorders>
          </w:tcPr>
          <w:p w14:paraId="03C876BD" w14:textId="77777777" w:rsidR="003C22CE" w:rsidRPr="00E46127" w:rsidRDefault="003C22CE" w:rsidP="0025065D">
            <w:pPr>
              <w:rPr>
                <w:rFonts w:ascii="Arial" w:hAnsi="Arial" w:cs="Arial"/>
                <w:bCs/>
                <w:color w:val="000000"/>
                <w:sz w:val="20"/>
                <w:szCs w:val="20"/>
              </w:rPr>
            </w:pPr>
          </w:p>
        </w:tc>
        <w:tc>
          <w:tcPr>
            <w:tcW w:w="1266" w:type="pct"/>
            <w:gridSpan w:val="2"/>
            <w:tcBorders>
              <w:top w:val="single" w:sz="4" w:space="0" w:color="auto"/>
              <w:left w:val="single" w:sz="4" w:space="0" w:color="auto"/>
              <w:bottom w:val="single" w:sz="4" w:space="0" w:color="auto"/>
              <w:right w:val="single" w:sz="4" w:space="0" w:color="auto"/>
            </w:tcBorders>
          </w:tcPr>
          <w:p w14:paraId="3C7FF200" w14:textId="77777777" w:rsidR="003C22CE" w:rsidRPr="00E46127" w:rsidRDefault="003C22CE" w:rsidP="0025065D">
            <w:pPr>
              <w:rPr>
                <w:rFonts w:ascii="Arial" w:hAnsi="Arial" w:cs="Arial"/>
                <w:bCs/>
                <w:color w:val="000000"/>
                <w:sz w:val="20"/>
                <w:szCs w:val="20"/>
              </w:rPr>
            </w:pPr>
            <w:r w:rsidRPr="00E46127">
              <w:rPr>
                <w:rFonts w:ascii="Arial" w:hAnsi="Arial" w:cs="Arial"/>
                <w:bCs/>
                <w:color w:val="000000"/>
                <w:sz w:val="20"/>
                <w:szCs w:val="20"/>
              </w:rPr>
              <w:t>FACT-Cog PCI Score</w:t>
            </w:r>
            <w:r>
              <w:rPr>
                <w:rFonts w:ascii="Arial" w:hAnsi="Arial" w:cs="Arial"/>
                <w:bCs/>
                <w:color w:val="000000"/>
                <w:sz w:val="20"/>
                <w:szCs w:val="20"/>
                <w:vertAlign w:val="superscript"/>
              </w:rPr>
              <w:t>3</w:t>
            </w:r>
          </w:p>
        </w:tc>
        <w:tc>
          <w:tcPr>
            <w:tcW w:w="1483" w:type="pct"/>
            <w:gridSpan w:val="2"/>
            <w:tcBorders>
              <w:top w:val="single" w:sz="4" w:space="0" w:color="auto"/>
              <w:left w:val="single" w:sz="4" w:space="0" w:color="auto"/>
              <w:bottom w:val="single" w:sz="4" w:space="0" w:color="auto"/>
              <w:right w:val="single" w:sz="4" w:space="0" w:color="auto"/>
            </w:tcBorders>
          </w:tcPr>
          <w:p w14:paraId="1373AC77" w14:textId="77777777" w:rsidR="003C22CE" w:rsidRPr="00E46127" w:rsidRDefault="003C22CE" w:rsidP="0025065D">
            <w:pPr>
              <w:rPr>
                <w:rFonts w:ascii="Arial" w:hAnsi="Arial" w:cs="Arial"/>
                <w:bCs/>
                <w:color w:val="000000"/>
                <w:sz w:val="20"/>
                <w:szCs w:val="20"/>
              </w:rPr>
            </w:pPr>
            <w:r w:rsidRPr="00E46127">
              <w:rPr>
                <w:rFonts w:ascii="Arial" w:hAnsi="Arial" w:cs="Arial"/>
                <w:bCs/>
                <w:color w:val="000000"/>
                <w:sz w:val="20"/>
                <w:szCs w:val="20"/>
              </w:rPr>
              <w:t>Attention, Processing Speed, Executive Function</w:t>
            </w:r>
            <w:r w:rsidRPr="005A5D7A">
              <w:rPr>
                <w:rFonts w:ascii="Arial" w:hAnsi="Arial" w:cs="Arial"/>
                <w:bCs/>
                <w:color w:val="000000"/>
                <w:sz w:val="20"/>
                <w:szCs w:val="20"/>
                <w:vertAlign w:val="superscript"/>
              </w:rPr>
              <w:t>4</w:t>
            </w:r>
          </w:p>
        </w:tc>
        <w:tc>
          <w:tcPr>
            <w:tcW w:w="1593" w:type="pct"/>
            <w:gridSpan w:val="2"/>
            <w:tcBorders>
              <w:top w:val="single" w:sz="4" w:space="0" w:color="auto"/>
              <w:left w:val="single" w:sz="4" w:space="0" w:color="auto"/>
              <w:bottom w:val="single" w:sz="4" w:space="0" w:color="auto"/>
              <w:right w:val="single" w:sz="4" w:space="0" w:color="auto"/>
            </w:tcBorders>
          </w:tcPr>
          <w:p w14:paraId="57AC0920" w14:textId="77777777" w:rsidR="003C22CE" w:rsidRPr="00E46127" w:rsidRDefault="003C22CE" w:rsidP="0025065D">
            <w:pPr>
              <w:rPr>
                <w:rFonts w:ascii="Arial" w:hAnsi="Arial" w:cs="Arial"/>
                <w:bCs/>
                <w:color w:val="000000"/>
                <w:sz w:val="20"/>
                <w:szCs w:val="20"/>
              </w:rPr>
            </w:pPr>
            <w:r w:rsidRPr="00E46127">
              <w:rPr>
                <w:rFonts w:ascii="Arial" w:hAnsi="Arial" w:cs="Arial"/>
                <w:bCs/>
                <w:color w:val="000000"/>
                <w:sz w:val="20"/>
                <w:szCs w:val="20"/>
              </w:rPr>
              <w:t>Learning and Memory</w:t>
            </w:r>
            <w:r w:rsidRPr="005A5D7A">
              <w:rPr>
                <w:rFonts w:ascii="Arial" w:hAnsi="Arial" w:cs="Arial"/>
                <w:bCs/>
                <w:color w:val="000000"/>
                <w:sz w:val="20"/>
                <w:szCs w:val="20"/>
                <w:vertAlign w:val="superscript"/>
              </w:rPr>
              <w:t>4</w:t>
            </w:r>
          </w:p>
        </w:tc>
      </w:tr>
      <w:tr w:rsidR="003C22CE" w:rsidRPr="00E46127" w14:paraId="0B43D70A" w14:textId="77777777" w:rsidTr="0025065D">
        <w:tc>
          <w:tcPr>
            <w:tcW w:w="658" w:type="pct"/>
            <w:tcBorders>
              <w:top w:val="single" w:sz="4" w:space="0" w:color="auto"/>
              <w:left w:val="single" w:sz="4" w:space="0" w:color="auto"/>
              <w:bottom w:val="single" w:sz="4" w:space="0" w:color="auto"/>
              <w:right w:val="single" w:sz="4" w:space="0" w:color="auto"/>
            </w:tcBorders>
          </w:tcPr>
          <w:p w14:paraId="21A3478A" w14:textId="77777777" w:rsidR="003C22CE" w:rsidRPr="00E46127" w:rsidRDefault="003C22CE" w:rsidP="0025065D">
            <w:pPr>
              <w:rPr>
                <w:rFonts w:ascii="Arial" w:hAnsi="Arial" w:cs="Arial"/>
                <w:bCs/>
                <w:color w:val="000000"/>
                <w:sz w:val="20"/>
                <w:szCs w:val="20"/>
              </w:rPr>
            </w:pPr>
          </w:p>
        </w:tc>
        <w:tc>
          <w:tcPr>
            <w:tcW w:w="1266" w:type="pct"/>
            <w:gridSpan w:val="2"/>
            <w:tcBorders>
              <w:top w:val="single" w:sz="4" w:space="0" w:color="auto"/>
              <w:left w:val="single" w:sz="4" w:space="0" w:color="auto"/>
              <w:bottom w:val="single" w:sz="4" w:space="0" w:color="auto"/>
              <w:right w:val="single" w:sz="4" w:space="0" w:color="auto"/>
            </w:tcBorders>
          </w:tcPr>
          <w:p w14:paraId="0FFC371A" w14:textId="77777777" w:rsidR="003C22CE" w:rsidRPr="00E46127" w:rsidRDefault="003C22CE" w:rsidP="0025065D">
            <w:pPr>
              <w:rPr>
                <w:rFonts w:ascii="Arial" w:hAnsi="Arial" w:cs="Arial"/>
                <w:bCs/>
                <w:color w:val="000000"/>
                <w:sz w:val="20"/>
                <w:szCs w:val="20"/>
              </w:rPr>
            </w:pPr>
            <w:r w:rsidRPr="00E46127">
              <w:rPr>
                <w:rFonts w:ascii="Arial" w:hAnsi="Arial" w:cs="Arial"/>
                <w:bCs/>
                <w:color w:val="000000"/>
                <w:sz w:val="20"/>
                <w:szCs w:val="20"/>
              </w:rPr>
              <w:t>Adjusted</w:t>
            </w:r>
          </w:p>
        </w:tc>
        <w:tc>
          <w:tcPr>
            <w:tcW w:w="1483" w:type="pct"/>
            <w:gridSpan w:val="2"/>
            <w:tcBorders>
              <w:top w:val="single" w:sz="4" w:space="0" w:color="auto"/>
              <w:left w:val="single" w:sz="4" w:space="0" w:color="auto"/>
              <w:bottom w:val="single" w:sz="4" w:space="0" w:color="auto"/>
              <w:right w:val="single" w:sz="4" w:space="0" w:color="auto"/>
            </w:tcBorders>
          </w:tcPr>
          <w:p w14:paraId="59DA9C3D" w14:textId="77777777" w:rsidR="003C22CE" w:rsidRPr="00E46127" w:rsidRDefault="003C22CE" w:rsidP="0025065D">
            <w:pPr>
              <w:rPr>
                <w:rFonts w:ascii="Arial" w:hAnsi="Arial" w:cs="Arial"/>
                <w:bCs/>
                <w:color w:val="000000"/>
                <w:sz w:val="20"/>
                <w:szCs w:val="20"/>
              </w:rPr>
            </w:pPr>
            <w:r w:rsidRPr="00E46127">
              <w:rPr>
                <w:rFonts w:ascii="Arial" w:hAnsi="Arial" w:cs="Arial"/>
                <w:bCs/>
                <w:color w:val="000000"/>
                <w:sz w:val="20"/>
                <w:szCs w:val="20"/>
              </w:rPr>
              <w:t>Adjusted</w:t>
            </w:r>
          </w:p>
        </w:tc>
        <w:tc>
          <w:tcPr>
            <w:tcW w:w="1593" w:type="pct"/>
            <w:gridSpan w:val="2"/>
            <w:tcBorders>
              <w:top w:val="single" w:sz="4" w:space="0" w:color="auto"/>
              <w:left w:val="single" w:sz="4" w:space="0" w:color="auto"/>
              <w:bottom w:val="single" w:sz="4" w:space="0" w:color="auto"/>
              <w:right w:val="single" w:sz="4" w:space="0" w:color="auto"/>
            </w:tcBorders>
          </w:tcPr>
          <w:p w14:paraId="32A8A80D" w14:textId="77777777" w:rsidR="003C22CE" w:rsidRPr="00E46127" w:rsidRDefault="003C22CE" w:rsidP="0025065D">
            <w:pPr>
              <w:rPr>
                <w:rFonts w:ascii="Arial" w:hAnsi="Arial" w:cs="Arial"/>
                <w:bCs/>
                <w:color w:val="000000"/>
                <w:sz w:val="20"/>
                <w:szCs w:val="20"/>
              </w:rPr>
            </w:pPr>
            <w:r w:rsidRPr="00E46127">
              <w:rPr>
                <w:rFonts w:ascii="Arial" w:hAnsi="Arial" w:cs="Arial"/>
                <w:bCs/>
                <w:color w:val="000000"/>
                <w:sz w:val="20"/>
                <w:szCs w:val="20"/>
              </w:rPr>
              <w:t>Adjusted</w:t>
            </w:r>
          </w:p>
        </w:tc>
      </w:tr>
      <w:tr w:rsidR="003C22CE" w:rsidRPr="00E46127" w14:paraId="60886854" w14:textId="77777777" w:rsidTr="0025065D">
        <w:tc>
          <w:tcPr>
            <w:tcW w:w="5000" w:type="pct"/>
            <w:gridSpan w:val="7"/>
            <w:tcBorders>
              <w:top w:val="single" w:sz="4" w:space="0" w:color="auto"/>
              <w:left w:val="single" w:sz="4" w:space="0" w:color="auto"/>
              <w:bottom w:val="single" w:sz="4" w:space="0" w:color="auto"/>
              <w:right w:val="single" w:sz="4" w:space="0" w:color="auto"/>
            </w:tcBorders>
          </w:tcPr>
          <w:p w14:paraId="449D45B7" w14:textId="77777777" w:rsidR="003C22CE" w:rsidRPr="007E71DF" w:rsidRDefault="003C22CE" w:rsidP="0025065D">
            <w:pPr>
              <w:rPr>
                <w:rFonts w:ascii="Arial" w:hAnsi="Arial" w:cs="Arial"/>
                <w:color w:val="000000"/>
                <w:sz w:val="20"/>
                <w:szCs w:val="20"/>
              </w:rPr>
            </w:pPr>
            <w:r w:rsidRPr="00E46127">
              <w:rPr>
                <w:rFonts w:ascii="Arial" w:hAnsi="Arial" w:cs="Arial"/>
                <w:color w:val="000000"/>
                <w:sz w:val="20"/>
                <w:szCs w:val="20"/>
              </w:rPr>
              <w:t>Stage</w:t>
            </w:r>
          </w:p>
        </w:tc>
      </w:tr>
      <w:tr w:rsidR="003C22CE" w:rsidRPr="00E46127" w14:paraId="0637AD67" w14:textId="77777777" w:rsidTr="0025065D">
        <w:tc>
          <w:tcPr>
            <w:tcW w:w="658" w:type="pct"/>
            <w:tcBorders>
              <w:top w:val="single" w:sz="4" w:space="0" w:color="auto"/>
              <w:left w:val="single" w:sz="4" w:space="0" w:color="auto"/>
              <w:bottom w:val="single" w:sz="4" w:space="0" w:color="auto"/>
              <w:right w:val="single" w:sz="4" w:space="0" w:color="auto"/>
            </w:tcBorders>
          </w:tcPr>
          <w:p w14:paraId="6C17391A" w14:textId="77777777" w:rsidR="003C22CE" w:rsidRPr="00E46127" w:rsidRDefault="003C22CE" w:rsidP="0025065D">
            <w:pPr>
              <w:rPr>
                <w:rFonts w:ascii="Arial" w:hAnsi="Arial" w:cs="Arial"/>
                <w:color w:val="000000"/>
                <w:sz w:val="20"/>
                <w:szCs w:val="20"/>
              </w:rPr>
            </w:pPr>
            <w:r w:rsidRPr="00E46127">
              <w:rPr>
                <w:rFonts w:ascii="Arial" w:hAnsi="Arial" w:cs="Arial"/>
                <w:color w:val="000000"/>
                <w:sz w:val="20"/>
                <w:szCs w:val="20"/>
              </w:rPr>
              <w:t>Stage 0/</w:t>
            </w:r>
            <w:r>
              <w:rPr>
                <w:rFonts w:ascii="Arial" w:hAnsi="Arial" w:cs="Arial"/>
                <w:color w:val="000000"/>
                <w:sz w:val="20"/>
                <w:szCs w:val="20"/>
              </w:rPr>
              <w:t>I</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1F68B70"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57.9 (1.0)</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7A501E3A"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p=0.328</w:t>
            </w: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6EA48F67" w14:textId="77777777" w:rsidR="003C22CE" w:rsidRPr="006D67FE" w:rsidRDefault="003C22CE" w:rsidP="0025065D">
            <w:pPr>
              <w:rPr>
                <w:rFonts w:ascii="Arial" w:hAnsi="Arial" w:cs="Arial"/>
                <w:b/>
                <w:bCs/>
                <w:color w:val="000000"/>
                <w:sz w:val="20"/>
                <w:szCs w:val="20"/>
              </w:rPr>
            </w:pPr>
            <w:r w:rsidRPr="006D67FE">
              <w:rPr>
                <w:rFonts w:ascii="Arial" w:hAnsi="Arial" w:cs="Arial"/>
                <w:b/>
                <w:bCs/>
                <w:color w:val="000000"/>
                <w:sz w:val="20"/>
                <w:szCs w:val="20"/>
              </w:rPr>
              <w:t>-.287 (0.059)</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A1E57D5" w14:textId="77777777" w:rsidR="003C22CE" w:rsidRPr="006D67FE" w:rsidRDefault="003C22CE" w:rsidP="0025065D">
            <w:pPr>
              <w:rPr>
                <w:rFonts w:ascii="Arial" w:hAnsi="Arial" w:cs="Arial"/>
                <w:b/>
                <w:bCs/>
                <w:color w:val="000000"/>
                <w:sz w:val="20"/>
                <w:szCs w:val="20"/>
              </w:rPr>
            </w:pPr>
            <w:r w:rsidRPr="006D67FE">
              <w:rPr>
                <w:rFonts w:ascii="Arial" w:hAnsi="Arial" w:cs="Arial"/>
                <w:b/>
                <w:bCs/>
                <w:color w:val="000000"/>
                <w:sz w:val="20"/>
                <w:szCs w:val="20"/>
              </w:rPr>
              <w:t>p=0.008</w:t>
            </w:r>
          </w:p>
        </w:tc>
        <w:tc>
          <w:tcPr>
            <w:tcW w:w="877" w:type="pct"/>
            <w:tcBorders>
              <w:top w:val="single" w:sz="4" w:space="0" w:color="auto"/>
              <w:left w:val="single" w:sz="4" w:space="0" w:color="auto"/>
              <w:bottom w:val="single" w:sz="4" w:space="0" w:color="auto"/>
              <w:right w:val="single" w:sz="4" w:space="0" w:color="auto"/>
            </w:tcBorders>
          </w:tcPr>
          <w:p w14:paraId="391C5222"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-.378 (0.075)</w:t>
            </w:r>
          </w:p>
        </w:tc>
        <w:tc>
          <w:tcPr>
            <w:tcW w:w="716" w:type="pct"/>
            <w:tcBorders>
              <w:top w:val="single" w:sz="4" w:space="0" w:color="auto"/>
              <w:left w:val="single" w:sz="4" w:space="0" w:color="auto"/>
              <w:bottom w:val="single" w:sz="4" w:space="0" w:color="auto"/>
              <w:right w:val="single" w:sz="4" w:space="0" w:color="auto"/>
            </w:tcBorders>
          </w:tcPr>
          <w:p w14:paraId="0E87AE55" w14:textId="77777777" w:rsidR="003C22CE" w:rsidRPr="007E71DF" w:rsidRDefault="003C22CE" w:rsidP="0025065D">
            <w:pPr>
              <w:rPr>
                <w:rFonts w:ascii="Arial" w:hAnsi="Arial" w:cs="Arial"/>
                <w:color w:val="000000"/>
                <w:sz w:val="20"/>
                <w:szCs w:val="20"/>
              </w:rPr>
            </w:pPr>
            <w:r w:rsidRPr="0063515D">
              <w:rPr>
                <w:rFonts w:ascii="Arial" w:hAnsi="Arial" w:cs="Arial"/>
                <w:color w:val="000000"/>
                <w:sz w:val="20"/>
                <w:szCs w:val="20"/>
              </w:rPr>
              <w:t>p=0.448</w:t>
            </w:r>
          </w:p>
        </w:tc>
      </w:tr>
      <w:tr w:rsidR="003C22CE" w:rsidRPr="00E46127" w14:paraId="18268CA7" w14:textId="77777777" w:rsidTr="0025065D">
        <w:tc>
          <w:tcPr>
            <w:tcW w:w="658" w:type="pct"/>
            <w:tcBorders>
              <w:top w:val="single" w:sz="4" w:space="0" w:color="auto"/>
              <w:left w:val="single" w:sz="4" w:space="0" w:color="auto"/>
              <w:bottom w:val="single" w:sz="4" w:space="0" w:color="auto"/>
              <w:right w:val="single" w:sz="4" w:space="0" w:color="auto"/>
            </w:tcBorders>
          </w:tcPr>
          <w:p w14:paraId="2103F693" w14:textId="77777777" w:rsidR="003C22CE" w:rsidRPr="00E46127" w:rsidRDefault="003C22CE" w:rsidP="0025065D">
            <w:pPr>
              <w:rPr>
                <w:rFonts w:ascii="Arial" w:hAnsi="Arial" w:cs="Arial"/>
                <w:color w:val="000000"/>
                <w:sz w:val="20"/>
                <w:szCs w:val="20"/>
              </w:rPr>
            </w:pPr>
            <w:r w:rsidRPr="00E46127">
              <w:rPr>
                <w:rFonts w:ascii="Arial" w:hAnsi="Arial" w:cs="Arial"/>
                <w:color w:val="000000"/>
                <w:sz w:val="20"/>
                <w:szCs w:val="20"/>
              </w:rPr>
              <w:t xml:space="preserve">Stage </w:t>
            </w:r>
            <w:r>
              <w:rPr>
                <w:rFonts w:ascii="Arial" w:hAnsi="Arial" w:cs="Arial"/>
                <w:color w:val="000000"/>
                <w:sz w:val="20"/>
                <w:szCs w:val="20"/>
              </w:rPr>
              <w:t>II</w:t>
            </w:r>
            <w:r w:rsidRPr="00E46127">
              <w:rPr>
                <w:rFonts w:ascii="Arial" w:hAnsi="Arial" w:cs="Arial"/>
                <w:color w:val="000000"/>
                <w:sz w:val="20"/>
                <w:szCs w:val="20"/>
              </w:rPr>
              <w:t>/</w:t>
            </w:r>
            <w:r>
              <w:rPr>
                <w:rFonts w:ascii="Arial" w:hAnsi="Arial" w:cs="Arial"/>
                <w:color w:val="000000"/>
                <w:sz w:val="20"/>
                <w:szCs w:val="20"/>
              </w:rPr>
              <w:t>III</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0173B0C"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57.0 (1.1)</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06410671" w14:textId="77777777" w:rsidR="003C22CE" w:rsidRPr="00E46127" w:rsidRDefault="003C22CE" w:rsidP="0025065D">
            <w:pPr>
              <w:rPr>
                <w:rFonts w:ascii="Arial" w:hAnsi="Arial" w:cs="Arial"/>
                <w:color w:val="000000"/>
                <w:sz w:val="20"/>
                <w:szCs w:val="20"/>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07A0D0AE" w14:textId="77777777" w:rsidR="003C22CE" w:rsidRPr="006D67FE" w:rsidRDefault="003C22CE" w:rsidP="0025065D">
            <w:pPr>
              <w:rPr>
                <w:rFonts w:ascii="Arial" w:hAnsi="Arial" w:cs="Arial"/>
                <w:b/>
                <w:bCs/>
                <w:color w:val="000000"/>
                <w:sz w:val="20"/>
                <w:szCs w:val="20"/>
              </w:rPr>
            </w:pPr>
            <w:r w:rsidRPr="006D67FE">
              <w:rPr>
                <w:rFonts w:ascii="Arial" w:hAnsi="Arial" w:cs="Arial"/>
                <w:b/>
                <w:bCs/>
                <w:color w:val="000000"/>
                <w:sz w:val="20"/>
                <w:szCs w:val="20"/>
              </w:rPr>
              <w:t>-.434 (0.065)</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3F725C75" w14:textId="77777777" w:rsidR="003C22CE" w:rsidRPr="006D67FE" w:rsidRDefault="003C22CE" w:rsidP="0025065D">
            <w:pPr>
              <w:rPr>
                <w:rFonts w:ascii="Arial" w:hAnsi="Arial" w:cs="Arial"/>
                <w:b/>
                <w:bCs/>
                <w:color w:val="000000"/>
                <w:sz w:val="20"/>
                <w:szCs w:val="20"/>
              </w:rPr>
            </w:pPr>
          </w:p>
        </w:tc>
        <w:tc>
          <w:tcPr>
            <w:tcW w:w="877" w:type="pct"/>
            <w:tcBorders>
              <w:top w:val="single" w:sz="4" w:space="0" w:color="auto"/>
              <w:left w:val="single" w:sz="4" w:space="0" w:color="auto"/>
              <w:bottom w:val="single" w:sz="4" w:space="0" w:color="auto"/>
              <w:right w:val="single" w:sz="4" w:space="0" w:color="auto"/>
            </w:tcBorders>
          </w:tcPr>
          <w:p w14:paraId="2151C5A7"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-.325 (0.082)</w:t>
            </w:r>
          </w:p>
        </w:tc>
        <w:tc>
          <w:tcPr>
            <w:tcW w:w="716" w:type="pct"/>
            <w:tcBorders>
              <w:top w:val="single" w:sz="4" w:space="0" w:color="auto"/>
              <w:left w:val="single" w:sz="4" w:space="0" w:color="auto"/>
              <w:bottom w:val="single" w:sz="4" w:space="0" w:color="auto"/>
              <w:right w:val="single" w:sz="4" w:space="0" w:color="auto"/>
            </w:tcBorders>
          </w:tcPr>
          <w:p w14:paraId="591866A4" w14:textId="77777777" w:rsidR="003C22CE" w:rsidRPr="007E71DF" w:rsidRDefault="003C22CE" w:rsidP="0025065D">
            <w:pPr>
              <w:rPr>
                <w:rFonts w:ascii="Arial" w:hAnsi="Arial" w:cs="Arial"/>
                <w:color w:val="000000"/>
                <w:sz w:val="20"/>
                <w:szCs w:val="20"/>
              </w:rPr>
            </w:pPr>
          </w:p>
        </w:tc>
      </w:tr>
      <w:tr w:rsidR="003C22CE" w:rsidRPr="00E46127" w14:paraId="744195BC" w14:textId="77777777" w:rsidTr="0025065D">
        <w:tc>
          <w:tcPr>
            <w:tcW w:w="5000" w:type="pct"/>
            <w:gridSpan w:val="7"/>
            <w:tcBorders>
              <w:top w:val="single" w:sz="4" w:space="0" w:color="auto"/>
              <w:left w:val="single" w:sz="4" w:space="0" w:color="auto"/>
              <w:bottom w:val="single" w:sz="4" w:space="0" w:color="auto"/>
              <w:right w:val="single" w:sz="4" w:space="0" w:color="auto"/>
            </w:tcBorders>
            <w:vAlign w:val="bottom"/>
          </w:tcPr>
          <w:p w14:paraId="19EEABCD" w14:textId="77777777" w:rsidR="003C22CE" w:rsidRPr="007E71DF" w:rsidRDefault="003C22CE" w:rsidP="0025065D">
            <w:pPr>
              <w:rPr>
                <w:rFonts w:ascii="Arial" w:hAnsi="Arial" w:cs="Arial"/>
                <w:color w:val="000000"/>
                <w:sz w:val="20"/>
                <w:szCs w:val="20"/>
              </w:rPr>
            </w:pPr>
            <w:r w:rsidRPr="00E46127">
              <w:rPr>
                <w:rFonts w:ascii="Arial" w:hAnsi="Arial" w:cs="Arial"/>
                <w:color w:val="000000"/>
                <w:sz w:val="20"/>
                <w:szCs w:val="20"/>
              </w:rPr>
              <w:t>HER2</w:t>
            </w:r>
            <w:r>
              <w:rPr>
                <w:rFonts w:ascii="Arial" w:hAnsi="Arial" w:cs="Arial"/>
                <w:color w:val="000000"/>
                <w:sz w:val="20"/>
                <w:szCs w:val="20"/>
                <w:vertAlign w:val="superscript"/>
              </w:rPr>
              <w:t>5</w:t>
            </w:r>
          </w:p>
        </w:tc>
      </w:tr>
      <w:tr w:rsidR="003C22CE" w:rsidRPr="00E46127" w14:paraId="4BA7A12F" w14:textId="77777777" w:rsidTr="0025065D">
        <w:tc>
          <w:tcPr>
            <w:tcW w:w="658" w:type="pct"/>
            <w:tcBorders>
              <w:top w:val="single" w:sz="4" w:space="0" w:color="auto"/>
              <w:left w:val="single" w:sz="4" w:space="0" w:color="auto"/>
              <w:bottom w:val="single" w:sz="4" w:space="0" w:color="auto"/>
              <w:right w:val="single" w:sz="4" w:space="0" w:color="auto"/>
            </w:tcBorders>
          </w:tcPr>
          <w:p w14:paraId="131A4B54" w14:textId="77777777" w:rsidR="003C22CE" w:rsidRPr="00E46127" w:rsidRDefault="003C22CE" w:rsidP="0025065D">
            <w:pPr>
              <w:rPr>
                <w:rFonts w:ascii="Arial" w:hAnsi="Arial" w:cs="Arial"/>
                <w:color w:val="000000"/>
                <w:sz w:val="20"/>
                <w:szCs w:val="20"/>
              </w:rPr>
            </w:pPr>
            <w:r w:rsidRPr="00E46127">
              <w:rPr>
                <w:rFonts w:ascii="Arial" w:hAnsi="Arial" w:cs="Arial"/>
                <w:color w:val="000000"/>
                <w:sz w:val="20"/>
                <w:szCs w:val="20"/>
              </w:rPr>
              <w:t>Negative</w:t>
            </w:r>
          </w:p>
        </w:tc>
        <w:tc>
          <w:tcPr>
            <w:tcW w:w="662" w:type="pct"/>
            <w:tcBorders>
              <w:top w:val="single" w:sz="4" w:space="0" w:color="auto"/>
              <w:left w:val="single" w:sz="4" w:space="0" w:color="auto"/>
              <w:bottom w:val="single" w:sz="4" w:space="0" w:color="auto"/>
              <w:right w:val="single" w:sz="4" w:space="0" w:color="auto"/>
            </w:tcBorders>
          </w:tcPr>
          <w:p w14:paraId="72C89D12" w14:textId="77777777" w:rsidR="003C22CE" w:rsidRPr="006D67FE" w:rsidRDefault="003C22CE" w:rsidP="0025065D">
            <w:pPr>
              <w:rPr>
                <w:rFonts w:ascii="Arial" w:hAnsi="Arial" w:cs="Arial"/>
                <w:b/>
                <w:bCs/>
                <w:color w:val="000000"/>
                <w:sz w:val="20"/>
                <w:szCs w:val="20"/>
              </w:rPr>
            </w:pPr>
            <w:r w:rsidRPr="006D67FE">
              <w:rPr>
                <w:rFonts w:ascii="Arial" w:hAnsi="Arial" w:cs="Arial"/>
                <w:b/>
                <w:bCs/>
                <w:color w:val="000000"/>
                <w:sz w:val="20"/>
                <w:szCs w:val="20"/>
              </w:rPr>
              <w:t>58.0 (1.0)</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153EA74A" w14:textId="77777777" w:rsidR="003C22CE" w:rsidRPr="006D67FE" w:rsidRDefault="003C22CE" w:rsidP="0025065D">
            <w:pPr>
              <w:rPr>
                <w:rFonts w:ascii="Arial" w:hAnsi="Arial" w:cs="Arial"/>
                <w:b/>
                <w:bCs/>
                <w:color w:val="000000"/>
                <w:sz w:val="20"/>
                <w:szCs w:val="20"/>
              </w:rPr>
            </w:pPr>
            <w:r w:rsidRPr="006D67FE">
              <w:rPr>
                <w:rFonts w:ascii="Arial" w:hAnsi="Arial" w:cs="Arial"/>
                <w:b/>
                <w:bCs/>
                <w:color w:val="000000"/>
                <w:sz w:val="20"/>
                <w:szCs w:val="20"/>
              </w:rPr>
              <w:t>p=0.045</w:t>
            </w:r>
          </w:p>
        </w:tc>
        <w:tc>
          <w:tcPr>
            <w:tcW w:w="878" w:type="pct"/>
            <w:tcBorders>
              <w:top w:val="single" w:sz="4" w:space="0" w:color="auto"/>
              <w:left w:val="single" w:sz="4" w:space="0" w:color="auto"/>
              <w:bottom w:val="single" w:sz="4" w:space="0" w:color="auto"/>
              <w:right w:val="single" w:sz="4" w:space="0" w:color="auto"/>
            </w:tcBorders>
          </w:tcPr>
          <w:p w14:paraId="1FA47D27"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-.366 (0.059)</w:t>
            </w:r>
          </w:p>
        </w:tc>
        <w:tc>
          <w:tcPr>
            <w:tcW w:w="605" w:type="pct"/>
            <w:tcBorders>
              <w:top w:val="single" w:sz="4" w:space="0" w:color="auto"/>
              <w:left w:val="single" w:sz="4" w:space="0" w:color="auto"/>
              <w:bottom w:val="single" w:sz="4" w:space="0" w:color="auto"/>
              <w:right w:val="single" w:sz="4" w:space="0" w:color="auto"/>
            </w:tcBorders>
          </w:tcPr>
          <w:p w14:paraId="04620EA6"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p=0.584</w:t>
            </w:r>
          </w:p>
        </w:tc>
        <w:tc>
          <w:tcPr>
            <w:tcW w:w="877" w:type="pct"/>
            <w:tcBorders>
              <w:top w:val="single" w:sz="4" w:space="0" w:color="auto"/>
              <w:left w:val="single" w:sz="4" w:space="0" w:color="auto"/>
              <w:bottom w:val="single" w:sz="4" w:space="0" w:color="auto"/>
              <w:right w:val="single" w:sz="4" w:space="0" w:color="auto"/>
            </w:tcBorders>
          </w:tcPr>
          <w:p w14:paraId="40D8A2BD"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-.386 (0.073)</w:t>
            </w:r>
          </w:p>
        </w:tc>
        <w:tc>
          <w:tcPr>
            <w:tcW w:w="716" w:type="pct"/>
            <w:tcBorders>
              <w:top w:val="single" w:sz="4" w:space="0" w:color="auto"/>
              <w:left w:val="single" w:sz="4" w:space="0" w:color="auto"/>
              <w:bottom w:val="single" w:sz="4" w:space="0" w:color="auto"/>
              <w:right w:val="single" w:sz="4" w:space="0" w:color="auto"/>
            </w:tcBorders>
          </w:tcPr>
          <w:p w14:paraId="51E7FB7C" w14:textId="77777777" w:rsidR="003C22CE" w:rsidRPr="007E71DF" w:rsidRDefault="003C22CE" w:rsidP="0025065D">
            <w:pPr>
              <w:rPr>
                <w:rFonts w:ascii="Arial" w:hAnsi="Arial" w:cs="Arial"/>
                <w:color w:val="000000"/>
                <w:sz w:val="20"/>
                <w:szCs w:val="20"/>
              </w:rPr>
            </w:pPr>
            <w:r w:rsidRPr="0063515D">
              <w:rPr>
                <w:rFonts w:ascii="Arial" w:hAnsi="Arial" w:cs="Arial"/>
                <w:color w:val="000000"/>
                <w:sz w:val="20"/>
                <w:szCs w:val="20"/>
              </w:rPr>
              <w:t>p=0.289</w:t>
            </w:r>
          </w:p>
        </w:tc>
      </w:tr>
      <w:tr w:rsidR="003C22CE" w:rsidRPr="00E46127" w14:paraId="373BC417" w14:textId="77777777" w:rsidTr="0025065D">
        <w:tc>
          <w:tcPr>
            <w:tcW w:w="658" w:type="pct"/>
            <w:tcBorders>
              <w:top w:val="single" w:sz="4" w:space="0" w:color="auto"/>
              <w:left w:val="single" w:sz="4" w:space="0" w:color="auto"/>
              <w:bottom w:val="single" w:sz="4" w:space="0" w:color="auto"/>
              <w:right w:val="single" w:sz="4" w:space="0" w:color="auto"/>
            </w:tcBorders>
          </w:tcPr>
          <w:p w14:paraId="78DF5971" w14:textId="77777777" w:rsidR="003C22CE" w:rsidRPr="00E46127" w:rsidRDefault="003C22CE" w:rsidP="0025065D">
            <w:pPr>
              <w:rPr>
                <w:rFonts w:ascii="Arial" w:hAnsi="Arial" w:cs="Arial"/>
                <w:color w:val="000000"/>
                <w:sz w:val="20"/>
                <w:szCs w:val="20"/>
              </w:rPr>
            </w:pPr>
            <w:r w:rsidRPr="00E46127">
              <w:rPr>
                <w:rFonts w:ascii="Arial" w:hAnsi="Arial" w:cs="Arial"/>
                <w:color w:val="000000"/>
                <w:sz w:val="20"/>
                <w:szCs w:val="20"/>
              </w:rPr>
              <w:t>Positive</w:t>
            </w:r>
          </w:p>
        </w:tc>
        <w:tc>
          <w:tcPr>
            <w:tcW w:w="662" w:type="pct"/>
            <w:tcBorders>
              <w:top w:val="single" w:sz="4" w:space="0" w:color="auto"/>
              <w:left w:val="single" w:sz="4" w:space="0" w:color="auto"/>
              <w:bottom w:val="single" w:sz="4" w:space="0" w:color="auto"/>
              <w:right w:val="single" w:sz="4" w:space="0" w:color="auto"/>
            </w:tcBorders>
          </w:tcPr>
          <w:p w14:paraId="2B774E4C" w14:textId="77777777" w:rsidR="003C22CE" w:rsidRPr="006D67FE" w:rsidRDefault="003C22CE" w:rsidP="0025065D">
            <w:pPr>
              <w:rPr>
                <w:rFonts w:ascii="Arial" w:hAnsi="Arial" w:cs="Arial"/>
                <w:b/>
                <w:bCs/>
                <w:color w:val="000000"/>
                <w:sz w:val="20"/>
                <w:szCs w:val="20"/>
              </w:rPr>
            </w:pPr>
            <w:r w:rsidRPr="006D67FE">
              <w:rPr>
                <w:rFonts w:ascii="Arial" w:hAnsi="Arial" w:cs="Arial"/>
                <w:b/>
                <w:bCs/>
                <w:color w:val="000000"/>
                <w:sz w:val="20"/>
                <w:szCs w:val="20"/>
              </w:rPr>
              <w:t>55.1 (1.6)</w:t>
            </w:r>
          </w:p>
        </w:tc>
        <w:tc>
          <w:tcPr>
            <w:tcW w:w="604" w:type="pct"/>
            <w:tcBorders>
              <w:top w:val="single" w:sz="4" w:space="0" w:color="auto"/>
              <w:left w:val="single" w:sz="4" w:space="0" w:color="auto"/>
              <w:bottom w:val="single" w:sz="4" w:space="0" w:color="auto"/>
              <w:right w:val="single" w:sz="4" w:space="0" w:color="auto"/>
            </w:tcBorders>
          </w:tcPr>
          <w:p w14:paraId="1B037208" w14:textId="77777777" w:rsidR="003C22CE" w:rsidRPr="006D67FE" w:rsidRDefault="003C22CE" w:rsidP="0025065D">
            <w:pPr>
              <w:rPr>
                <w:rFonts w:ascii="Arial" w:hAnsi="Arial" w:cs="Arial"/>
                <w:b/>
                <w:bCs/>
                <w:color w:val="000000"/>
                <w:sz w:val="20"/>
                <w:szCs w:val="20"/>
              </w:rPr>
            </w:pPr>
          </w:p>
        </w:tc>
        <w:tc>
          <w:tcPr>
            <w:tcW w:w="878" w:type="pct"/>
            <w:tcBorders>
              <w:top w:val="single" w:sz="4" w:space="0" w:color="auto"/>
              <w:left w:val="single" w:sz="4" w:space="0" w:color="auto"/>
              <w:bottom w:val="single" w:sz="4" w:space="0" w:color="auto"/>
              <w:right w:val="single" w:sz="4" w:space="0" w:color="auto"/>
            </w:tcBorders>
          </w:tcPr>
          <w:p w14:paraId="6E3A6E20"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-.320 (0.093)</w:t>
            </w:r>
          </w:p>
        </w:tc>
        <w:tc>
          <w:tcPr>
            <w:tcW w:w="605" w:type="pct"/>
            <w:tcBorders>
              <w:top w:val="single" w:sz="4" w:space="0" w:color="auto"/>
              <w:left w:val="single" w:sz="4" w:space="0" w:color="auto"/>
              <w:bottom w:val="single" w:sz="4" w:space="0" w:color="auto"/>
              <w:right w:val="single" w:sz="4" w:space="0" w:color="auto"/>
            </w:tcBorders>
          </w:tcPr>
          <w:p w14:paraId="529FBDEE" w14:textId="77777777" w:rsidR="003C22CE" w:rsidRPr="00E46127" w:rsidRDefault="003C22CE" w:rsidP="0025065D">
            <w:pPr>
              <w:rPr>
                <w:rFonts w:ascii="Arial" w:hAnsi="Arial" w:cs="Arial"/>
                <w:color w:val="000000"/>
                <w:sz w:val="20"/>
                <w:szCs w:val="20"/>
              </w:rPr>
            </w:pPr>
          </w:p>
        </w:tc>
        <w:tc>
          <w:tcPr>
            <w:tcW w:w="877" w:type="pct"/>
            <w:tcBorders>
              <w:top w:val="single" w:sz="4" w:space="0" w:color="auto"/>
              <w:left w:val="single" w:sz="4" w:space="0" w:color="auto"/>
              <w:bottom w:val="single" w:sz="4" w:space="0" w:color="auto"/>
              <w:right w:val="single" w:sz="4" w:space="0" w:color="auto"/>
            </w:tcBorders>
          </w:tcPr>
          <w:p w14:paraId="55463A7D"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-.499 (0.116)</w:t>
            </w:r>
          </w:p>
        </w:tc>
        <w:tc>
          <w:tcPr>
            <w:tcW w:w="716" w:type="pct"/>
            <w:tcBorders>
              <w:top w:val="single" w:sz="4" w:space="0" w:color="auto"/>
              <w:left w:val="single" w:sz="4" w:space="0" w:color="auto"/>
              <w:bottom w:val="single" w:sz="4" w:space="0" w:color="auto"/>
              <w:right w:val="single" w:sz="4" w:space="0" w:color="auto"/>
            </w:tcBorders>
          </w:tcPr>
          <w:p w14:paraId="023E9DE3" w14:textId="77777777" w:rsidR="003C22CE" w:rsidRPr="007E71DF" w:rsidRDefault="003C22CE" w:rsidP="0025065D">
            <w:pPr>
              <w:rPr>
                <w:rFonts w:ascii="Arial" w:hAnsi="Arial" w:cs="Arial"/>
                <w:color w:val="000000"/>
                <w:sz w:val="20"/>
                <w:szCs w:val="20"/>
              </w:rPr>
            </w:pPr>
          </w:p>
        </w:tc>
      </w:tr>
      <w:tr w:rsidR="003C22CE" w:rsidRPr="00E46127" w14:paraId="118D6D83" w14:textId="77777777" w:rsidTr="0025065D">
        <w:tc>
          <w:tcPr>
            <w:tcW w:w="5000" w:type="pct"/>
            <w:gridSpan w:val="7"/>
            <w:tcBorders>
              <w:top w:val="single" w:sz="4" w:space="0" w:color="auto"/>
              <w:left w:val="single" w:sz="4" w:space="0" w:color="auto"/>
              <w:bottom w:val="single" w:sz="4" w:space="0" w:color="auto"/>
              <w:right w:val="single" w:sz="4" w:space="0" w:color="auto"/>
            </w:tcBorders>
          </w:tcPr>
          <w:p w14:paraId="0ADE69CC" w14:textId="77777777" w:rsidR="003C22CE" w:rsidRPr="007E71DF" w:rsidRDefault="003C22CE" w:rsidP="0025065D">
            <w:pPr>
              <w:rPr>
                <w:rFonts w:ascii="Arial" w:hAnsi="Arial" w:cs="Arial"/>
                <w:color w:val="000000"/>
                <w:sz w:val="20"/>
                <w:szCs w:val="20"/>
              </w:rPr>
            </w:pPr>
            <w:r w:rsidRPr="00E46127">
              <w:rPr>
                <w:rFonts w:ascii="Arial" w:hAnsi="Arial" w:cs="Arial"/>
                <w:color w:val="000000"/>
                <w:sz w:val="20"/>
                <w:szCs w:val="20"/>
              </w:rPr>
              <w:t>Tumor size</w:t>
            </w:r>
          </w:p>
        </w:tc>
      </w:tr>
      <w:tr w:rsidR="003C22CE" w:rsidRPr="00E46127" w14:paraId="38365EF4" w14:textId="77777777" w:rsidTr="0025065D">
        <w:tc>
          <w:tcPr>
            <w:tcW w:w="658" w:type="pct"/>
            <w:tcBorders>
              <w:top w:val="single" w:sz="4" w:space="0" w:color="auto"/>
              <w:left w:val="single" w:sz="4" w:space="0" w:color="auto"/>
              <w:bottom w:val="single" w:sz="4" w:space="0" w:color="auto"/>
              <w:right w:val="single" w:sz="4" w:space="0" w:color="auto"/>
            </w:tcBorders>
          </w:tcPr>
          <w:p w14:paraId="79AEE91E" w14:textId="77777777" w:rsidR="003C22CE" w:rsidRPr="00E46127" w:rsidRDefault="003C22CE" w:rsidP="0025065D">
            <w:pPr>
              <w:rPr>
                <w:rFonts w:ascii="Arial" w:hAnsi="Arial" w:cs="Arial"/>
                <w:color w:val="000000"/>
                <w:sz w:val="20"/>
                <w:szCs w:val="20"/>
              </w:rPr>
            </w:pPr>
            <w:r w:rsidRPr="00E46127">
              <w:rPr>
                <w:rFonts w:ascii="Arial" w:hAnsi="Arial" w:cs="Arial"/>
                <w:color w:val="000000"/>
                <w:sz w:val="20"/>
                <w:szCs w:val="20"/>
              </w:rPr>
              <w:t>&lt;2 cm</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6321C62" w14:textId="77777777" w:rsidR="003C22CE" w:rsidRPr="006D67FE" w:rsidRDefault="003C22CE" w:rsidP="0025065D">
            <w:pPr>
              <w:rPr>
                <w:rFonts w:ascii="Arial" w:hAnsi="Arial" w:cs="Arial"/>
                <w:b/>
                <w:bCs/>
                <w:color w:val="000000"/>
                <w:sz w:val="20"/>
                <w:szCs w:val="20"/>
              </w:rPr>
            </w:pPr>
            <w:r w:rsidRPr="006D67FE">
              <w:rPr>
                <w:rFonts w:ascii="Arial" w:hAnsi="Arial" w:cs="Arial"/>
                <w:b/>
                <w:bCs/>
                <w:color w:val="000000"/>
                <w:sz w:val="20"/>
                <w:szCs w:val="20"/>
              </w:rPr>
              <w:t>57.7 (1.0)</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0B77B871" w14:textId="77777777" w:rsidR="003C22CE" w:rsidRPr="006D67FE" w:rsidRDefault="003C22CE" w:rsidP="0025065D">
            <w:pPr>
              <w:rPr>
                <w:rFonts w:ascii="Arial" w:hAnsi="Arial" w:cs="Arial"/>
                <w:b/>
                <w:bCs/>
                <w:color w:val="000000"/>
                <w:sz w:val="20"/>
                <w:szCs w:val="20"/>
              </w:rPr>
            </w:pPr>
            <w:r w:rsidRPr="006D67FE">
              <w:rPr>
                <w:rFonts w:ascii="Arial" w:hAnsi="Arial" w:cs="Arial"/>
                <w:b/>
                <w:bCs/>
                <w:color w:val="000000"/>
                <w:sz w:val="20"/>
                <w:szCs w:val="20"/>
              </w:rPr>
              <w:t>p=0.025</w:t>
            </w: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0AEB7C8E"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-.321 (0.058)</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715FB3A"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p=0.102</w:t>
            </w:r>
          </w:p>
        </w:tc>
        <w:tc>
          <w:tcPr>
            <w:tcW w:w="877" w:type="pct"/>
            <w:tcBorders>
              <w:top w:val="single" w:sz="4" w:space="0" w:color="auto"/>
              <w:left w:val="single" w:sz="4" w:space="0" w:color="auto"/>
              <w:bottom w:val="single" w:sz="4" w:space="0" w:color="auto"/>
              <w:right w:val="single" w:sz="4" w:space="0" w:color="auto"/>
            </w:tcBorders>
          </w:tcPr>
          <w:p w14:paraId="715396EA"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-.387 (0.073)</w:t>
            </w:r>
          </w:p>
        </w:tc>
        <w:tc>
          <w:tcPr>
            <w:tcW w:w="716" w:type="pct"/>
            <w:tcBorders>
              <w:top w:val="single" w:sz="4" w:space="0" w:color="auto"/>
              <w:left w:val="single" w:sz="4" w:space="0" w:color="auto"/>
              <w:bottom w:val="single" w:sz="4" w:space="0" w:color="auto"/>
              <w:right w:val="single" w:sz="4" w:space="0" w:color="auto"/>
            </w:tcBorders>
          </w:tcPr>
          <w:p w14:paraId="2ED18DB7" w14:textId="77777777" w:rsidR="003C22CE" w:rsidRPr="007E71DF" w:rsidRDefault="003C22CE" w:rsidP="0025065D">
            <w:pPr>
              <w:rPr>
                <w:rFonts w:ascii="Arial" w:hAnsi="Arial" w:cs="Arial"/>
                <w:color w:val="000000"/>
                <w:sz w:val="20"/>
                <w:szCs w:val="20"/>
              </w:rPr>
            </w:pPr>
            <w:r w:rsidRPr="0063515D">
              <w:rPr>
                <w:rFonts w:ascii="Arial" w:hAnsi="Arial" w:cs="Arial"/>
                <w:color w:val="000000"/>
                <w:sz w:val="20"/>
                <w:szCs w:val="20"/>
              </w:rPr>
              <w:t>p=0.277</w:t>
            </w:r>
          </w:p>
        </w:tc>
      </w:tr>
      <w:tr w:rsidR="003C22CE" w:rsidRPr="00E46127" w14:paraId="587C3E55" w14:textId="77777777" w:rsidTr="0025065D">
        <w:tc>
          <w:tcPr>
            <w:tcW w:w="658" w:type="pct"/>
            <w:tcBorders>
              <w:top w:val="single" w:sz="4" w:space="0" w:color="auto"/>
              <w:left w:val="single" w:sz="4" w:space="0" w:color="auto"/>
              <w:bottom w:val="single" w:sz="4" w:space="0" w:color="auto"/>
              <w:right w:val="single" w:sz="4" w:space="0" w:color="auto"/>
            </w:tcBorders>
          </w:tcPr>
          <w:p w14:paraId="18E57655" w14:textId="77777777" w:rsidR="003C22CE" w:rsidRPr="00E46127" w:rsidRDefault="003C22CE" w:rsidP="0025065D">
            <w:pPr>
              <w:rPr>
                <w:rFonts w:ascii="Arial" w:hAnsi="Arial" w:cs="Arial"/>
                <w:color w:val="000000"/>
                <w:sz w:val="20"/>
                <w:szCs w:val="20"/>
              </w:rPr>
            </w:pPr>
            <w:r w:rsidRPr="00E46127">
              <w:rPr>
                <w:rFonts w:ascii="Arial" w:hAnsi="Arial" w:cs="Arial"/>
                <w:color w:val="000000"/>
                <w:sz w:val="20"/>
                <w:szCs w:val="20"/>
              </w:rPr>
              <w:t>2+ cm</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5F95D7E" w14:textId="77777777" w:rsidR="003C22CE" w:rsidRPr="006D67FE" w:rsidRDefault="003C22CE" w:rsidP="0025065D">
            <w:pPr>
              <w:rPr>
                <w:rFonts w:ascii="Arial" w:hAnsi="Arial" w:cs="Arial"/>
                <w:b/>
                <w:bCs/>
                <w:color w:val="000000"/>
                <w:sz w:val="20"/>
                <w:szCs w:val="20"/>
              </w:rPr>
            </w:pPr>
            <w:r w:rsidRPr="006D67FE">
              <w:rPr>
                <w:rFonts w:ascii="Arial" w:hAnsi="Arial" w:cs="Arial"/>
                <w:b/>
                <w:bCs/>
                <w:color w:val="000000"/>
                <w:sz w:val="20"/>
                <w:szCs w:val="20"/>
              </w:rPr>
              <w:t>55.6 (1.1)</w:t>
            </w:r>
          </w:p>
        </w:tc>
        <w:tc>
          <w:tcPr>
            <w:tcW w:w="604" w:type="pct"/>
            <w:tcBorders>
              <w:top w:val="single" w:sz="4" w:space="0" w:color="auto"/>
              <w:left w:val="single" w:sz="4" w:space="0" w:color="auto"/>
              <w:bottom w:val="single" w:sz="4" w:space="0" w:color="auto"/>
              <w:right w:val="single" w:sz="4" w:space="0" w:color="auto"/>
            </w:tcBorders>
            <w:shd w:val="clear" w:color="auto" w:fill="auto"/>
          </w:tcPr>
          <w:p w14:paraId="3A84709B" w14:textId="77777777" w:rsidR="003C22CE" w:rsidRPr="006D67FE" w:rsidRDefault="003C22CE" w:rsidP="0025065D">
            <w:pPr>
              <w:rPr>
                <w:rFonts w:ascii="Arial" w:hAnsi="Arial" w:cs="Arial"/>
                <w:b/>
                <w:bCs/>
                <w:color w:val="000000"/>
                <w:sz w:val="20"/>
                <w:szCs w:val="20"/>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05E0CF3E"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-.409 (0.066)</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C7B2457" w14:textId="77777777" w:rsidR="003C22CE" w:rsidRPr="00E46127" w:rsidRDefault="003C22CE" w:rsidP="0025065D">
            <w:pPr>
              <w:rPr>
                <w:rFonts w:ascii="Arial" w:hAnsi="Arial" w:cs="Arial"/>
                <w:color w:val="000000"/>
                <w:sz w:val="20"/>
                <w:szCs w:val="20"/>
              </w:rPr>
            </w:pPr>
          </w:p>
        </w:tc>
        <w:tc>
          <w:tcPr>
            <w:tcW w:w="877" w:type="pct"/>
            <w:tcBorders>
              <w:top w:val="single" w:sz="4" w:space="0" w:color="auto"/>
              <w:left w:val="single" w:sz="4" w:space="0" w:color="auto"/>
              <w:bottom w:val="single" w:sz="4" w:space="0" w:color="auto"/>
              <w:right w:val="single" w:sz="4" w:space="0" w:color="auto"/>
            </w:tcBorders>
          </w:tcPr>
          <w:p w14:paraId="3B2DD487" w14:textId="77777777" w:rsidR="003C22CE" w:rsidRPr="00E46127" w:rsidRDefault="003C22CE" w:rsidP="0025065D">
            <w:pPr>
              <w:rPr>
                <w:rFonts w:ascii="Arial" w:hAnsi="Arial" w:cs="Arial"/>
                <w:color w:val="000000"/>
                <w:sz w:val="20"/>
                <w:szCs w:val="20"/>
              </w:rPr>
            </w:pPr>
            <w:r w:rsidRPr="0063515D">
              <w:rPr>
                <w:rFonts w:ascii="Arial" w:hAnsi="Arial" w:cs="Arial"/>
                <w:color w:val="000000"/>
                <w:sz w:val="20"/>
                <w:szCs w:val="20"/>
              </w:rPr>
              <w:t>-.313 (0.083)</w:t>
            </w:r>
          </w:p>
        </w:tc>
        <w:tc>
          <w:tcPr>
            <w:tcW w:w="716" w:type="pct"/>
            <w:tcBorders>
              <w:top w:val="single" w:sz="4" w:space="0" w:color="auto"/>
              <w:left w:val="single" w:sz="4" w:space="0" w:color="auto"/>
              <w:bottom w:val="single" w:sz="4" w:space="0" w:color="auto"/>
              <w:right w:val="single" w:sz="4" w:space="0" w:color="auto"/>
            </w:tcBorders>
          </w:tcPr>
          <w:p w14:paraId="683F1E5A" w14:textId="77777777" w:rsidR="003C22CE" w:rsidRPr="007E71DF" w:rsidRDefault="003C22CE" w:rsidP="0025065D">
            <w:pPr>
              <w:rPr>
                <w:rFonts w:ascii="Arial" w:hAnsi="Arial" w:cs="Arial"/>
                <w:color w:val="000000"/>
                <w:sz w:val="20"/>
                <w:szCs w:val="20"/>
              </w:rPr>
            </w:pPr>
          </w:p>
        </w:tc>
      </w:tr>
    </w:tbl>
    <w:p w14:paraId="31702257" w14:textId="77777777" w:rsidR="003C22CE" w:rsidRPr="007C2666" w:rsidRDefault="003C22CE" w:rsidP="003C22CE">
      <w:pPr>
        <w:rPr>
          <w:rFonts w:ascii="Arial" w:hAnsi="Arial" w:cs="Arial"/>
          <w:bCs/>
          <w:color w:val="000000"/>
          <w:sz w:val="16"/>
          <w:szCs w:val="16"/>
        </w:rPr>
      </w:pPr>
      <w:r w:rsidRPr="007C2666">
        <w:rPr>
          <w:rFonts w:ascii="Arial" w:hAnsi="Arial" w:cs="Arial"/>
          <w:bCs/>
          <w:color w:val="000000"/>
          <w:sz w:val="16"/>
          <w:szCs w:val="16"/>
        </w:rPr>
        <w:t xml:space="preserve">1. Unadjusted scores for each individual categorical tumor characteristic were calculated from simple linear regression models, with significance testing based on Type III tests. Adjusted cognitive scores for each individual categorical tumor characteristic were controlled for age, race, and recruitment site from linear regression models. </w:t>
      </w:r>
    </w:p>
    <w:p w14:paraId="35E226D1" w14:textId="77777777" w:rsidR="003C22CE" w:rsidRDefault="003C22CE" w:rsidP="003C22CE">
      <w:pPr>
        <w:rPr>
          <w:rFonts w:ascii="Arial" w:hAnsi="Arial" w:cs="Arial"/>
          <w:bCs/>
          <w:color w:val="000000"/>
          <w:sz w:val="16"/>
          <w:szCs w:val="16"/>
        </w:rPr>
      </w:pPr>
      <w:r>
        <w:rPr>
          <w:rFonts w:ascii="Arial" w:hAnsi="Arial" w:cs="Arial"/>
          <w:bCs/>
          <w:color w:val="000000"/>
          <w:sz w:val="16"/>
          <w:szCs w:val="16"/>
        </w:rPr>
        <w:t xml:space="preserve">2. </w:t>
      </w:r>
      <w:r w:rsidRPr="007C2666">
        <w:rPr>
          <w:rFonts w:ascii="Arial" w:hAnsi="Arial" w:cs="Arial"/>
          <w:bCs/>
          <w:color w:val="000000"/>
          <w:sz w:val="16"/>
          <w:szCs w:val="16"/>
        </w:rPr>
        <w:t>Scores on the State-Trait Anxiety Inventory range from 20 to 80, with higher scores reflecting more anxiety</w:t>
      </w:r>
      <w:r>
        <w:rPr>
          <w:rFonts w:ascii="Arial" w:hAnsi="Arial" w:cs="Arial"/>
          <w:bCs/>
          <w:color w:val="000000"/>
          <w:sz w:val="16"/>
          <w:szCs w:val="16"/>
        </w:rPr>
        <w:t>;</w:t>
      </w:r>
      <w:r w:rsidRPr="008E402F">
        <w:rPr>
          <w:rFonts w:ascii="Arial" w:hAnsi="Arial" w:cs="Arial"/>
          <w:bCs/>
          <w:color w:val="000000"/>
          <w:sz w:val="16"/>
          <w:szCs w:val="16"/>
        </w:rPr>
        <w:t xml:space="preserve"> </w:t>
      </w:r>
      <w:r>
        <w:rPr>
          <w:rFonts w:ascii="Arial" w:hAnsi="Arial" w:cs="Arial"/>
          <w:bCs/>
          <w:color w:val="000000"/>
          <w:sz w:val="16"/>
          <w:szCs w:val="16"/>
        </w:rPr>
        <w:t>a cut point of &gt;44 is used to define clinical anxiety.</w:t>
      </w:r>
    </w:p>
    <w:p w14:paraId="3FF7F725" w14:textId="77777777" w:rsidR="003C22CE" w:rsidRDefault="003C22CE" w:rsidP="003C22CE">
      <w:pPr>
        <w:rPr>
          <w:rFonts w:ascii="Arial" w:hAnsi="Arial" w:cs="Arial"/>
          <w:bCs/>
          <w:color w:val="000000"/>
          <w:sz w:val="16"/>
          <w:szCs w:val="16"/>
        </w:rPr>
      </w:pPr>
      <w:r>
        <w:rPr>
          <w:rFonts w:ascii="Arial" w:hAnsi="Arial" w:cs="Arial"/>
          <w:bCs/>
          <w:color w:val="000000"/>
          <w:sz w:val="16"/>
          <w:szCs w:val="16"/>
        </w:rPr>
        <w:t>3</w:t>
      </w:r>
      <w:r w:rsidRPr="007C2666">
        <w:rPr>
          <w:rFonts w:ascii="Arial" w:hAnsi="Arial" w:cs="Arial"/>
          <w:bCs/>
          <w:color w:val="000000"/>
          <w:sz w:val="16"/>
          <w:szCs w:val="16"/>
        </w:rPr>
        <w:t>. Scores on the FACT-</w:t>
      </w:r>
      <w:r>
        <w:rPr>
          <w:rFonts w:ascii="Arial" w:hAnsi="Arial" w:cs="Arial"/>
          <w:bCs/>
          <w:color w:val="000000"/>
          <w:sz w:val="16"/>
          <w:szCs w:val="16"/>
        </w:rPr>
        <w:t>C</w:t>
      </w:r>
      <w:r w:rsidRPr="007C2666">
        <w:rPr>
          <w:rFonts w:ascii="Arial" w:hAnsi="Arial" w:cs="Arial"/>
          <w:bCs/>
          <w:color w:val="000000"/>
          <w:sz w:val="16"/>
          <w:szCs w:val="16"/>
        </w:rPr>
        <w:t>og perceived cognitive impairment scale range from 0-72, with higher scores represent better cognitive function</w:t>
      </w:r>
      <w:r>
        <w:rPr>
          <w:rFonts w:ascii="Arial" w:hAnsi="Arial" w:cs="Arial"/>
          <w:bCs/>
          <w:color w:val="000000"/>
          <w:sz w:val="16"/>
          <w:szCs w:val="16"/>
        </w:rPr>
        <w:t>. This is our primary outcome.</w:t>
      </w:r>
    </w:p>
    <w:p w14:paraId="26D10A67" w14:textId="77777777" w:rsidR="003C22CE" w:rsidRPr="007C2666" w:rsidRDefault="003C22CE" w:rsidP="003C22CE">
      <w:pPr>
        <w:rPr>
          <w:rFonts w:ascii="Arial" w:hAnsi="Arial" w:cs="Arial"/>
          <w:bCs/>
          <w:color w:val="000000"/>
          <w:sz w:val="16"/>
          <w:szCs w:val="16"/>
        </w:rPr>
      </w:pPr>
      <w:r>
        <w:rPr>
          <w:rFonts w:ascii="Arial" w:hAnsi="Arial" w:cs="Arial"/>
          <w:bCs/>
          <w:color w:val="000000"/>
          <w:sz w:val="16"/>
          <w:szCs w:val="16"/>
        </w:rPr>
        <w:t xml:space="preserve">4. </w:t>
      </w:r>
      <w:r w:rsidRPr="007C2666">
        <w:rPr>
          <w:rFonts w:ascii="Arial" w:hAnsi="Arial" w:cs="Arial"/>
          <w:bCs/>
          <w:color w:val="000000"/>
          <w:sz w:val="16"/>
          <w:szCs w:val="16"/>
        </w:rPr>
        <w:t xml:space="preserve">Z-scores for neurological tests within each domain range from -3 to +3, with a mean of 0. A positive score indicates better cognitive </w:t>
      </w:r>
      <w:proofErr w:type="gramStart"/>
      <w:r w:rsidRPr="007C2666">
        <w:rPr>
          <w:rFonts w:ascii="Arial" w:hAnsi="Arial" w:cs="Arial"/>
          <w:bCs/>
          <w:color w:val="000000"/>
          <w:sz w:val="16"/>
          <w:szCs w:val="16"/>
        </w:rPr>
        <w:t>performance</w:t>
      </w:r>
      <w:proofErr w:type="gramEnd"/>
      <w:r w:rsidRPr="007C2666">
        <w:rPr>
          <w:rFonts w:ascii="Arial" w:hAnsi="Arial" w:cs="Arial"/>
          <w:bCs/>
          <w:color w:val="000000"/>
          <w:sz w:val="16"/>
          <w:szCs w:val="16"/>
        </w:rPr>
        <w:t xml:space="preserve"> and a negative score reflects worse than average scores.</w:t>
      </w:r>
    </w:p>
    <w:p w14:paraId="3C88E197" w14:textId="77777777" w:rsidR="003C22CE" w:rsidRPr="00430ADB" w:rsidRDefault="003C22CE" w:rsidP="003C22CE">
      <w:pPr>
        <w:rPr>
          <w:rFonts w:ascii="Arial" w:hAnsi="Arial" w:cs="Arial"/>
          <w:color w:val="000000"/>
          <w:sz w:val="22"/>
          <w:szCs w:val="22"/>
        </w:rPr>
      </w:pPr>
      <w:r>
        <w:rPr>
          <w:rFonts w:ascii="Arial" w:hAnsi="Arial" w:cs="Arial"/>
          <w:bCs/>
          <w:color w:val="000000"/>
          <w:sz w:val="16"/>
          <w:szCs w:val="16"/>
        </w:rPr>
        <w:t>5</w:t>
      </w:r>
      <w:r w:rsidRPr="007C2666">
        <w:rPr>
          <w:rFonts w:ascii="Arial" w:hAnsi="Arial" w:cs="Arial"/>
          <w:bCs/>
          <w:color w:val="000000"/>
          <w:sz w:val="16"/>
          <w:szCs w:val="16"/>
        </w:rPr>
        <w:t>. HER2 positivity was defined as scoring 3+ on HER2 IHC, or tested positive on HER2 FISH, or receiving Herceptin treatment.</w:t>
      </w:r>
    </w:p>
    <w:p w14:paraId="6A434554" w14:textId="77777777" w:rsidR="003C22CE" w:rsidRPr="0063515D" w:rsidRDefault="003C22CE" w:rsidP="003C22CE">
      <w:pPr>
        <w:rPr>
          <w:rFonts w:ascii="Arial" w:hAnsi="Arial" w:cs="Arial"/>
          <w:bCs/>
          <w:color w:val="000000"/>
          <w:sz w:val="16"/>
          <w:szCs w:val="16"/>
        </w:rPr>
      </w:pPr>
    </w:p>
    <w:p w14:paraId="31C7A1CD" w14:textId="77777777" w:rsidR="003C22CE" w:rsidRPr="00430ADB" w:rsidRDefault="003C22CE" w:rsidP="003C22CE">
      <w:pPr>
        <w:rPr>
          <w:rFonts w:ascii="Arial" w:hAnsi="Arial" w:cs="Arial"/>
          <w:color w:val="000000"/>
          <w:sz w:val="22"/>
          <w:szCs w:val="22"/>
        </w:rPr>
      </w:pPr>
    </w:p>
    <w:p w14:paraId="63C0C3D6" w14:textId="77777777" w:rsidR="007A38B2" w:rsidRDefault="003C22CE"/>
    <w:sectPr w:rsidR="007A38B2" w:rsidSect="00E73740">
      <w:headerReference w:type="default" r:id="rId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F9BB" w14:textId="77777777" w:rsidR="0019732B" w:rsidRPr="00045353" w:rsidRDefault="003C22CE" w:rsidP="00F7577D">
    <w:pPr>
      <w:pStyle w:val="Header"/>
      <w:jc w:val="right"/>
      <w:rPr>
        <w:rFonts w:ascii="Arial" w:hAnsi="Arial" w:cs="Arial"/>
        <w:sz w:val="18"/>
        <w:szCs w:val="18"/>
      </w:rPr>
    </w:pPr>
    <w:r w:rsidRPr="00045353">
      <w:rPr>
        <w:rFonts w:ascii="Arial" w:hAnsi="Arial" w:cs="Arial"/>
        <w:sz w:val="18"/>
        <w:szCs w:val="18"/>
      </w:rPr>
      <w:fldChar w:fldCharType="begin"/>
    </w:r>
    <w:r w:rsidRPr="00045353">
      <w:rPr>
        <w:rFonts w:ascii="Arial" w:hAnsi="Arial" w:cs="Arial"/>
        <w:sz w:val="18"/>
        <w:szCs w:val="18"/>
      </w:rPr>
      <w:instrText xml:space="preserve"> PAGE   \* MERGEFORMAT </w:instrText>
    </w:r>
    <w:r w:rsidRPr="00045353">
      <w:rPr>
        <w:rFonts w:ascii="Arial" w:hAnsi="Arial" w:cs="Arial"/>
        <w:sz w:val="18"/>
        <w:szCs w:val="18"/>
      </w:rPr>
      <w:fldChar w:fldCharType="separate"/>
    </w:r>
    <w:r>
      <w:rPr>
        <w:rFonts w:ascii="Arial" w:hAnsi="Arial" w:cs="Arial"/>
        <w:noProof/>
        <w:sz w:val="18"/>
        <w:szCs w:val="18"/>
      </w:rPr>
      <w:t>25</w:t>
    </w:r>
    <w:r w:rsidRPr="00045353">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822D" w14:textId="77777777" w:rsidR="0019732B" w:rsidRPr="00045353" w:rsidRDefault="003C22CE" w:rsidP="00F7577D">
    <w:pPr>
      <w:pStyle w:val="Header"/>
      <w:jc w:val="right"/>
      <w:rPr>
        <w:rFonts w:ascii="Arial" w:hAnsi="Arial" w:cs="Arial"/>
        <w:sz w:val="18"/>
        <w:szCs w:val="18"/>
      </w:rPr>
    </w:pPr>
    <w:r w:rsidRPr="00045353">
      <w:rPr>
        <w:rFonts w:ascii="Arial" w:hAnsi="Arial" w:cs="Arial"/>
        <w:sz w:val="18"/>
        <w:szCs w:val="18"/>
      </w:rPr>
      <w:fldChar w:fldCharType="begin"/>
    </w:r>
    <w:r w:rsidRPr="00045353">
      <w:rPr>
        <w:rFonts w:ascii="Arial" w:hAnsi="Arial" w:cs="Arial"/>
        <w:sz w:val="18"/>
        <w:szCs w:val="18"/>
      </w:rPr>
      <w:instrText xml:space="preserve"> PAG</w:instrText>
    </w:r>
    <w:r w:rsidRPr="00045353">
      <w:rPr>
        <w:rFonts w:ascii="Arial" w:hAnsi="Arial" w:cs="Arial"/>
        <w:sz w:val="18"/>
        <w:szCs w:val="18"/>
      </w:rPr>
      <w:instrText xml:space="preserve">E   \* MERGEFORMAT </w:instrText>
    </w:r>
    <w:r w:rsidRPr="00045353">
      <w:rPr>
        <w:rFonts w:ascii="Arial" w:hAnsi="Arial" w:cs="Arial"/>
        <w:sz w:val="18"/>
        <w:szCs w:val="18"/>
      </w:rPr>
      <w:fldChar w:fldCharType="separate"/>
    </w:r>
    <w:r>
      <w:rPr>
        <w:rFonts w:ascii="Arial" w:hAnsi="Arial" w:cs="Arial"/>
        <w:noProof/>
        <w:sz w:val="18"/>
        <w:szCs w:val="18"/>
      </w:rPr>
      <w:t>26</w:t>
    </w:r>
    <w:r w:rsidRPr="00045353">
      <w:rPr>
        <w:rFonts w:ascii="Arial" w:hAnsi="Arial" w:cs="Arial"/>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CE"/>
    <w:rsid w:val="00001DC4"/>
    <w:rsid w:val="00005719"/>
    <w:rsid w:val="00012D55"/>
    <w:rsid w:val="00017F20"/>
    <w:rsid w:val="00017F4D"/>
    <w:rsid w:val="00020F4C"/>
    <w:rsid w:val="000213EA"/>
    <w:rsid w:val="000242A3"/>
    <w:rsid w:val="00031CDE"/>
    <w:rsid w:val="00051EBE"/>
    <w:rsid w:val="00051F12"/>
    <w:rsid w:val="0005549F"/>
    <w:rsid w:val="000568EA"/>
    <w:rsid w:val="00067A99"/>
    <w:rsid w:val="00076B5B"/>
    <w:rsid w:val="000975B2"/>
    <w:rsid w:val="00097DB0"/>
    <w:rsid w:val="000B250E"/>
    <w:rsid w:val="000B4D5E"/>
    <w:rsid w:val="000B57FF"/>
    <w:rsid w:val="000B5807"/>
    <w:rsid w:val="000B59FF"/>
    <w:rsid w:val="000B64CB"/>
    <w:rsid w:val="000C2F95"/>
    <w:rsid w:val="000D2484"/>
    <w:rsid w:val="000E0F79"/>
    <w:rsid w:val="000E466F"/>
    <w:rsid w:val="000E4A01"/>
    <w:rsid w:val="000E6985"/>
    <w:rsid w:val="000E6F08"/>
    <w:rsid w:val="00100493"/>
    <w:rsid w:val="0010564E"/>
    <w:rsid w:val="00105C4B"/>
    <w:rsid w:val="00107ECD"/>
    <w:rsid w:val="00110850"/>
    <w:rsid w:val="0012077E"/>
    <w:rsid w:val="001271DA"/>
    <w:rsid w:val="001403BB"/>
    <w:rsid w:val="00141E63"/>
    <w:rsid w:val="00147A46"/>
    <w:rsid w:val="001506AB"/>
    <w:rsid w:val="00155E33"/>
    <w:rsid w:val="001612DE"/>
    <w:rsid w:val="001638C5"/>
    <w:rsid w:val="00165F83"/>
    <w:rsid w:val="001708F2"/>
    <w:rsid w:val="00170913"/>
    <w:rsid w:val="001757CA"/>
    <w:rsid w:val="00181B04"/>
    <w:rsid w:val="001A78A1"/>
    <w:rsid w:val="001C375C"/>
    <w:rsid w:val="001C5128"/>
    <w:rsid w:val="001C6592"/>
    <w:rsid w:val="001C7514"/>
    <w:rsid w:val="001D1702"/>
    <w:rsid w:val="001D6F63"/>
    <w:rsid w:val="002007D3"/>
    <w:rsid w:val="00202D01"/>
    <w:rsid w:val="002147FB"/>
    <w:rsid w:val="00226B57"/>
    <w:rsid w:val="00227649"/>
    <w:rsid w:val="0023029D"/>
    <w:rsid w:val="00236CBC"/>
    <w:rsid w:val="0026428F"/>
    <w:rsid w:val="00276986"/>
    <w:rsid w:val="00282001"/>
    <w:rsid w:val="00285717"/>
    <w:rsid w:val="00291975"/>
    <w:rsid w:val="00296E32"/>
    <w:rsid w:val="002A564B"/>
    <w:rsid w:val="002B5B3E"/>
    <w:rsid w:val="002B5C8B"/>
    <w:rsid w:val="002C0211"/>
    <w:rsid w:val="002D0F51"/>
    <w:rsid w:val="002D40ED"/>
    <w:rsid w:val="002D5626"/>
    <w:rsid w:val="002D6320"/>
    <w:rsid w:val="002E0BC9"/>
    <w:rsid w:val="002E50F3"/>
    <w:rsid w:val="00305E9F"/>
    <w:rsid w:val="00315CDA"/>
    <w:rsid w:val="00316CC9"/>
    <w:rsid w:val="003311D3"/>
    <w:rsid w:val="00337757"/>
    <w:rsid w:val="00340672"/>
    <w:rsid w:val="0034200A"/>
    <w:rsid w:val="0034228A"/>
    <w:rsid w:val="00347740"/>
    <w:rsid w:val="003520BD"/>
    <w:rsid w:val="00352134"/>
    <w:rsid w:val="00356DC0"/>
    <w:rsid w:val="00361776"/>
    <w:rsid w:val="00364136"/>
    <w:rsid w:val="00367620"/>
    <w:rsid w:val="00370A03"/>
    <w:rsid w:val="00373429"/>
    <w:rsid w:val="00376993"/>
    <w:rsid w:val="00377668"/>
    <w:rsid w:val="003827C7"/>
    <w:rsid w:val="003854D1"/>
    <w:rsid w:val="00385D9D"/>
    <w:rsid w:val="003872DD"/>
    <w:rsid w:val="003976AF"/>
    <w:rsid w:val="003978DB"/>
    <w:rsid w:val="003A07CA"/>
    <w:rsid w:val="003A3D6D"/>
    <w:rsid w:val="003C0221"/>
    <w:rsid w:val="003C22CE"/>
    <w:rsid w:val="003C30BD"/>
    <w:rsid w:val="003C3E47"/>
    <w:rsid w:val="003C5104"/>
    <w:rsid w:val="003C588F"/>
    <w:rsid w:val="003D05D6"/>
    <w:rsid w:val="003D20DB"/>
    <w:rsid w:val="003D316D"/>
    <w:rsid w:val="003D66DC"/>
    <w:rsid w:val="003E7D6C"/>
    <w:rsid w:val="003F018A"/>
    <w:rsid w:val="003F3F5F"/>
    <w:rsid w:val="003F4641"/>
    <w:rsid w:val="003F610D"/>
    <w:rsid w:val="003F7B15"/>
    <w:rsid w:val="003F7B99"/>
    <w:rsid w:val="004012F5"/>
    <w:rsid w:val="00403779"/>
    <w:rsid w:val="00410353"/>
    <w:rsid w:val="0042085E"/>
    <w:rsid w:val="00425223"/>
    <w:rsid w:val="00437086"/>
    <w:rsid w:val="00444411"/>
    <w:rsid w:val="00446419"/>
    <w:rsid w:val="00451E5A"/>
    <w:rsid w:val="00455B03"/>
    <w:rsid w:val="00460D4F"/>
    <w:rsid w:val="004655DF"/>
    <w:rsid w:val="00470A45"/>
    <w:rsid w:val="00470E93"/>
    <w:rsid w:val="00470FA1"/>
    <w:rsid w:val="00483F19"/>
    <w:rsid w:val="00484332"/>
    <w:rsid w:val="00484349"/>
    <w:rsid w:val="004866B5"/>
    <w:rsid w:val="00487769"/>
    <w:rsid w:val="004911E6"/>
    <w:rsid w:val="004940AE"/>
    <w:rsid w:val="00496D17"/>
    <w:rsid w:val="004B1FA4"/>
    <w:rsid w:val="004D16E1"/>
    <w:rsid w:val="004F04B2"/>
    <w:rsid w:val="004F4148"/>
    <w:rsid w:val="004F4DFC"/>
    <w:rsid w:val="004F4F32"/>
    <w:rsid w:val="00506D0C"/>
    <w:rsid w:val="005101FC"/>
    <w:rsid w:val="005165E4"/>
    <w:rsid w:val="0051734F"/>
    <w:rsid w:val="00517CE7"/>
    <w:rsid w:val="00544C93"/>
    <w:rsid w:val="005456D3"/>
    <w:rsid w:val="005501B9"/>
    <w:rsid w:val="00551948"/>
    <w:rsid w:val="005537AB"/>
    <w:rsid w:val="00553AA1"/>
    <w:rsid w:val="0055678C"/>
    <w:rsid w:val="00562F16"/>
    <w:rsid w:val="005703EB"/>
    <w:rsid w:val="00574D8D"/>
    <w:rsid w:val="00576722"/>
    <w:rsid w:val="005807A1"/>
    <w:rsid w:val="005807F5"/>
    <w:rsid w:val="0058165B"/>
    <w:rsid w:val="005844DF"/>
    <w:rsid w:val="005903A7"/>
    <w:rsid w:val="0059087C"/>
    <w:rsid w:val="005927C3"/>
    <w:rsid w:val="005A231D"/>
    <w:rsid w:val="005A71CE"/>
    <w:rsid w:val="005B1D82"/>
    <w:rsid w:val="005B3F99"/>
    <w:rsid w:val="005C2AB8"/>
    <w:rsid w:val="005C5BFF"/>
    <w:rsid w:val="005E264B"/>
    <w:rsid w:val="005E350B"/>
    <w:rsid w:val="005F4503"/>
    <w:rsid w:val="00600680"/>
    <w:rsid w:val="006020E3"/>
    <w:rsid w:val="00606625"/>
    <w:rsid w:val="00621E19"/>
    <w:rsid w:val="006242D2"/>
    <w:rsid w:val="00625FCE"/>
    <w:rsid w:val="00642CD2"/>
    <w:rsid w:val="00647ECA"/>
    <w:rsid w:val="006638A4"/>
    <w:rsid w:val="00664AD8"/>
    <w:rsid w:val="00665F8C"/>
    <w:rsid w:val="00687B95"/>
    <w:rsid w:val="006A0D9F"/>
    <w:rsid w:val="006A242D"/>
    <w:rsid w:val="006A3AA0"/>
    <w:rsid w:val="006A7D2A"/>
    <w:rsid w:val="006C1BFA"/>
    <w:rsid w:val="006C7C1D"/>
    <w:rsid w:val="006D0349"/>
    <w:rsid w:val="006E6351"/>
    <w:rsid w:val="006F4D66"/>
    <w:rsid w:val="007012EC"/>
    <w:rsid w:val="007034BD"/>
    <w:rsid w:val="0072023E"/>
    <w:rsid w:val="007203D3"/>
    <w:rsid w:val="007239B6"/>
    <w:rsid w:val="00724075"/>
    <w:rsid w:val="00724636"/>
    <w:rsid w:val="00727D0F"/>
    <w:rsid w:val="00727E92"/>
    <w:rsid w:val="00731C41"/>
    <w:rsid w:val="00743B3E"/>
    <w:rsid w:val="0074589C"/>
    <w:rsid w:val="00747A71"/>
    <w:rsid w:val="00747EBD"/>
    <w:rsid w:val="00752C52"/>
    <w:rsid w:val="00755DD3"/>
    <w:rsid w:val="0076064F"/>
    <w:rsid w:val="00764005"/>
    <w:rsid w:val="00766EA1"/>
    <w:rsid w:val="00771369"/>
    <w:rsid w:val="00784235"/>
    <w:rsid w:val="00794C8A"/>
    <w:rsid w:val="00797184"/>
    <w:rsid w:val="007A361E"/>
    <w:rsid w:val="007A6954"/>
    <w:rsid w:val="007B3FD0"/>
    <w:rsid w:val="007B55CC"/>
    <w:rsid w:val="007B5F8F"/>
    <w:rsid w:val="007D0591"/>
    <w:rsid w:val="007D2AAD"/>
    <w:rsid w:val="007E40C9"/>
    <w:rsid w:val="007F0A28"/>
    <w:rsid w:val="007F2761"/>
    <w:rsid w:val="007F624B"/>
    <w:rsid w:val="007F7D16"/>
    <w:rsid w:val="008005BC"/>
    <w:rsid w:val="008007FD"/>
    <w:rsid w:val="00802E10"/>
    <w:rsid w:val="008040DD"/>
    <w:rsid w:val="00805B4C"/>
    <w:rsid w:val="00811273"/>
    <w:rsid w:val="00812DA4"/>
    <w:rsid w:val="00850739"/>
    <w:rsid w:val="008528A7"/>
    <w:rsid w:val="00857575"/>
    <w:rsid w:val="00857A4B"/>
    <w:rsid w:val="00860418"/>
    <w:rsid w:val="008613DB"/>
    <w:rsid w:val="00864FC1"/>
    <w:rsid w:val="0087212E"/>
    <w:rsid w:val="00876000"/>
    <w:rsid w:val="0087631C"/>
    <w:rsid w:val="00880860"/>
    <w:rsid w:val="00880F68"/>
    <w:rsid w:val="00882001"/>
    <w:rsid w:val="00886F52"/>
    <w:rsid w:val="00893BAC"/>
    <w:rsid w:val="00894004"/>
    <w:rsid w:val="0089562F"/>
    <w:rsid w:val="008A5DBF"/>
    <w:rsid w:val="008B192F"/>
    <w:rsid w:val="008B6DCE"/>
    <w:rsid w:val="008C22D1"/>
    <w:rsid w:val="008C474B"/>
    <w:rsid w:val="008C6BDF"/>
    <w:rsid w:val="008D28CC"/>
    <w:rsid w:val="008D3D20"/>
    <w:rsid w:val="008E46DA"/>
    <w:rsid w:val="008E5BF8"/>
    <w:rsid w:val="008E75BA"/>
    <w:rsid w:val="008F191A"/>
    <w:rsid w:val="008F318F"/>
    <w:rsid w:val="008F3207"/>
    <w:rsid w:val="008F35FF"/>
    <w:rsid w:val="008F71A8"/>
    <w:rsid w:val="00912B1F"/>
    <w:rsid w:val="00917E43"/>
    <w:rsid w:val="0092113B"/>
    <w:rsid w:val="009325D2"/>
    <w:rsid w:val="00934DEC"/>
    <w:rsid w:val="00942078"/>
    <w:rsid w:val="00950E3D"/>
    <w:rsid w:val="00952910"/>
    <w:rsid w:val="009617A7"/>
    <w:rsid w:val="00966421"/>
    <w:rsid w:val="00971464"/>
    <w:rsid w:val="00971F66"/>
    <w:rsid w:val="00972681"/>
    <w:rsid w:val="0099729B"/>
    <w:rsid w:val="009A29B1"/>
    <w:rsid w:val="009A4485"/>
    <w:rsid w:val="009A6A16"/>
    <w:rsid w:val="009B1E2E"/>
    <w:rsid w:val="009B51C3"/>
    <w:rsid w:val="009B64D5"/>
    <w:rsid w:val="009D2907"/>
    <w:rsid w:val="009E6C8A"/>
    <w:rsid w:val="009F4EFB"/>
    <w:rsid w:val="00A001FD"/>
    <w:rsid w:val="00A008FB"/>
    <w:rsid w:val="00A10500"/>
    <w:rsid w:val="00A12AE0"/>
    <w:rsid w:val="00A13041"/>
    <w:rsid w:val="00A14B35"/>
    <w:rsid w:val="00A1512D"/>
    <w:rsid w:val="00A17BFF"/>
    <w:rsid w:val="00A22F04"/>
    <w:rsid w:val="00A25E02"/>
    <w:rsid w:val="00A278F2"/>
    <w:rsid w:val="00A31E0E"/>
    <w:rsid w:val="00A344DE"/>
    <w:rsid w:val="00A43B44"/>
    <w:rsid w:val="00A45029"/>
    <w:rsid w:val="00A47339"/>
    <w:rsid w:val="00A61452"/>
    <w:rsid w:val="00A66044"/>
    <w:rsid w:val="00A72A57"/>
    <w:rsid w:val="00A758AD"/>
    <w:rsid w:val="00A75DC4"/>
    <w:rsid w:val="00A906CC"/>
    <w:rsid w:val="00A91133"/>
    <w:rsid w:val="00A9176C"/>
    <w:rsid w:val="00AA36B8"/>
    <w:rsid w:val="00AB17F4"/>
    <w:rsid w:val="00AB3444"/>
    <w:rsid w:val="00AB3B9C"/>
    <w:rsid w:val="00AB4A9B"/>
    <w:rsid w:val="00AB7770"/>
    <w:rsid w:val="00AC0B84"/>
    <w:rsid w:val="00AC1525"/>
    <w:rsid w:val="00AC1C87"/>
    <w:rsid w:val="00AC7AF2"/>
    <w:rsid w:val="00AE18B1"/>
    <w:rsid w:val="00AE4300"/>
    <w:rsid w:val="00AE5B31"/>
    <w:rsid w:val="00AE723F"/>
    <w:rsid w:val="00AF372E"/>
    <w:rsid w:val="00B0029C"/>
    <w:rsid w:val="00B0188D"/>
    <w:rsid w:val="00B01F58"/>
    <w:rsid w:val="00B03D72"/>
    <w:rsid w:val="00B04486"/>
    <w:rsid w:val="00B11069"/>
    <w:rsid w:val="00B12C44"/>
    <w:rsid w:val="00B14AEC"/>
    <w:rsid w:val="00B1720A"/>
    <w:rsid w:val="00B408D7"/>
    <w:rsid w:val="00B6116D"/>
    <w:rsid w:val="00B618CF"/>
    <w:rsid w:val="00B70BDC"/>
    <w:rsid w:val="00B73089"/>
    <w:rsid w:val="00B75F6C"/>
    <w:rsid w:val="00B80498"/>
    <w:rsid w:val="00B8343D"/>
    <w:rsid w:val="00B917C9"/>
    <w:rsid w:val="00B924D7"/>
    <w:rsid w:val="00B934DE"/>
    <w:rsid w:val="00B9358C"/>
    <w:rsid w:val="00B9367F"/>
    <w:rsid w:val="00B95D03"/>
    <w:rsid w:val="00BA4DBD"/>
    <w:rsid w:val="00BA70E7"/>
    <w:rsid w:val="00BB268E"/>
    <w:rsid w:val="00BC412E"/>
    <w:rsid w:val="00BC4A4E"/>
    <w:rsid w:val="00BE68AA"/>
    <w:rsid w:val="00BF0B23"/>
    <w:rsid w:val="00BF1029"/>
    <w:rsid w:val="00C113CC"/>
    <w:rsid w:val="00C20B70"/>
    <w:rsid w:val="00C21755"/>
    <w:rsid w:val="00C22112"/>
    <w:rsid w:val="00C2238C"/>
    <w:rsid w:val="00C310EB"/>
    <w:rsid w:val="00C3355F"/>
    <w:rsid w:val="00C41B64"/>
    <w:rsid w:val="00C4587D"/>
    <w:rsid w:val="00C472C6"/>
    <w:rsid w:val="00C54659"/>
    <w:rsid w:val="00C573BD"/>
    <w:rsid w:val="00C60A10"/>
    <w:rsid w:val="00C70C04"/>
    <w:rsid w:val="00C771D0"/>
    <w:rsid w:val="00C8187B"/>
    <w:rsid w:val="00C838B4"/>
    <w:rsid w:val="00C83E8B"/>
    <w:rsid w:val="00C85874"/>
    <w:rsid w:val="00C913D6"/>
    <w:rsid w:val="00CA2EF8"/>
    <w:rsid w:val="00CA5EEB"/>
    <w:rsid w:val="00CA6873"/>
    <w:rsid w:val="00CC3987"/>
    <w:rsid w:val="00CD5FB6"/>
    <w:rsid w:val="00CD7583"/>
    <w:rsid w:val="00CE1EDD"/>
    <w:rsid w:val="00CE722D"/>
    <w:rsid w:val="00CF073B"/>
    <w:rsid w:val="00CF24FB"/>
    <w:rsid w:val="00CF48F2"/>
    <w:rsid w:val="00CF5759"/>
    <w:rsid w:val="00CF7762"/>
    <w:rsid w:val="00D005B7"/>
    <w:rsid w:val="00D1639C"/>
    <w:rsid w:val="00D20945"/>
    <w:rsid w:val="00D30844"/>
    <w:rsid w:val="00D34358"/>
    <w:rsid w:val="00D4714E"/>
    <w:rsid w:val="00D51CCB"/>
    <w:rsid w:val="00D73720"/>
    <w:rsid w:val="00DA2156"/>
    <w:rsid w:val="00DA588B"/>
    <w:rsid w:val="00DA7C6E"/>
    <w:rsid w:val="00DB57AF"/>
    <w:rsid w:val="00DB7034"/>
    <w:rsid w:val="00DC15CE"/>
    <w:rsid w:val="00DC46EE"/>
    <w:rsid w:val="00DD6705"/>
    <w:rsid w:val="00DD7366"/>
    <w:rsid w:val="00DF1A08"/>
    <w:rsid w:val="00DF4C58"/>
    <w:rsid w:val="00E0073F"/>
    <w:rsid w:val="00E0086A"/>
    <w:rsid w:val="00E01AE0"/>
    <w:rsid w:val="00E07EB5"/>
    <w:rsid w:val="00E11D83"/>
    <w:rsid w:val="00E11EF7"/>
    <w:rsid w:val="00E17B2F"/>
    <w:rsid w:val="00E24225"/>
    <w:rsid w:val="00E24D17"/>
    <w:rsid w:val="00E46E6C"/>
    <w:rsid w:val="00E46FD3"/>
    <w:rsid w:val="00E50519"/>
    <w:rsid w:val="00E519D7"/>
    <w:rsid w:val="00E56138"/>
    <w:rsid w:val="00E66663"/>
    <w:rsid w:val="00E72FCA"/>
    <w:rsid w:val="00E733ED"/>
    <w:rsid w:val="00E74159"/>
    <w:rsid w:val="00E759D2"/>
    <w:rsid w:val="00E810F6"/>
    <w:rsid w:val="00E97C99"/>
    <w:rsid w:val="00EA2635"/>
    <w:rsid w:val="00EA3FC0"/>
    <w:rsid w:val="00EB0F4C"/>
    <w:rsid w:val="00EB1C3D"/>
    <w:rsid w:val="00EB7C8A"/>
    <w:rsid w:val="00EC3555"/>
    <w:rsid w:val="00ED146F"/>
    <w:rsid w:val="00EE3017"/>
    <w:rsid w:val="00EF0ED3"/>
    <w:rsid w:val="00EF1AE9"/>
    <w:rsid w:val="00F07C6D"/>
    <w:rsid w:val="00F16A7C"/>
    <w:rsid w:val="00F300F3"/>
    <w:rsid w:val="00F322C1"/>
    <w:rsid w:val="00F3652C"/>
    <w:rsid w:val="00F40E90"/>
    <w:rsid w:val="00F4547F"/>
    <w:rsid w:val="00F51C8C"/>
    <w:rsid w:val="00F605B0"/>
    <w:rsid w:val="00F60667"/>
    <w:rsid w:val="00F622E6"/>
    <w:rsid w:val="00F77B03"/>
    <w:rsid w:val="00F82526"/>
    <w:rsid w:val="00F83565"/>
    <w:rsid w:val="00F87E59"/>
    <w:rsid w:val="00F91AE9"/>
    <w:rsid w:val="00F942EA"/>
    <w:rsid w:val="00F97C5E"/>
    <w:rsid w:val="00FA00D8"/>
    <w:rsid w:val="00FA3892"/>
    <w:rsid w:val="00FB5C31"/>
    <w:rsid w:val="00FB60AF"/>
    <w:rsid w:val="00FC5A47"/>
    <w:rsid w:val="00FC6730"/>
    <w:rsid w:val="00FD3068"/>
    <w:rsid w:val="00FD3D68"/>
    <w:rsid w:val="00FD7F22"/>
    <w:rsid w:val="00FE315B"/>
    <w:rsid w:val="00FE4C34"/>
    <w:rsid w:val="00FF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A61B9"/>
  <w14:defaultImageDpi w14:val="32767"/>
  <w15:chartTrackingRefBased/>
  <w15:docId w15:val="{4C484D05-9419-5845-A8DE-8BD3B50E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22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2CE"/>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22CE"/>
    <w:pPr>
      <w:tabs>
        <w:tab w:val="center" w:pos="4680"/>
        <w:tab w:val="right" w:pos="9360"/>
      </w:tabs>
    </w:pPr>
    <w:rPr>
      <w:rFonts w:ascii="Calibri" w:eastAsia="SimSun" w:hAnsi="Calibri"/>
      <w:sz w:val="22"/>
      <w:szCs w:val="22"/>
    </w:rPr>
  </w:style>
  <w:style w:type="character" w:customStyle="1" w:styleId="HeaderChar">
    <w:name w:val="Header Char"/>
    <w:basedOn w:val="DefaultParagraphFont"/>
    <w:link w:val="Header"/>
    <w:uiPriority w:val="99"/>
    <w:rsid w:val="003C22CE"/>
    <w:rPr>
      <w:rFonts w:ascii="Calibri" w:eastAsia="SimSu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 James C./Counseling Center</dc:creator>
  <cp:keywords/>
  <dc:description/>
  <cp:lastModifiedBy>Root, James C./Counseling Center</cp:lastModifiedBy>
  <cp:revision>1</cp:revision>
  <dcterms:created xsi:type="dcterms:W3CDTF">2022-03-30T16:28:00Z</dcterms:created>
  <dcterms:modified xsi:type="dcterms:W3CDTF">2022-03-30T16:29:00Z</dcterms:modified>
</cp:coreProperties>
</file>