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F9C9A5" w14:textId="525B1787" w:rsidR="007E4E25" w:rsidRPr="00AE0203" w:rsidRDefault="007E4E25" w:rsidP="00AE0203">
      <w:pPr>
        <w:pStyle w:val="Heading1"/>
        <w:jc w:val="center"/>
        <w:rPr>
          <w:rFonts w:asciiTheme="minorHAnsi" w:hAnsiTheme="minorHAnsi" w:cstheme="minorHAnsi"/>
          <w:color w:val="C00000"/>
          <w:sz w:val="40"/>
          <w:szCs w:val="40"/>
        </w:rPr>
      </w:pPr>
      <w:r w:rsidRPr="00AE0203">
        <w:rPr>
          <w:rFonts w:asciiTheme="minorHAnsi" w:hAnsiTheme="minorHAnsi" w:cstheme="minorHAnsi"/>
          <w:color w:val="C00000"/>
          <w:sz w:val="40"/>
          <w:szCs w:val="40"/>
        </w:rPr>
        <w:t>Supplementary Methods</w:t>
      </w:r>
    </w:p>
    <w:p w14:paraId="0BA28517" w14:textId="74D87E2C" w:rsidR="00AE0203" w:rsidRPr="00AE0203" w:rsidRDefault="00AE0203" w:rsidP="00AE0203">
      <w:pPr>
        <w:jc w:val="center"/>
        <w:rPr>
          <w:rFonts w:cstheme="minorHAnsi"/>
        </w:rPr>
      </w:pPr>
    </w:p>
    <w:p w14:paraId="6C64A465" w14:textId="77777777" w:rsidR="00AE0203" w:rsidRPr="00AE0203" w:rsidRDefault="00AE0203" w:rsidP="00AE0203">
      <w:pPr>
        <w:pStyle w:val="Title"/>
        <w:spacing w:line="480" w:lineRule="auto"/>
        <w:jc w:val="center"/>
        <w:rPr>
          <w:rFonts w:asciiTheme="minorHAnsi" w:eastAsia="Arial Unicode MS" w:hAnsiTheme="minorHAnsi" w:cstheme="minorHAnsi"/>
          <w:b w:val="0"/>
          <w:i w:val="0"/>
          <w:color w:val="002060"/>
          <w:sz w:val="24"/>
          <w:szCs w:val="24"/>
          <w:lang w:val="en-GB"/>
        </w:rPr>
      </w:pPr>
      <w:r w:rsidRPr="00AE0203">
        <w:rPr>
          <w:rFonts w:asciiTheme="minorHAnsi" w:eastAsia="Arial Unicode MS" w:hAnsiTheme="minorHAnsi" w:cstheme="minorHAnsi"/>
          <w:b w:val="0"/>
          <w:i w:val="0"/>
          <w:color w:val="002060"/>
          <w:sz w:val="24"/>
          <w:szCs w:val="24"/>
          <w:lang w:val="en-GB"/>
        </w:rPr>
        <w:t>MODELING THE METABOLIC PROFILE OF MYTILUS EDULIS REVEALS MOLECULAR SIGNATURES LINKED TO GONADAL DEVELOPMENT, SEX AND ENVIRONMENTAL SITE</w:t>
      </w:r>
    </w:p>
    <w:p w14:paraId="6C03A9A1" w14:textId="77777777" w:rsidR="00AE0203" w:rsidRPr="00AE0203" w:rsidRDefault="00AE0203" w:rsidP="00AE0203">
      <w:pPr>
        <w:spacing w:after="0"/>
        <w:ind w:left="720" w:hanging="720"/>
        <w:rPr>
          <w:rFonts w:cstheme="minorHAnsi"/>
          <w:color w:val="000000" w:themeColor="text1"/>
          <w:szCs w:val="24"/>
          <w:lang w:val="en-GB"/>
        </w:rPr>
      </w:pPr>
      <w:proofErr w:type="spellStart"/>
      <w:r w:rsidRPr="00AE0203">
        <w:rPr>
          <w:rFonts w:cstheme="minorHAnsi"/>
          <w:color w:val="000000" w:themeColor="text1"/>
          <w:szCs w:val="24"/>
          <w:lang w:val="en-GB"/>
        </w:rPr>
        <w:t>Jaanika</w:t>
      </w:r>
      <w:proofErr w:type="spellEnd"/>
      <w:r w:rsidRPr="00AE0203">
        <w:rPr>
          <w:rFonts w:cstheme="minorHAnsi"/>
          <w:color w:val="000000" w:themeColor="text1"/>
          <w:szCs w:val="24"/>
          <w:lang w:val="en-GB"/>
        </w:rPr>
        <w:t xml:space="preserve"> Kronberg</w:t>
      </w:r>
      <w:r w:rsidRPr="00AE0203">
        <w:rPr>
          <w:rFonts w:cstheme="minorHAnsi"/>
          <w:b/>
          <w:color w:val="000000" w:themeColor="text1"/>
          <w:szCs w:val="24"/>
          <w:vertAlign w:val="superscript"/>
          <w:lang w:val="en-GB"/>
        </w:rPr>
        <w:t>1#</w:t>
      </w:r>
      <w:r w:rsidRPr="00AE0203">
        <w:rPr>
          <w:rFonts w:cstheme="minorHAnsi"/>
          <w:color w:val="000000" w:themeColor="text1"/>
          <w:szCs w:val="24"/>
          <w:lang w:val="en-GB"/>
        </w:rPr>
        <w:t>, Jonathan J. Byrne</w:t>
      </w:r>
      <w:r w:rsidRPr="00AE0203">
        <w:rPr>
          <w:rFonts w:cstheme="minorHAnsi"/>
          <w:b/>
          <w:color w:val="000000" w:themeColor="text1"/>
          <w:szCs w:val="24"/>
          <w:vertAlign w:val="superscript"/>
          <w:lang w:val="en-GB"/>
        </w:rPr>
        <w:t>2</w:t>
      </w:r>
      <w:r w:rsidRPr="00AE0203">
        <w:rPr>
          <w:rFonts w:cstheme="minorHAnsi"/>
          <w:color w:val="000000" w:themeColor="text1"/>
          <w:szCs w:val="24"/>
          <w:lang w:val="en-GB"/>
        </w:rPr>
        <w:t>, Jeroen Jansen</w:t>
      </w:r>
      <w:r w:rsidRPr="00AE0203">
        <w:rPr>
          <w:rFonts w:cstheme="minorHAnsi"/>
          <w:b/>
          <w:color w:val="000000" w:themeColor="text1"/>
          <w:szCs w:val="24"/>
          <w:vertAlign w:val="superscript"/>
          <w:lang w:val="en-GB"/>
        </w:rPr>
        <w:t>3</w:t>
      </w:r>
      <w:r w:rsidRPr="00AE0203">
        <w:rPr>
          <w:rFonts w:cstheme="minorHAnsi"/>
          <w:color w:val="000000" w:themeColor="text1"/>
          <w:szCs w:val="24"/>
          <w:lang w:val="en-GB"/>
        </w:rPr>
        <w:t>, Philipp Antczak</w:t>
      </w:r>
      <w:r w:rsidRPr="00AE0203">
        <w:rPr>
          <w:rFonts w:cstheme="minorHAnsi"/>
          <w:b/>
          <w:color w:val="000000" w:themeColor="text1"/>
          <w:szCs w:val="24"/>
          <w:vertAlign w:val="superscript"/>
          <w:lang w:val="en-GB"/>
        </w:rPr>
        <w:t>1</w:t>
      </w:r>
      <w:r w:rsidRPr="00AE0203">
        <w:rPr>
          <w:rFonts w:cstheme="minorHAnsi"/>
          <w:color w:val="000000" w:themeColor="text1"/>
          <w:szCs w:val="24"/>
          <w:lang w:val="en-GB"/>
        </w:rPr>
        <w:t>, Adam Hines</w:t>
      </w:r>
      <w:r w:rsidRPr="00AE0203">
        <w:rPr>
          <w:rFonts w:cstheme="minorHAnsi"/>
          <w:b/>
          <w:color w:val="000000" w:themeColor="text1"/>
          <w:szCs w:val="24"/>
          <w:vertAlign w:val="superscript"/>
          <w:lang w:val="en-GB"/>
        </w:rPr>
        <w:t>2</w:t>
      </w:r>
      <w:r w:rsidRPr="00AE0203">
        <w:rPr>
          <w:rFonts w:cstheme="minorHAnsi"/>
          <w:color w:val="000000" w:themeColor="text1"/>
          <w:szCs w:val="24"/>
          <w:lang w:val="en-GB"/>
        </w:rPr>
        <w:t>, John</w:t>
      </w:r>
    </w:p>
    <w:p w14:paraId="638F77E7" w14:textId="77777777" w:rsidR="00AE0203" w:rsidRPr="00AE0203" w:rsidRDefault="00AE0203" w:rsidP="00AE0203">
      <w:pPr>
        <w:spacing w:after="0"/>
        <w:ind w:left="720" w:hanging="720"/>
        <w:rPr>
          <w:rFonts w:cstheme="minorHAnsi"/>
          <w:color w:val="000000" w:themeColor="text1"/>
          <w:szCs w:val="24"/>
          <w:lang w:val="en-GB"/>
        </w:rPr>
      </w:pPr>
      <w:r w:rsidRPr="00AE0203">
        <w:rPr>
          <w:rFonts w:cstheme="minorHAnsi"/>
          <w:color w:val="000000" w:themeColor="text1"/>
          <w:szCs w:val="24"/>
          <w:lang w:val="en-GB"/>
        </w:rPr>
        <w:t>Bignell</w:t>
      </w:r>
      <w:r w:rsidRPr="00AE0203">
        <w:rPr>
          <w:rFonts w:cstheme="minorHAnsi"/>
          <w:b/>
          <w:color w:val="000000" w:themeColor="text1"/>
          <w:szCs w:val="24"/>
          <w:vertAlign w:val="superscript"/>
          <w:lang w:val="en-GB"/>
        </w:rPr>
        <w:t>4</w:t>
      </w:r>
      <w:r w:rsidRPr="00AE0203">
        <w:rPr>
          <w:rFonts w:cstheme="minorHAnsi"/>
          <w:color w:val="000000" w:themeColor="text1"/>
          <w:szCs w:val="24"/>
          <w:lang w:val="en-GB"/>
        </w:rPr>
        <w:t xml:space="preserve">, </w:t>
      </w:r>
      <w:proofErr w:type="spellStart"/>
      <w:r w:rsidRPr="00AE0203">
        <w:rPr>
          <w:rFonts w:cstheme="minorHAnsi"/>
          <w:color w:val="000000" w:themeColor="text1"/>
          <w:szCs w:val="24"/>
          <w:lang w:val="en-GB"/>
        </w:rPr>
        <w:t>Ioanna</w:t>
      </w:r>
      <w:proofErr w:type="spellEnd"/>
      <w:r w:rsidRPr="00AE0203">
        <w:rPr>
          <w:rFonts w:cstheme="minorHAnsi"/>
          <w:color w:val="000000" w:themeColor="text1"/>
          <w:szCs w:val="24"/>
          <w:lang w:val="en-GB"/>
        </w:rPr>
        <w:t xml:space="preserve"> Katsiadaki</w:t>
      </w:r>
      <w:r w:rsidRPr="00AE0203">
        <w:rPr>
          <w:rFonts w:cstheme="minorHAnsi"/>
          <w:color w:val="000000" w:themeColor="text1"/>
          <w:szCs w:val="24"/>
          <w:vertAlign w:val="superscript"/>
          <w:lang w:val="en-GB"/>
        </w:rPr>
        <w:t>4</w:t>
      </w:r>
      <w:r w:rsidRPr="00AE0203">
        <w:rPr>
          <w:rFonts w:cstheme="minorHAnsi"/>
          <w:color w:val="000000" w:themeColor="text1"/>
          <w:szCs w:val="24"/>
          <w:lang w:val="en-GB"/>
        </w:rPr>
        <w:t>, Mark R. Viant</w:t>
      </w:r>
      <w:r w:rsidRPr="00AE0203">
        <w:rPr>
          <w:rFonts w:cstheme="minorHAnsi"/>
          <w:b/>
          <w:color w:val="000000" w:themeColor="text1"/>
          <w:szCs w:val="24"/>
          <w:vertAlign w:val="superscript"/>
          <w:lang w:val="en-GB"/>
        </w:rPr>
        <w:t>2</w:t>
      </w:r>
      <w:r w:rsidRPr="00AE0203">
        <w:rPr>
          <w:rFonts w:cstheme="minorHAnsi"/>
          <w:color w:val="000000" w:themeColor="text1"/>
          <w:szCs w:val="24"/>
          <w:vertAlign w:val="superscript"/>
          <w:lang w:val="en-GB"/>
        </w:rPr>
        <w:t>*</w:t>
      </w:r>
      <w:r w:rsidRPr="00AE0203">
        <w:rPr>
          <w:rFonts w:cstheme="minorHAnsi"/>
          <w:color w:val="000000" w:themeColor="text1"/>
          <w:szCs w:val="24"/>
          <w:lang w:val="en-GB"/>
        </w:rPr>
        <w:t xml:space="preserve"> and Francesco Falciani</w:t>
      </w:r>
      <w:r w:rsidRPr="00AE0203">
        <w:rPr>
          <w:rFonts w:cstheme="minorHAnsi"/>
          <w:b/>
          <w:color w:val="000000" w:themeColor="text1"/>
          <w:szCs w:val="24"/>
          <w:vertAlign w:val="superscript"/>
          <w:lang w:val="en-GB"/>
        </w:rPr>
        <w:t>1</w:t>
      </w:r>
      <w:r w:rsidRPr="00AE0203">
        <w:rPr>
          <w:rFonts w:cstheme="minorHAnsi"/>
          <w:color w:val="000000" w:themeColor="text1"/>
          <w:szCs w:val="24"/>
          <w:vertAlign w:val="superscript"/>
          <w:lang w:val="en-GB"/>
        </w:rPr>
        <w:t>*</w:t>
      </w:r>
    </w:p>
    <w:p w14:paraId="11F7C0D9" w14:textId="77777777" w:rsidR="00AE0203" w:rsidRPr="00AE0203" w:rsidRDefault="00AE0203" w:rsidP="00AE0203">
      <w:pPr>
        <w:spacing w:after="0" w:line="240" w:lineRule="auto"/>
        <w:jc w:val="both"/>
        <w:rPr>
          <w:rFonts w:cstheme="minorHAnsi"/>
          <w:szCs w:val="24"/>
          <w:lang w:val="en-GB"/>
        </w:rPr>
      </w:pPr>
    </w:p>
    <w:p w14:paraId="68ADF5D5" w14:textId="77777777" w:rsidR="00AE0203" w:rsidRPr="00AE0203" w:rsidRDefault="00AE0203" w:rsidP="00AE0203">
      <w:pPr>
        <w:spacing w:after="0" w:line="240" w:lineRule="auto"/>
        <w:rPr>
          <w:rFonts w:cstheme="minorHAnsi"/>
          <w:lang w:val="en-GB"/>
        </w:rPr>
      </w:pPr>
      <w:r w:rsidRPr="00AE0203">
        <w:rPr>
          <w:rFonts w:cstheme="minorHAnsi"/>
          <w:b/>
          <w:szCs w:val="24"/>
          <w:vertAlign w:val="superscript"/>
          <w:lang w:val="en-GB"/>
        </w:rPr>
        <w:t>1</w:t>
      </w:r>
      <w:r w:rsidRPr="00AE0203">
        <w:rPr>
          <w:rFonts w:cstheme="minorHAnsi"/>
          <w:szCs w:val="24"/>
          <w:lang w:val="en-GB"/>
        </w:rPr>
        <w:t xml:space="preserve"> </w:t>
      </w:r>
      <w:r w:rsidRPr="00AE0203">
        <w:rPr>
          <w:rFonts w:cstheme="minorHAnsi"/>
          <w:lang w:val="en-GB"/>
        </w:rPr>
        <w:t>Institute of Systems, Molecular and Integrative Biology, University of Liverpool, Liverpool L69 3BX, UK</w:t>
      </w:r>
    </w:p>
    <w:p w14:paraId="74BCE4A3" w14:textId="77777777" w:rsidR="00AE0203" w:rsidRPr="00AE0203" w:rsidRDefault="00AE0203" w:rsidP="00AE0203">
      <w:pPr>
        <w:spacing w:after="0" w:line="240" w:lineRule="auto"/>
        <w:rPr>
          <w:rFonts w:cstheme="minorHAnsi"/>
          <w:lang w:val="en-GB"/>
        </w:rPr>
      </w:pPr>
      <w:r w:rsidRPr="00AE0203">
        <w:rPr>
          <w:rFonts w:cstheme="minorHAnsi"/>
          <w:b/>
          <w:vertAlign w:val="superscript"/>
          <w:lang w:val="en-GB"/>
        </w:rPr>
        <w:t>2</w:t>
      </w:r>
      <w:r w:rsidRPr="00AE0203">
        <w:rPr>
          <w:rFonts w:cstheme="minorHAnsi"/>
          <w:lang w:val="en-GB"/>
        </w:rPr>
        <w:t xml:space="preserve"> School of Biosciences, University of Birmingham, Birmingham B15 2TT, UK</w:t>
      </w:r>
    </w:p>
    <w:p w14:paraId="0D9C2F83" w14:textId="77777777" w:rsidR="00AE0203" w:rsidRPr="00AE0203" w:rsidRDefault="00AE0203" w:rsidP="00AE0203">
      <w:pPr>
        <w:spacing w:after="0" w:line="240" w:lineRule="auto"/>
        <w:rPr>
          <w:rFonts w:cstheme="minorHAnsi"/>
          <w:lang w:val="en-GB"/>
        </w:rPr>
      </w:pPr>
      <w:r w:rsidRPr="00AE0203">
        <w:rPr>
          <w:rFonts w:cstheme="minorHAnsi"/>
          <w:b/>
          <w:vertAlign w:val="superscript"/>
          <w:lang w:val="en-GB"/>
        </w:rPr>
        <w:t>3</w:t>
      </w:r>
      <w:r w:rsidRPr="00AE0203">
        <w:rPr>
          <w:rFonts w:cstheme="minorHAnsi"/>
          <w:lang w:val="en-GB"/>
        </w:rPr>
        <w:t xml:space="preserve"> Radboud University, IMM / Analytical Chemistry, pv61, P.O. Box 9010, 6500 GL Nijmegen,   </w:t>
      </w:r>
    </w:p>
    <w:p w14:paraId="3BD77674" w14:textId="77777777" w:rsidR="00AE0203" w:rsidRPr="00AE0203" w:rsidRDefault="00AE0203" w:rsidP="00AE0203">
      <w:pPr>
        <w:spacing w:after="0" w:line="240" w:lineRule="auto"/>
        <w:rPr>
          <w:rFonts w:cstheme="minorHAnsi"/>
          <w:lang w:val="en-GB"/>
        </w:rPr>
      </w:pPr>
      <w:r w:rsidRPr="00AE0203">
        <w:rPr>
          <w:rFonts w:cstheme="minorHAnsi"/>
          <w:lang w:val="en-GB"/>
        </w:rPr>
        <w:t xml:space="preserve"> The Netherlands</w:t>
      </w:r>
    </w:p>
    <w:p w14:paraId="53E80D04" w14:textId="77777777" w:rsidR="00AE0203" w:rsidRPr="00AE0203" w:rsidRDefault="00AE0203" w:rsidP="00AE0203">
      <w:pPr>
        <w:spacing w:after="0" w:line="240" w:lineRule="auto"/>
        <w:rPr>
          <w:rFonts w:cstheme="minorHAnsi"/>
          <w:lang w:val="en-GB"/>
        </w:rPr>
      </w:pPr>
      <w:r w:rsidRPr="00AE0203">
        <w:rPr>
          <w:rFonts w:cstheme="minorHAnsi"/>
          <w:b/>
          <w:vertAlign w:val="superscript"/>
          <w:lang w:val="en-GB"/>
        </w:rPr>
        <w:t>4</w:t>
      </w:r>
      <w:r w:rsidRPr="00AE0203">
        <w:rPr>
          <w:rFonts w:cstheme="minorHAnsi"/>
          <w:lang w:val="en-GB"/>
        </w:rPr>
        <w:t xml:space="preserve"> Centre for Environment Fisheries and Aquaculture Science (Cefas), The North, Barrack  </w:t>
      </w:r>
    </w:p>
    <w:p w14:paraId="08483A3C" w14:textId="77777777" w:rsidR="00AE0203" w:rsidRPr="00AE0203" w:rsidRDefault="00AE0203" w:rsidP="00AE0203">
      <w:pPr>
        <w:spacing w:after="0" w:line="240" w:lineRule="auto"/>
        <w:rPr>
          <w:rFonts w:cstheme="minorHAnsi"/>
          <w:lang w:val="en-GB"/>
        </w:rPr>
      </w:pPr>
      <w:r w:rsidRPr="00AE0203">
        <w:rPr>
          <w:rFonts w:cstheme="minorHAnsi"/>
          <w:lang w:val="en-GB"/>
        </w:rPr>
        <w:t xml:space="preserve"> Road, Weymouth, Dorset DT4 8UB, UK</w:t>
      </w:r>
    </w:p>
    <w:p w14:paraId="55EEB2DD" w14:textId="77777777" w:rsidR="00AE0203" w:rsidRPr="00AE0203" w:rsidRDefault="00AE0203" w:rsidP="00AE0203">
      <w:pPr>
        <w:spacing w:after="0" w:line="240" w:lineRule="auto"/>
        <w:rPr>
          <w:rFonts w:cstheme="minorHAnsi"/>
          <w:lang w:val="en-GB"/>
        </w:rPr>
      </w:pPr>
    </w:p>
    <w:p w14:paraId="4150A26D" w14:textId="77777777" w:rsidR="00AE0203" w:rsidRPr="00AE0203" w:rsidRDefault="00AE0203" w:rsidP="00AE0203">
      <w:pPr>
        <w:spacing w:after="0" w:line="240" w:lineRule="auto"/>
        <w:rPr>
          <w:rFonts w:cstheme="minorHAnsi"/>
          <w:lang w:val="en-GB"/>
        </w:rPr>
      </w:pPr>
      <w:r w:rsidRPr="00AE0203">
        <w:rPr>
          <w:rFonts w:cstheme="minorHAnsi"/>
          <w:b/>
          <w:vertAlign w:val="superscript"/>
          <w:lang w:val="en-GB"/>
        </w:rPr>
        <w:t>#</w:t>
      </w:r>
      <w:r w:rsidRPr="00AE0203">
        <w:rPr>
          <w:rFonts w:cstheme="minorHAnsi"/>
          <w:lang w:val="en-GB"/>
        </w:rPr>
        <w:t xml:space="preserve"> Current address: Estonian Genome Centre, Institute of Genomics, University of Tartu, Riia </w:t>
      </w:r>
    </w:p>
    <w:p w14:paraId="4D73F6C7" w14:textId="77777777" w:rsidR="00AE0203" w:rsidRPr="00AE0203" w:rsidRDefault="00AE0203" w:rsidP="00AE0203">
      <w:pPr>
        <w:spacing w:after="0" w:line="240" w:lineRule="auto"/>
        <w:rPr>
          <w:rFonts w:cstheme="minorHAnsi"/>
          <w:lang w:val="en-GB"/>
        </w:rPr>
      </w:pPr>
      <w:r w:rsidRPr="00AE0203">
        <w:rPr>
          <w:rFonts w:cstheme="minorHAnsi"/>
          <w:lang w:val="en-GB"/>
        </w:rPr>
        <w:t xml:space="preserve"> 23b, Tartu 51010, Estonia</w:t>
      </w:r>
    </w:p>
    <w:p w14:paraId="74CF1F8F" w14:textId="77777777" w:rsidR="00AE0203" w:rsidRPr="00AE0203" w:rsidRDefault="00AE0203" w:rsidP="00AE0203">
      <w:pPr>
        <w:spacing w:after="0" w:line="240" w:lineRule="auto"/>
        <w:rPr>
          <w:rFonts w:cstheme="minorHAnsi"/>
          <w:lang w:val="en-GB"/>
        </w:rPr>
      </w:pPr>
    </w:p>
    <w:p w14:paraId="48FAA709" w14:textId="77777777" w:rsidR="00AE0203" w:rsidRPr="00AE0203" w:rsidRDefault="00AE0203" w:rsidP="00AE0203">
      <w:pPr>
        <w:spacing w:after="0"/>
        <w:jc w:val="both"/>
        <w:rPr>
          <w:rFonts w:cstheme="minorHAnsi"/>
          <w:szCs w:val="24"/>
          <w:vertAlign w:val="superscript"/>
          <w:lang w:val="en-GB"/>
        </w:rPr>
      </w:pPr>
    </w:p>
    <w:p w14:paraId="52E6E84C" w14:textId="77777777" w:rsidR="00AE0203" w:rsidRPr="00AE0203" w:rsidRDefault="00AE0203" w:rsidP="00AE0203">
      <w:pPr>
        <w:spacing w:after="0"/>
        <w:jc w:val="both"/>
        <w:rPr>
          <w:rFonts w:cstheme="minorHAnsi"/>
          <w:szCs w:val="24"/>
          <w:lang w:val="en-GB"/>
        </w:rPr>
      </w:pPr>
      <w:r w:rsidRPr="00AE0203">
        <w:rPr>
          <w:rFonts w:cstheme="minorHAnsi"/>
          <w:szCs w:val="24"/>
          <w:vertAlign w:val="superscript"/>
          <w:lang w:val="en-GB"/>
        </w:rPr>
        <w:t>*</w:t>
      </w:r>
      <w:r w:rsidRPr="00AE0203">
        <w:rPr>
          <w:rFonts w:cstheme="minorHAnsi"/>
          <w:szCs w:val="24"/>
          <w:lang w:val="en-GB"/>
        </w:rPr>
        <w:t>Joint correspondent authors:</w:t>
      </w:r>
    </w:p>
    <w:p w14:paraId="7F6A9840" w14:textId="77777777" w:rsidR="00AE0203" w:rsidRPr="00AE0203" w:rsidRDefault="00AE0203" w:rsidP="00AE0203">
      <w:pPr>
        <w:spacing w:after="0"/>
        <w:jc w:val="both"/>
        <w:rPr>
          <w:rFonts w:cstheme="minorHAnsi"/>
          <w:color w:val="000000" w:themeColor="text1"/>
          <w:szCs w:val="24"/>
          <w:lang w:val="en-GB"/>
        </w:rPr>
      </w:pPr>
      <w:r w:rsidRPr="00AE0203">
        <w:rPr>
          <w:rFonts w:cstheme="minorHAnsi"/>
          <w:color w:val="000000" w:themeColor="text1"/>
          <w:szCs w:val="24"/>
          <w:lang w:val="en-GB"/>
        </w:rPr>
        <w:t>Mark R. Viant (m.viant@bham.ac.uk)</w:t>
      </w:r>
    </w:p>
    <w:p w14:paraId="375FDDFD" w14:textId="77777777" w:rsidR="00AE0203" w:rsidRPr="00AE0203" w:rsidRDefault="00AE0203" w:rsidP="00AE0203">
      <w:pPr>
        <w:spacing w:after="0"/>
        <w:jc w:val="both"/>
        <w:rPr>
          <w:rFonts w:cstheme="minorHAnsi"/>
          <w:szCs w:val="24"/>
          <w:lang w:val="en-GB"/>
        </w:rPr>
      </w:pPr>
      <w:r w:rsidRPr="00AE0203">
        <w:rPr>
          <w:rFonts w:cstheme="minorHAnsi"/>
          <w:color w:val="000000" w:themeColor="text1"/>
          <w:szCs w:val="24"/>
          <w:lang w:val="en-GB"/>
        </w:rPr>
        <w:t>Francesco Falciani (falcianf@liverpool.ac.uk)</w:t>
      </w:r>
    </w:p>
    <w:p w14:paraId="73D40DCC" w14:textId="77777777" w:rsidR="00AE0203" w:rsidRPr="004803AC" w:rsidRDefault="00AE0203" w:rsidP="00AE0203">
      <w:pPr>
        <w:spacing w:after="0"/>
        <w:jc w:val="both"/>
        <w:rPr>
          <w:rFonts w:cs="Times New Roman"/>
          <w:szCs w:val="24"/>
          <w:lang w:val="en-GB"/>
        </w:rPr>
      </w:pPr>
    </w:p>
    <w:p w14:paraId="306D4E61" w14:textId="77777777" w:rsidR="00AE0203" w:rsidRPr="00AE0203" w:rsidRDefault="00AE0203" w:rsidP="00AE0203"/>
    <w:p w14:paraId="028671A2" w14:textId="77777777" w:rsidR="00AE0203" w:rsidRDefault="00AE0203">
      <w:pPr>
        <w:rPr>
          <w:rFonts w:asciiTheme="majorHAnsi" w:eastAsiaTheme="majorEastAsia" w:hAnsiTheme="majorHAnsi" w:cstheme="majorBidi"/>
          <w:b/>
          <w:bCs/>
          <w:i/>
          <w:iCs/>
          <w:color w:val="C00000"/>
          <w:sz w:val="28"/>
          <w:szCs w:val="28"/>
          <w:lang w:val="et-EE" w:eastAsia="et-EE"/>
        </w:rPr>
      </w:pPr>
      <w:r>
        <w:br w:type="page"/>
      </w:r>
    </w:p>
    <w:p w14:paraId="6B179AC1" w14:textId="65F1A651" w:rsidR="007E4E25" w:rsidRDefault="007E4E25" w:rsidP="007E4E25">
      <w:pPr>
        <w:pStyle w:val="Heading2"/>
        <w:spacing w:line="480" w:lineRule="auto"/>
      </w:pPr>
      <w:r w:rsidRPr="003A660A">
        <w:lastRenderedPageBreak/>
        <w:t xml:space="preserve">NMR </w:t>
      </w:r>
      <w:proofErr w:type="spellStart"/>
      <w:r w:rsidRPr="003A660A">
        <w:t>metabolomics</w:t>
      </w:r>
      <w:proofErr w:type="spellEnd"/>
      <w:r w:rsidRPr="003A660A">
        <w:t xml:space="preserve"> </w:t>
      </w:r>
      <w:proofErr w:type="spellStart"/>
      <w:r w:rsidRPr="003A660A">
        <w:t>analysis</w:t>
      </w:r>
      <w:proofErr w:type="spellEnd"/>
      <w:r w:rsidRPr="003A660A">
        <w:t xml:space="preserve"> </w:t>
      </w:r>
    </w:p>
    <w:p w14:paraId="0398DAB9" w14:textId="730F17E2" w:rsidR="007E4E25" w:rsidRPr="00EA14BB" w:rsidRDefault="007E4E25" w:rsidP="005203AC">
      <w:pPr>
        <w:spacing w:after="0"/>
        <w:rPr>
          <w:rFonts w:cs="Times New Roman"/>
          <w:color w:val="222222"/>
          <w:szCs w:val="24"/>
          <w:shd w:val="clear" w:color="auto" w:fill="FFFFFF"/>
          <w:lang w:val="en-GB"/>
        </w:rPr>
      </w:pPr>
      <w:r w:rsidRPr="005100A9">
        <w:rPr>
          <w:rFonts w:cs="Times New Roman"/>
          <w:i/>
          <w:szCs w:val="24"/>
          <w:shd w:val="clear" w:color="auto" w:fill="FFFFFF"/>
          <w:lang w:val="en-GB"/>
        </w:rPr>
        <w:t>Metabolite extraction</w:t>
      </w:r>
      <w:r w:rsidRPr="005100A9">
        <w:rPr>
          <w:rFonts w:cs="Times New Roman"/>
          <w:szCs w:val="24"/>
          <w:shd w:val="clear" w:color="auto" w:fill="FFFFFF"/>
          <w:lang w:val="en-GB"/>
        </w:rPr>
        <w:t xml:space="preserve">: </w:t>
      </w:r>
      <w:r w:rsidRPr="005100A9">
        <w:rPr>
          <w:rFonts w:cs="Times New Roman"/>
          <w:lang w:val="en-GB"/>
        </w:rPr>
        <w:t xml:space="preserve">Following dissection and subsequent snap freezing in liquid nitrogen, polar metabolites were extracted from mussel tissues using a </w:t>
      </w:r>
      <w:proofErr w:type="spellStart"/>
      <w:r w:rsidRPr="005100A9">
        <w:rPr>
          <w:rFonts w:cs="Times New Roman"/>
          <w:lang w:val="en-GB"/>
        </w:rPr>
        <w:t>methanol:water:chloroform</w:t>
      </w:r>
      <w:proofErr w:type="spellEnd"/>
      <w:r w:rsidRPr="005100A9">
        <w:rPr>
          <w:rFonts w:cs="Times New Roman"/>
          <w:lang w:val="en-GB"/>
        </w:rPr>
        <w:t xml:space="preserve"> solvent system and a </w:t>
      </w:r>
      <w:proofErr w:type="spellStart"/>
      <w:r w:rsidRPr="005100A9">
        <w:rPr>
          <w:rFonts w:cs="Times New Roman"/>
          <w:lang w:val="en-GB"/>
        </w:rPr>
        <w:t>Precellys</w:t>
      </w:r>
      <w:proofErr w:type="spellEnd"/>
      <w:r w:rsidRPr="005100A9">
        <w:rPr>
          <w:rFonts w:cs="Times New Roman"/>
          <w:lang w:val="en-GB"/>
        </w:rPr>
        <w:t xml:space="preserve"> 24 homogeniser (Stretton Scientific, UK), as described previously </w:t>
      </w:r>
      <w:r w:rsidRPr="00EA14BB">
        <w:rPr>
          <w:rFonts w:cs="Times New Roman"/>
          <w:lang w:val="en-GB"/>
        </w:rPr>
        <w:fldChar w:fldCharType="begin" w:fldLock="1"/>
      </w:r>
      <w:r w:rsidR="00AF4472">
        <w:rPr>
          <w:rFonts w:cs="Times New Roman"/>
          <w:lang w:val="en-GB"/>
        </w:rPr>
        <w:instrText>ADDIN CSL_CITATION {"citationItems":[{"id":"ITEM-1","itemData":{"DOI":"10.1016/j.ab.2007.10.002","ISBN":"0003-2697 (Print)\\n0003-2697 (Linking)","ISSN":"00032697","PMID":"17963684","abstract":"In metabolomics, tissues typically are extracted by grinding in liquid nitrogen followed by the stepwise addition of solvents. This is time-consuming and difficult to automate, and the multiple steps can introduce variability. Here we optimize tissue extraction methods compatible with high-throughput, reproducible nuclear magnetic resonance (NMR) spectroscopy- and mass spectrometry (MS)-based metabolomics. Previously, we concluded that methanol/chloroform/water extraction is preferable for metabolomics, and we further optimized this here using fish liver and an automated Precellys 24 bead-based homogenizer, allowing rapid extraction of multiple samples without carryover. We compared three solvent addition strategies: stepwise, two-step, and all solvents simultaneously. Then we evaluated strategies for improved partitioning of metabolites between solvent phases, including the addition of extra water and different partition times. Polar extracts were analyzed by NMR and principal components analysis, and the two-step approach was preferable based on lipid partitioning, reproducibility, yield, and throughput. Longer partitioning or extra water increased yield and decreased lipids in the polar phase but caused metabolic decay in these extracts. Overall, we conclude that the two-step method with extra water provides good quality data but that the two-step method with 10 min partitioning provides a more accurate snapshot of the metabolome. Finally, when validating the two-step strategy using NMR and MS metabolomics, we showed that technical variability was considerably smaller than biological variability. © 2007 Elsevier Inc. All rights reserved.","author":[{"dropping-particle":"","family":"Wu","given":"Huifeng","non-dropping-particle":"","parse-names":false,"suffix":""},{"dropping-particle":"","family":"Southam","given":"Andrew D.","non-dropping-particle":"","parse-names":false,"suffix":""},{"dropping-particle":"","family":"Hines","given":"Adam","non-dropping-particle":"","parse-names":false,"suffix":""},{"dropping-particle":"","family":"Viant","given":"Mark R.","non-dropping-particle":"","parse-names":false,"suffix":""}],"container-title":"Analytical Biochemistry","id":"ITEM-1","issue":"2","issued":{"date-parts":[["2008"]]},"page":"204-212","title":"High-throughput tissue extraction protocol for NMR- and MS-based metabolomics","type":"article-journal","volume":"372"},"uris":["http://www.mendeley.com/documents/?uuid=9fa1fde3-3791-4eec-bae1-7c9dd95d72c0"]}],"mendeley":{"formattedCitation":"(1)","plainTextFormattedCitation":"(1)","previouslyFormattedCitation":"(48)"},"properties":{"noteIndex":0},"schema":"https://github.com/citation-style-language/schema/raw/master/csl-citation.json"}</w:instrText>
      </w:r>
      <w:r w:rsidRPr="00EA14BB">
        <w:rPr>
          <w:rFonts w:cs="Times New Roman"/>
          <w:lang w:val="en-GB"/>
        </w:rPr>
        <w:fldChar w:fldCharType="separate"/>
      </w:r>
      <w:r w:rsidR="00AF4472" w:rsidRPr="00AF4472">
        <w:rPr>
          <w:rFonts w:cs="Times New Roman"/>
          <w:noProof/>
          <w:lang w:val="en-GB"/>
        </w:rPr>
        <w:t>(1)</w:t>
      </w:r>
      <w:r w:rsidRPr="00EA14BB">
        <w:rPr>
          <w:rFonts w:cs="Times New Roman"/>
          <w:lang w:val="en-GB"/>
        </w:rPr>
        <w:fldChar w:fldCharType="end"/>
      </w:r>
      <w:r w:rsidRPr="005100A9">
        <w:rPr>
          <w:rFonts w:cs="Times New Roman"/>
          <w:lang w:val="en-GB"/>
        </w:rPr>
        <w:t xml:space="preserve">. </w:t>
      </w:r>
      <w:r w:rsidRPr="00EA14BB">
        <w:rPr>
          <w:rFonts w:cs="Times New Roman"/>
          <w:szCs w:val="24"/>
          <w:shd w:val="clear" w:color="auto" w:fill="FFFFFF"/>
          <w:lang w:val="en-GB"/>
        </w:rPr>
        <w:t>E</w:t>
      </w:r>
      <w:r w:rsidRPr="005100A9">
        <w:rPr>
          <w:rFonts w:cs="Times New Roman"/>
          <w:szCs w:val="24"/>
          <w:shd w:val="clear" w:color="auto" w:fill="FFFFFF"/>
          <w:lang w:val="en-GB"/>
        </w:rPr>
        <w:t xml:space="preserve">ach dried polar metabolite extract was resuspended in 650 </w:t>
      </w:r>
      <w:proofErr w:type="spellStart"/>
      <w:r w:rsidRPr="005100A9">
        <w:rPr>
          <w:rFonts w:cs="Times New Roman"/>
          <w:szCs w:val="24"/>
          <w:shd w:val="clear" w:color="auto" w:fill="FFFFFF"/>
          <w:lang w:val="en-GB"/>
        </w:rPr>
        <w:t>μl</w:t>
      </w:r>
      <w:proofErr w:type="spellEnd"/>
      <w:r w:rsidRPr="005100A9">
        <w:rPr>
          <w:rFonts w:cs="Times New Roman"/>
          <w:szCs w:val="24"/>
          <w:shd w:val="clear" w:color="auto" w:fill="FFFFFF"/>
          <w:lang w:val="en-GB"/>
        </w:rPr>
        <w:t xml:space="preserve"> of sodium phosphate buffer solution (0.1M, 90% H</w:t>
      </w:r>
      <w:r w:rsidRPr="005100A9">
        <w:rPr>
          <w:rFonts w:cs="Times New Roman"/>
          <w:szCs w:val="24"/>
          <w:shd w:val="clear" w:color="auto" w:fill="FFFFFF"/>
          <w:vertAlign w:val="subscript"/>
          <w:lang w:val="en-GB"/>
        </w:rPr>
        <w:t>2</w:t>
      </w:r>
      <w:r w:rsidRPr="005100A9">
        <w:rPr>
          <w:rFonts w:cs="Times New Roman"/>
          <w:szCs w:val="24"/>
          <w:shd w:val="clear" w:color="auto" w:fill="FFFFFF"/>
          <w:lang w:val="en-GB"/>
        </w:rPr>
        <w:t>O/10% D</w:t>
      </w:r>
      <w:r w:rsidRPr="005100A9">
        <w:rPr>
          <w:rFonts w:cs="Times New Roman"/>
          <w:szCs w:val="24"/>
          <w:shd w:val="clear" w:color="auto" w:fill="FFFFFF"/>
          <w:vertAlign w:val="subscript"/>
          <w:lang w:val="en-GB"/>
        </w:rPr>
        <w:t>2</w:t>
      </w:r>
      <w:r w:rsidRPr="005100A9">
        <w:rPr>
          <w:rFonts w:cs="Times New Roman"/>
          <w:szCs w:val="24"/>
          <w:shd w:val="clear" w:color="auto" w:fill="FFFFFF"/>
          <w:lang w:val="en-GB"/>
        </w:rPr>
        <w:t>O, pH 7.0) containing an internal chemical shift standard of 1 mM sodium 3-trimethylsilyl-2,2,3,3-d4-propionate (TMSP).</w:t>
      </w:r>
      <w:r w:rsidRPr="005100A9">
        <w:rPr>
          <w:rStyle w:val="apple-converted-space"/>
          <w:rFonts w:cs="Times New Roman"/>
          <w:color w:val="222222"/>
          <w:szCs w:val="24"/>
          <w:shd w:val="clear" w:color="auto" w:fill="FFFFFF"/>
          <w:lang w:val="en-GB"/>
        </w:rPr>
        <w:t> </w:t>
      </w:r>
      <w:r w:rsidRPr="005100A9">
        <w:rPr>
          <w:rFonts w:cs="Times New Roman"/>
          <w:szCs w:val="24"/>
          <w:lang w:val="en-GB"/>
        </w:rPr>
        <w:br/>
      </w:r>
      <w:r w:rsidRPr="005100A9">
        <w:rPr>
          <w:rFonts w:cs="Times New Roman"/>
          <w:i/>
          <w:szCs w:val="24"/>
          <w:shd w:val="clear" w:color="auto" w:fill="FFFFFF"/>
          <w:lang w:val="en-GB"/>
        </w:rPr>
        <w:t>Data acquisition</w:t>
      </w:r>
      <w:r w:rsidRPr="005100A9">
        <w:rPr>
          <w:rFonts w:cs="Times New Roman"/>
          <w:szCs w:val="24"/>
          <w:shd w:val="clear" w:color="auto" w:fill="FFFFFF"/>
          <w:lang w:val="en-GB"/>
        </w:rPr>
        <w:t xml:space="preserve">: Samples were analysed using a Bruker </w:t>
      </w:r>
      <w:proofErr w:type="spellStart"/>
      <w:r w:rsidRPr="005100A9">
        <w:rPr>
          <w:rFonts w:cs="Times New Roman"/>
          <w:szCs w:val="24"/>
          <w:shd w:val="clear" w:color="auto" w:fill="FFFFFF"/>
          <w:lang w:val="en-GB"/>
        </w:rPr>
        <w:t>Avance</w:t>
      </w:r>
      <w:proofErr w:type="spellEnd"/>
      <w:r w:rsidRPr="005100A9">
        <w:rPr>
          <w:rFonts w:cs="Times New Roman"/>
          <w:szCs w:val="24"/>
          <w:shd w:val="clear" w:color="auto" w:fill="FFFFFF"/>
          <w:lang w:val="en-GB"/>
        </w:rPr>
        <w:t xml:space="preserve"> III 500 MHz NMR spectrometer operating at 500.18 MHz </w:t>
      </w:r>
      <w:r w:rsidRPr="005100A9">
        <w:rPr>
          <w:rFonts w:cs="Times New Roman"/>
          <w:szCs w:val="24"/>
          <w:shd w:val="clear" w:color="auto" w:fill="FFFFFF"/>
          <w:vertAlign w:val="superscript"/>
          <w:lang w:val="en-GB"/>
        </w:rPr>
        <w:t>1</w:t>
      </w:r>
      <w:r w:rsidRPr="005100A9">
        <w:rPr>
          <w:rFonts w:cs="Times New Roman"/>
          <w:szCs w:val="24"/>
          <w:shd w:val="clear" w:color="auto" w:fill="FFFFFF"/>
          <w:lang w:val="en-GB"/>
        </w:rPr>
        <w:t xml:space="preserve">H resonance frequency, equipped with a 5 mm cryoprobe and BACS-60 automatic sample changer (Bruker </w:t>
      </w:r>
      <w:proofErr w:type="spellStart"/>
      <w:r w:rsidRPr="005100A9">
        <w:rPr>
          <w:rFonts w:cs="Times New Roman"/>
          <w:szCs w:val="24"/>
          <w:shd w:val="clear" w:color="auto" w:fill="FFFFFF"/>
          <w:lang w:val="en-GB"/>
        </w:rPr>
        <w:t>Biospin</w:t>
      </w:r>
      <w:proofErr w:type="spellEnd"/>
      <w:r w:rsidRPr="005100A9">
        <w:rPr>
          <w:rFonts w:cs="Times New Roman"/>
          <w:szCs w:val="24"/>
          <w:shd w:val="clear" w:color="auto" w:fill="FFFFFF"/>
          <w:lang w:val="en-GB"/>
        </w:rPr>
        <w:t>, Coventry, UK).</w:t>
      </w:r>
      <w:r w:rsidRPr="005100A9">
        <w:rPr>
          <w:rStyle w:val="apple-converted-space"/>
          <w:rFonts w:cs="Times New Roman"/>
          <w:color w:val="222222"/>
          <w:szCs w:val="24"/>
          <w:shd w:val="clear" w:color="auto" w:fill="FFFFFF"/>
          <w:lang w:val="en-GB"/>
        </w:rPr>
        <w:t xml:space="preserve"> For each sample a two-dimensional </w:t>
      </w:r>
      <w:r w:rsidRPr="005100A9">
        <w:rPr>
          <w:vertAlign w:val="superscript"/>
          <w:lang w:val="en-GB"/>
        </w:rPr>
        <w:t>1</w:t>
      </w:r>
      <w:r w:rsidRPr="005100A9">
        <w:rPr>
          <w:lang w:val="en-GB"/>
        </w:rPr>
        <w:t xml:space="preserve">H, </w:t>
      </w:r>
      <w:r w:rsidRPr="005100A9">
        <w:rPr>
          <w:vertAlign w:val="superscript"/>
          <w:lang w:val="en-GB"/>
        </w:rPr>
        <w:t>1</w:t>
      </w:r>
      <w:r w:rsidRPr="005100A9">
        <w:rPr>
          <w:lang w:val="en-GB"/>
        </w:rPr>
        <w:t>H J-resolved (JRES) NMR spectrum was acquired using 16 transients per increment for 16 increments, collected into 16k data points, and spectral widths of 6009 Hz (12 ppm) in F2 (chemical shift axis) and 50 Hz in F1 (spin-spin coupling constant axis), with a 4.0-s relaxation delay. Datasets were zero-filled in F1 and both dimensions multiplied by sine-bell window functions prior to Fourier transformation. JRES spectra were tilted by 45</w:t>
      </w:r>
      <w:r w:rsidRPr="005100A9">
        <w:rPr>
          <w:rFonts w:cs="Arial"/>
          <w:lang w:val="en-GB"/>
        </w:rPr>
        <w:t>º</w:t>
      </w:r>
      <w:r w:rsidRPr="005100A9">
        <w:rPr>
          <w:lang w:val="en-GB"/>
        </w:rPr>
        <w:t>, symmetrized about F1, and then calibrated</w:t>
      </w:r>
      <w:r w:rsidRPr="005100A9">
        <w:rPr>
          <w:rFonts w:cs="Times New Roman"/>
          <w:szCs w:val="24"/>
          <w:shd w:val="clear" w:color="auto" w:fill="FFFFFF"/>
          <w:lang w:val="en-GB"/>
        </w:rPr>
        <w:t xml:space="preserve"> (TMSP, 0 ppm)</w:t>
      </w:r>
      <w:r w:rsidRPr="005100A9">
        <w:rPr>
          <w:lang w:val="en-GB"/>
        </w:rPr>
        <w:t xml:space="preserve">, all using </w:t>
      </w:r>
      <w:proofErr w:type="spellStart"/>
      <w:r w:rsidRPr="005100A9">
        <w:rPr>
          <w:lang w:val="en-GB"/>
        </w:rPr>
        <w:t>TopSpin</w:t>
      </w:r>
      <w:proofErr w:type="spellEnd"/>
      <w:r w:rsidRPr="005100A9">
        <w:rPr>
          <w:lang w:val="en-GB"/>
        </w:rPr>
        <w:t xml:space="preserve"> (Bruker). Data were exported as the 1-D skyline projections (along F2) of the JRES spectra (termed </w:t>
      </w:r>
      <w:proofErr w:type="spellStart"/>
      <w:r w:rsidRPr="005100A9">
        <w:rPr>
          <w:lang w:val="en-GB"/>
        </w:rPr>
        <w:t>pJRES</w:t>
      </w:r>
      <w:proofErr w:type="spellEnd"/>
      <w:r w:rsidRPr="005100A9">
        <w:rPr>
          <w:lang w:val="en-GB"/>
        </w:rPr>
        <w:t xml:space="preserve">) </w:t>
      </w:r>
      <w:r w:rsidRPr="00EA14BB">
        <w:rPr>
          <w:lang w:val="en-GB"/>
        </w:rPr>
        <w:fldChar w:fldCharType="begin" w:fldLock="1"/>
      </w:r>
      <w:r w:rsidR="00AF4472">
        <w:rPr>
          <w:lang w:val="en-GB"/>
        </w:rPr>
        <w:instrText>ADDIN CSL_CITATION {"citationItems":[{"id":"ITEM-1","itemData":{"DOI":"10.1002/pca.1186","ISBN":"0958-0344","ISSN":"09580344","PMID":"19904730","abstract":"One-dimensional (1D) (1)H NMR spectroscopy remains a leading analytical technology in metabolomics. Advantages of this approach include relatively rapid spectral acquisition and NMR resonances that provide a direct measure of metabolite concentration based upon a single internal standard. Severe spectral congestion can, however, significantly hinder both metabolite identification and quantification. Two-dimensional (1)H J-resolved (JRES) NMR spectroscopy retains many of the benefits of 1D NMR, but additionally disperses the overlapping resonances into a second dimension, reducing congestion and increasing metabolite specificity. The usefulness of this approach to metabolomics was first realised six years ago, and since then it has been used in biological, medical and environmental studies of plants and animals. Here we provide a basic introduction to the 2D JRES NMR experiment and then discuss strategies for spectral acquisition and processing in the context of metabolomics applications, concluding with some key recommendations: acquisition using a double spin-echo sequence with excitation sculpting; processing using the SEM window function, tilting and symmetricising, optionally followed by a skyline projection. Strategies for implementing JRES spectroscopy into the metabolomics toolbox are then considered, including its roles in metabolic fingerprinting, metabolite identification and metabolite quantification. Public resources and data standards for JRES metabolomics are reviewed. We conclude by evaluating the advantages (e.g. increased spectral dispersion and confidence in metabolite identification; fully automated processing; reduced batch-to-batch variation) and disadvantages (e.g. longer acquisition times; higher technical variability; phase-twisted lineshapes resulting in quantification errors) of 2D JRES NMR vs the established 1D approach for metabolomics.","author":[{"dropping-particle":"","family":"Ludwig","given":"Christian","non-dropping-particle":"","parse-names":false,"suffix":""},{"dropping-particle":"","family":"Viant","given":"Mark R.","non-dropping-particle":"","parse-names":false,"suffix":""}],"container-title":"Phytochemical Analysis","id":"ITEM-1","issue":"1","issued":{"date-parts":[["2010"]]},"page":"22-32","title":"Two-dimensional J-resolved NMR spectroscopy: Review of a key methodology in the metabolomics toolbox","type":"article-journal","volume":"21"},"uris":["http://www.mendeley.com/documents/?uuid=eddaac41-85b9-4ea3-9f02-6ccb200a28da"]}],"mendeley":{"formattedCitation":"(2)","plainTextFormattedCitation":"(2)","previouslyFormattedCitation":"(49)"},"properties":{"noteIndex":0},"schema":"https://github.com/citation-style-language/schema/raw/master/csl-citation.json"}</w:instrText>
      </w:r>
      <w:r w:rsidRPr="00EA14BB">
        <w:rPr>
          <w:lang w:val="en-GB"/>
        </w:rPr>
        <w:fldChar w:fldCharType="separate"/>
      </w:r>
      <w:r w:rsidR="00AF4472" w:rsidRPr="00AF4472">
        <w:rPr>
          <w:noProof/>
          <w:lang w:val="en-GB"/>
        </w:rPr>
        <w:t>(2)</w:t>
      </w:r>
      <w:r w:rsidRPr="00EA14BB">
        <w:rPr>
          <w:lang w:val="en-GB"/>
        </w:rPr>
        <w:fldChar w:fldCharType="end"/>
      </w:r>
      <w:r w:rsidRPr="005100A9">
        <w:rPr>
          <w:lang w:val="en-GB"/>
        </w:rPr>
        <w:t>.</w:t>
      </w:r>
    </w:p>
    <w:p w14:paraId="1A0BA162" w14:textId="04C9EEFC" w:rsidR="007E4E25" w:rsidRDefault="007E4E25" w:rsidP="005203AC">
      <w:pPr>
        <w:spacing w:after="0"/>
        <w:rPr>
          <w:rStyle w:val="apple-converted-space"/>
          <w:rFonts w:cs="Times New Roman"/>
          <w:color w:val="000000" w:themeColor="text1"/>
          <w:szCs w:val="24"/>
          <w:shd w:val="clear" w:color="auto" w:fill="FFFFFF"/>
          <w:lang w:val="en-GB"/>
        </w:rPr>
      </w:pPr>
      <w:r w:rsidRPr="005100A9">
        <w:rPr>
          <w:rFonts w:cs="Times New Roman"/>
          <w:i/>
          <w:color w:val="000000" w:themeColor="text1"/>
          <w:szCs w:val="24"/>
          <w:shd w:val="clear" w:color="auto" w:fill="FFFFFF"/>
          <w:lang w:val="en-GB"/>
        </w:rPr>
        <w:t>Pre</w:t>
      </w:r>
      <w:r w:rsidRPr="005100A9">
        <w:rPr>
          <w:rFonts w:cs="Times New Roman"/>
          <w:i/>
          <w:color w:val="000000" w:themeColor="text1"/>
          <w:szCs w:val="24"/>
          <w:lang w:val="en-GB"/>
        </w:rPr>
        <w:t>-processing</w:t>
      </w:r>
      <w:r w:rsidRPr="005100A9">
        <w:rPr>
          <w:rFonts w:cs="Times New Roman"/>
          <w:color w:val="000000" w:themeColor="text1"/>
          <w:szCs w:val="24"/>
          <w:lang w:val="en-GB"/>
        </w:rPr>
        <w:t>:</w:t>
      </w:r>
      <w:r w:rsidRPr="005100A9">
        <w:rPr>
          <w:rFonts w:cs="Times New Roman"/>
          <w:color w:val="000000" w:themeColor="text1"/>
          <w:szCs w:val="24"/>
          <w:shd w:val="clear" w:color="auto" w:fill="FFFFFF"/>
          <w:lang w:val="en-GB"/>
        </w:rPr>
        <w:t xml:space="preserve"> Each spectrum was binned between 10 and 0.2 with a bin width of 0.005ppm. Two regions were excluded (4.46 to 5.15 ppm, water; 7.6 to 7.76 ppm, residual chloroform from the extraction method). Data were normalized to total spectral area (TSA). Next, due to slight variation in the chemical shifts of some peaks, bins were compressed by calculating their mean. Six regions were compressed (7.11 to 7.16 ppm, 7.96 to 7.99 ppm, 7.99 to 8.02 ppm; 8.18 to 8.20 ppm, 8.26 to 8.29 ppm, and 8.58 to 8.61 ppm). A generalized log (</w:t>
      </w:r>
      <w:proofErr w:type="spellStart"/>
      <w:r w:rsidRPr="005100A9">
        <w:rPr>
          <w:rFonts w:cs="Times New Roman"/>
          <w:color w:val="000000" w:themeColor="text1"/>
          <w:szCs w:val="24"/>
          <w:shd w:val="clear" w:color="auto" w:fill="FFFFFF"/>
          <w:lang w:val="en-GB"/>
        </w:rPr>
        <w:t>Glog</w:t>
      </w:r>
      <w:proofErr w:type="spellEnd"/>
      <w:r w:rsidRPr="005100A9">
        <w:rPr>
          <w:rFonts w:cs="Times New Roman"/>
          <w:color w:val="000000" w:themeColor="text1"/>
          <w:szCs w:val="24"/>
          <w:shd w:val="clear" w:color="auto" w:fill="FFFFFF"/>
          <w:lang w:val="en-GB"/>
        </w:rPr>
        <w:t>) transformation was performed with lambda = 3.75e-</w:t>
      </w:r>
      <w:r w:rsidRPr="005100A9">
        <w:rPr>
          <w:rStyle w:val="apple-converted-space"/>
          <w:rFonts w:cs="Times New Roman"/>
          <w:color w:val="000000" w:themeColor="text1"/>
          <w:szCs w:val="24"/>
          <w:shd w:val="clear" w:color="auto" w:fill="FFFFFF"/>
          <w:lang w:val="en-GB"/>
        </w:rPr>
        <w:t xml:space="preserve">9 </w:t>
      </w:r>
      <w:r w:rsidRPr="00EA14BB">
        <w:rPr>
          <w:rStyle w:val="apple-converted-space"/>
          <w:rFonts w:cs="Times New Roman"/>
          <w:color w:val="000000" w:themeColor="text1"/>
          <w:szCs w:val="24"/>
          <w:shd w:val="clear" w:color="auto" w:fill="FFFFFF"/>
          <w:lang w:val="en-GB"/>
        </w:rPr>
        <w:fldChar w:fldCharType="begin" w:fldLock="1"/>
      </w:r>
      <w:r w:rsidR="00AF4472">
        <w:rPr>
          <w:rStyle w:val="apple-converted-space"/>
          <w:rFonts w:cs="Times New Roman"/>
          <w:color w:val="000000" w:themeColor="text1"/>
          <w:szCs w:val="24"/>
          <w:shd w:val="clear" w:color="auto" w:fill="FFFFFF"/>
          <w:lang w:val="en-GB"/>
        </w:rPr>
        <w:instrText>ADDIN CSL_CITATION {"citationItems":[{"id":"ITEM-1","itemData":{"DOI":"10.1186/1752-0509-1-S1-P22","author":[{"dropping-particle":"","family":"Parsons","given":"Helen","non-dropping-particle":"","parse-names":false,"suffix":""},{"dropping-particle":"","family":"Viant","given":"Mark","non-dropping-particle":"","parse-names":false,"suffix":""}],"container-title":"BMC systems biology","id":"ITEM-1","issued":{"date-parts":[["2007"]]},"page":"22","title":"Variance stabilising transformations for NMR metabolomics data","type":"article-journal","volume":"1(Suppl 1)"},"uris":["http://www.mendeley.com/documents/?uuid=11c8e9f2-f674-43ed-beb7-9255e357690f"]}],"mendeley":{"formattedCitation":"(3)","plainTextFormattedCitation":"(3)","previouslyFormattedCitation":"(50)"},"properties":{"noteIndex":0},"schema":"https://github.com/citation-style-language/schema/raw/master/csl-citation.json"}</w:instrText>
      </w:r>
      <w:r w:rsidRPr="00EA14BB">
        <w:rPr>
          <w:rStyle w:val="apple-converted-space"/>
          <w:rFonts w:cs="Times New Roman"/>
          <w:color w:val="000000" w:themeColor="text1"/>
          <w:szCs w:val="24"/>
          <w:shd w:val="clear" w:color="auto" w:fill="FFFFFF"/>
          <w:lang w:val="en-GB"/>
        </w:rPr>
        <w:fldChar w:fldCharType="separate"/>
      </w:r>
      <w:r w:rsidR="00AF4472" w:rsidRPr="00AF4472">
        <w:rPr>
          <w:rStyle w:val="apple-converted-space"/>
          <w:rFonts w:cs="Times New Roman"/>
          <w:noProof/>
          <w:color w:val="000000" w:themeColor="text1"/>
          <w:szCs w:val="24"/>
          <w:shd w:val="clear" w:color="auto" w:fill="FFFFFF"/>
          <w:lang w:val="en-GB"/>
        </w:rPr>
        <w:t>(3)</w:t>
      </w:r>
      <w:r w:rsidRPr="00EA14BB">
        <w:rPr>
          <w:rStyle w:val="apple-converted-space"/>
          <w:rFonts w:cs="Times New Roman"/>
          <w:color w:val="000000" w:themeColor="text1"/>
          <w:szCs w:val="24"/>
          <w:shd w:val="clear" w:color="auto" w:fill="FFFFFF"/>
          <w:lang w:val="en-GB"/>
        </w:rPr>
        <w:fldChar w:fldCharType="end"/>
      </w:r>
      <w:r w:rsidRPr="005100A9">
        <w:rPr>
          <w:rStyle w:val="apple-converted-space"/>
          <w:rFonts w:cs="Times New Roman"/>
          <w:color w:val="000000" w:themeColor="text1"/>
          <w:szCs w:val="24"/>
          <w:shd w:val="clear" w:color="auto" w:fill="FFFFFF"/>
          <w:lang w:val="en-GB"/>
        </w:rPr>
        <w:t>.</w:t>
      </w:r>
    </w:p>
    <w:p w14:paraId="4B3AEC97" w14:textId="77777777" w:rsidR="007E4E25" w:rsidRDefault="007E4E25" w:rsidP="007E4E25">
      <w:pPr>
        <w:spacing w:after="0"/>
        <w:jc w:val="both"/>
        <w:rPr>
          <w:rStyle w:val="apple-converted-space"/>
          <w:rFonts w:cs="Times New Roman"/>
          <w:color w:val="000000" w:themeColor="text1"/>
          <w:szCs w:val="24"/>
          <w:shd w:val="clear" w:color="auto" w:fill="FFFFFF"/>
          <w:lang w:val="en-GB"/>
        </w:rPr>
      </w:pPr>
    </w:p>
    <w:p w14:paraId="2E933B57" w14:textId="77777777" w:rsidR="007E4E25" w:rsidRPr="003A660A" w:rsidRDefault="007E4E25" w:rsidP="007E4E25">
      <w:pPr>
        <w:pStyle w:val="Heading2"/>
        <w:spacing w:line="480" w:lineRule="auto"/>
      </w:pPr>
      <w:proofErr w:type="spellStart"/>
      <w:r w:rsidRPr="003A660A">
        <w:t>Metabolite</w:t>
      </w:r>
      <w:proofErr w:type="spellEnd"/>
      <w:r w:rsidRPr="003A660A">
        <w:t xml:space="preserve"> </w:t>
      </w:r>
      <w:proofErr w:type="spellStart"/>
      <w:r w:rsidRPr="003A660A">
        <w:t>annotations</w:t>
      </w:r>
      <w:proofErr w:type="spellEnd"/>
      <w:r w:rsidRPr="003A660A">
        <w:t xml:space="preserve"> </w:t>
      </w:r>
    </w:p>
    <w:p w14:paraId="61585451" w14:textId="56ABBC94" w:rsidR="007E4E25" w:rsidRPr="005100A9" w:rsidRDefault="007E4E25" w:rsidP="005203AC">
      <w:pPr>
        <w:spacing w:after="0"/>
        <w:rPr>
          <w:rFonts w:eastAsia="Arial Unicode MS" w:cs="Times New Roman"/>
          <w:szCs w:val="24"/>
          <w:lang w:val="en-GB"/>
        </w:rPr>
      </w:pPr>
      <w:r w:rsidRPr="005100A9">
        <w:rPr>
          <w:rFonts w:eastAsia="Arial Unicode MS" w:cs="Times New Roman"/>
          <w:szCs w:val="24"/>
          <w:lang w:val="en-GB"/>
        </w:rPr>
        <w:t xml:space="preserve">The annotations of the metabolites contributing most to each cluster were then determined using the web-based automated identification tool developed at the University of Birmingham (http://www.bml-nmr.org/). This tool makes use of a library of NMR spectra of ca. 200 pure metabolite standards </w:t>
      </w:r>
      <w:r w:rsidRPr="00EA14BB">
        <w:rPr>
          <w:rFonts w:eastAsia="Arial Unicode MS" w:cs="Times New Roman"/>
          <w:szCs w:val="24"/>
          <w:lang w:val="en-GB"/>
        </w:rPr>
        <w:fldChar w:fldCharType="begin" w:fldLock="1"/>
      </w:r>
      <w:r w:rsidR="00AF4472">
        <w:rPr>
          <w:rFonts w:eastAsia="Arial Unicode MS" w:cs="Times New Roman"/>
          <w:szCs w:val="24"/>
          <w:lang w:val="en-GB"/>
        </w:rPr>
        <w:instrText>ADDIN CSL_CITATION {"citationItems":[{"id":"ITEM-1","itemData":{"DOI":"10.1007/s11306-011-0347-7","ISBN":"1573-3882","ISSN":"15733882","abstract":"Public databases of NMR spectra of low molecular weight metabolites must be constructed to remove the major bottleneck of metabolite identification and quantification in the analysis of metabolomics data. Two-dimensional (2-D) H-1 J-resolved spectroscopy represents a popular alternative to 1-D NMR methods, resolving the highly overlapped signals characteristic of complex metabolite mixtures across two frequency dimensions. Here we report the design, measurement and curation of, primarily, a database of 2-D J-resolved NMR spectra. Metabolites were selected based upon their importance within metabolic pathways and their detection potential by NMR, and prepared for analysis at pH 6.6, 7.0 and 7.4. Sixteen NMR spectra were recorded for each metabolite using a 500 MHz spectrometer, including 1-D and 2-D J-resolved spectra, different water suppression methods and different acquisition parameters. Some metabolites were removed due to limited solubility, poor NMR signal quality or contamination, and the final dataset comprised of 3328 NMR spectra arising from 208 metabolite standards. These data are housed in a purpose-built MySQL database (Birmingham Metabolite Library; BML-NMR) containing over 100 separate tables and allowing the efficient storage of raw free-induction-decays (FIDs), 1-D and 2-D NMR spectra and associated metadata. The database is compliant with the Metabolomics Standards Initiative (MSI) endorsed reporting requirements, with some necessary amendments. Library data can be accessed freely and searched through a custom written web interface (www.bml-nmr.org). FIDs, NMR spectra and associated metadata can be downloaded according to a newly implemented MSI-compatible XML schema.","author":[{"dropping-particle":"","family":"Ludwig","given":"Christian","non-dropping-particle":"","parse-names":false,"suffix":""},{"dropping-particle":"","family":"Easton","given":"John M.","non-dropping-particle":"","parse-names":false,"suffix":""},{"dropping-particle":"","family":"Lodi","given":"Alessia","non-dropping-particle":"","parse-names":false,"suffix":""},{"dropping-particle":"","family":"Tiziani","given":"Stefano","non-dropping-particle":"","parse-names":false,"suffix":""},{"dropping-particle":"","family":"Manzoor","given":"Susan E.","non-dropping-particle":"","parse-names":false,"suffix":""},{"dropping-particle":"","family":"Southam","given":"Andrew D.","non-dropping-particle":"","parse-names":false,"suffix":""},{"dropping-particle":"","family":"Byrne","given":"Jonathan J.","non-dropping-particle":"","parse-names":false,"suffix":""},{"dropping-particle":"","family":"Bishop","given":"Lisa M.","non-dropping-particle":"","parse-names":false,"suffix":""},{"dropping-particle":"","family":"He","given":"Shan","non-dropping-particle":"","parse-names":false,"suffix":""},{"dropping-particle":"","family":"Arvanitis","given":"Theodoros N.","non-dropping-particle":"","parse-names":false,"suffix":""},{"dropping-particle":"","family":"Günther","given":"Ulrich L.","non-dropping-particle":"","parse-names":false,"suffix":""},{"dropping-particle":"","family":"Viant","given":"Mark R.","non-dropping-particle":"","parse-names":false,"suffix":""}],"container-title":"Metabolomics","id":"ITEM-1","issue":"1","issued":{"date-parts":[["2012"]]},"page":"8-18","title":"Birmingham Metabolite Library: A publicly accessible database of 1-D1H and 2-D1H J-resolved NMR spectra of authentic metabolite standards (BML-NMR)","type":"article-journal","volume":"8"},"uris":["http://www.mendeley.com/documents/?uuid=c7a52868-085a-4b37-847d-243ca61d2412"]}],"mendeley":{"formattedCitation":"(4)","plainTextFormattedCitation":"(4)","previouslyFormattedCitation":"(54)"},"properties":{"noteIndex":0},"schema":"https://github.com/citation-style-language/schema/raw/master/csl-citation.json"}</w:instrText>
      </w:r>
      <w:r w:rsidRPr="00EA14BB">
        <w:rPr>
          <w:rFonts w:eastAsia="Arial Unicode MS" w:cs="Times New Roman"/>
          <w:szCs w:val="24"/>
          <w:lang w:val="en-GB"/>
        </w:rPr>
        <w:fldChar w:fldCharType="separate"/>
      </w:r>
      <w:r w:rsidR="00AF4472" w:rsidRPr="00AF4472">
        <w:rPr>
          <w:rFonts w:eastAsia="Arial Unicode MS" w:cs="Times New Roman"/>
          <w:noProof/>
          <w:szCs w:val="24"/>
          <w:lang w:val="en-GB"/>
        </w:rPr>
        <w:t>(4)</w:t>
      </w:r>
      <w:r w:rsidRPr="00EA14BB">
        <w:rPr>
          <w:rFonts w:eastAsia="Arial Unicode MS" w:cs="Times New Roman"/>
          <w:szCs w:val="24"/>
          <w:lang w:val="en-GB"/>
        </w:rPr>
        <w:fldChar w:fldCharType="end"/>
      </w:r>
      <w:r w:rsidRPr="005100A9">
        <w:rPr>
          <w:rFonts w:eastAsia="Arial Unicode MS" w:cs="Times New Roman"/>
          <w:szCs w:val="24"/>
          <w:lang w:val="en-GB"/>
        </w:rPr>
        <w:t>.</w:t>
      </w:r>
      <w:r w:rsidRPr="00EA14BB">
        <w:rPr>
          <w:rFonts w:eastAsia="Arial Unicode MS" w:cs="Times New Roman"/>
          <w:szCs w:val="24"/>
          <w:lang w:val="en-GB"/>
        </w:rPr>
        <w:t xml:space="preserve"> </w:t>
      </w:r>
      <w:r w:rsidRPr="005100A9">
        <w:rPr>
          <w:rFonts w:eastAsia="Arial Unicode MS" w:cs="Times New Roman"/>
          <w:szCs w:val="24"/>
          <w:lang w:val="en-GB"/>
        </w:rPr>
        <w:t xml:space="preserve">NMR chemical shift data from the literature </w:t>
      </w:r>
      <w:r w:rsidRPr="00EA14BB">
        <w:rPr>
          <w:rFonts w:eastAsia="Arial Unicode MS" w:cs="Times New Roman"/>
          <w:szCs w:val="24"/>
          <w:lang w:val="en-GB"/>
        </w:rPr>
        <w:fldChar w:fldCharType="begin" w:fldLock="1"/>
      </w:r>
      <w:r w:rsidR="00AF4472">
        <w:rPr>
          <w:rFonts w:eastAsia="Arial Unicode MS" w:cs="Times New Roman"/>
          <w:szCs w:val="24"/>
          <w:lang w:val="en-GB"/>
        </w:rPr>
        <w:instrText>ADDIN CSL_CITATION {"citationItems":[{"id":"ITEM-1","itemData":{"DOI":"10.1007/s11306-015-0789-4","ISSN":"1573-3882","author":[{"dropping-particle":"","family":"Watanabe","given":"Miki","non-dropping-particle":"","parse-names":false,"suffix":""},{"dropping-particle":"","family":"Meyer","given":"Kathryn A","non-dropping-particle":"","parse-names":false,"suffix":""},{"dropping-particle":"","family":"Jackson","given":"Tyler M","non-dropping-particle":"","parse-names":false,"suffix":""},{"dropping-particle":"","family":"Schock","given":"Tracey B","non-dropping-particle":"","parse-names":false,"suffix":""},{"dropping-particle":"","family":"Johnson","given":"W Edward","non-dropping-particle":"","parse-names":false,"suffix":""},{"dropping-particle":"","family":"Bearden","given":"Daniel W","non-dropping-particle":"","parse-names":false,"suffix":""}],"container-title":"Metabolomics","id":"ITEM-1","issued":{"date-parts":[["2015"]]},"page":"1302-1315","publisher":"Springer US","title":"Application of NMR-based metabolomics for environmental assessment in the Great Lakes using zebra mussel ( Dreissena polymorpha )","type":"article-journal"},"uris":["http://www.mendeley.com/documents/?uuid=e88d2a3e-ae7d-4bab-ac79-8e038276a341"]},{"id":"ITEM-2","itemData":{"DOI":"10.1093/conphys/cov023.Introduction","author":[{"dropping-particle":"","family":"Hurley-sanders","given":"Jennifer L","non-dropping-particle":"","parse-names":false,"suffix":""},{"dropping-particle":"","family":"Levine","given":"Jay F","non-dropping-particle":"","parse-names":false,"suffix":""},{"dropping-particle":"","family":"Nelson","given":"Stacy A C","non-dropping-particle":"","parse-names":false,"suffix":""},{"dropping-particle":"","family":"Law","given":"J M","non-dropping-particle":"","parse-names":false,"suffix":""},{"dropping-particle":"","family":"Showers","given":"William J","non-dropping-particle":"","parse-names":false,"suffix":""},{"dropping-particle":"","family":"Stoskopf","given":"Michael K","non-dropping-particle":"","parse-names":false,"suffix":""}],"id":"ITEM-2","issued":{"date-parts":[["2015"]]},"page":"1-10","title":"Key metabolites in tissue extracts of Elliptio complanata identified using 1 H nuclear magnetic resonance spectroscopy","type":"article-journal","volume":"3"},"uris":["http://www.mendeley.com/documents/?uuid=c3d39354-03a0-4b65-948a-12b4d038e683"]}],"mendeley":{"formattedCitation":"(5,6)","plainTextFormattedCitation":"(5,6)","previouslyFormattedCitation":"(55,56)"},"properties":{"noteIndex":0},"schema":"https://github.com/citation-style-language/schema/raw/master/csl-citation.json"}</w:instrText>
      </w:r>
      <w:r w:rsidRPr="00EA14BB">
        <w:rPr>
          <w:rFonts w:eastAsia="Arial Unicode MS" w:cs="Times New Roman"/>
          <w:szCs w:val="24"/>
          <w:lang w:val="en-GB"/>
        </w:rPr>
        <w:fldChar w:fldCharType="separate"/>
      </w:r>
      <w:r w:rsidR="00AF4472" w:rsidRPr="00AF4472">
        <w:rPr>
          <w:rFonts w:eastAsia="Arial Unicode MS" w:cs="Times New Roman"/>
          <w:noProof/>
          <w:szCs w:val="24"/>
          <w:lang w:val="en-GB"/>
        </w:rPr>
        <w:t>(5,6)</w:t>
      </w:r>
      <w:r w:rsidRPr="00EA14BB">
        <w:rPr>
          <w:rFonts w:eastAsia="Arial Unicode MS" w:cs="Times New Roman"/>
          <w:szCs w:val="24"/>
          <w:lang w:val="en-GB"/>
        </w:rPr>
        <w:fldChar w:fldCharType="end"/>
      </w:r>
      <w:r w:rsidRPr="005100A9">
        <w:rPr>
          <w:rFonts w:eastAsia="Arial Unicode MS" w:cs="Times New Roman"/>
          <w:szCs w:val="24"/>
          <w:lang w:val="en-GB"/>
        </w:rPr>
        <w:t xml:space="preserve"> were also used to check the metabolite identities (</w:t>
      </w:r>
      <w:r w:rsidRPr="005100A9">
        <w:rPr>
          <w:rFonts w:eastAsia="Arial Unicode MS" w:cs="Times New Roman"/>
          <w:b/>
          <w:szCs w:val="24"/>
          <w:lang w:val="en-GB"/>
        </w:rPr>
        <w:t>Table S1</w:t>
      </w:r>
      <w:r w:rsidRPr="005100A9">
        <w:rPr>
          <w:rFonts w:eastAsia="Arial Unicode MS" w:cs="Times New Roman"/>
          <w:szCs w:val="24"/>
          <w:lang w:val="en-GB"/>
        </w:rPr>
        <w:t>).</w:t>
      </w:r>
    </w:p>
    <w:p w14:paraId="34919876" w14:textId="296D3AE9" w:rsidR="007E4E25" w:rsidRDefault="007E4E25" w:rsidP="007E4E25">
      <w:pPr>
        <w:pStyle w:val="Heading1"/>
        <w:rPr>
          <w:noProof/>
        </w:rPr>
      </w:pPr>
      <w:r w:rsidRPr="006508C7">
        <w:rPr>
          <w:noProof/>
          <w:color w:val="C00000"/>
        </w:rPr>
        <w:lastRenderedPageBreak/>
        <w:t>Supplementary Figures and Tables</w:t>
      </w:r>
    </w:p>
    <w:p w14:paraId="730F4827" w14:textId="754A0AEA" w:rsidR="00876526" w:rsidRPr="009D5DF4" w:rsidRDefault="00876526" w:rsidP="00876526">
      <w:pPr>
        <w:keepNext/>
        <w:rPr>
          <w:lang w:val="en-GB"/>
        </w:rPr>
      </w:pPr>
      <w:r w:rsidRPr="009D5DF4">
        <w:rPr>
          <w:noProof/>
        </w:rPr>
        <w:drawing>
          <wp:inline distT="0" distB="0" distL="0" distR="0" wp14:anchorId="2471EE08" wp14:editId="41C56E24">
            <wp:extent cx="5943600" cy="44564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Figure1.png"/>
                    <pic:cNvPicPr/>
                  </pic:nvPicPr>
                  <pic:blipFill>
                    <a:blip r:embed="rId5">
                      <a:extLst>
                        <a:ext uri="{28A0092B-C50C-407E-A947-70E740481C1C}">
                          <a14:useLocalDpi xmlns:a14="http://schemas.microsoft.com/office/drawing/2010/main" val="0"/>
                        </a:ext>
                      </a:extLst>
                    </a:blip>
                    <a:stretch>
                      <a:fillRect/>
                    </a:stretch>
                  </pic:blipFill>
                  <pic:spPr>
                    <a:xfrm>
                      <a:off x="0" y="0"/>
                      <a:ext cx="5943600" cy="4456430"/>
                    </a:xfrm>
                    <a:prstGeom prst="rect">
                      <a:avLst/>
                    </a:prstGeom>
                  </pic:spPr>
                </pic:pic>
              </a:graphicData>
            </a:graphic>
          </wp:inline>
        </w:drawing>
      </w:r>
    </w:p>
    <w:p w14:paraId="2C4FFD00" w14:textId="77777777" w:rsidR="00940564" w:rsidRPr="009D5DF4" w:rsidRDefault="00876526" w:rsidP="00876526">
      <w:pPr>
        <w:pStyle w:val="Caption"/>
        <w:rPr>
          <w:sz w:val="20"/>
          <w:szCs w:val="20"/>
          <w:lang w:val="en-GB"/>
        </w:rPr>
      </w:pPr>
      <w:proofErr w:type="spellStart"/>
      <w:r w:rsidRPr="009D5DF4">
        <w:rPr>
          <w:sz w:val="20"/>
          <w:szCs w:val="20"/>
          <w:lang w:val="en-GB"/>
        </w:rPr>
        <w:t>Figure.S</w:t>
      </w:r>
      <w:proofErr w:type="spellEnd"/>
      <w:r w:rsidRPr="009D5DF4">
        <w:rPr>
          <w:sz w:val="20"/>
          <w:szCs w:val="20"/>
          <w:lang w:val="en-GB"/>
        </w:rPr>
        <w:t xml:space="preserve"> </w:t>
      </w:r>
      <w:r w:rsidRPr="009D5DF4">
        <w:rPr>
          <w:sz w:val="20"/>
          <w:szCs w:val="20"/>
          <w:lang w:val="en-GB"/>
        </w:rPr>
        <w:fldChar w:fldCharType="begin"/>
      </w:r>
      <w:r w:rsidRPr="009D5DF4">
        <w:rPr>
          <w:sz w:val="20"/>
          <w:szCs w:val="20"/>
          <w:lang w:val="en-GB"/>
        </w:rPr>
        <w:instrText xml:space="preserve"> SEQ Figure.S \* ARABIC </w:instrText>
      </w:r>
      <w:r w:rsidRPr="009D5DF4">
        <w:rPr>
          <w:sz w:val="20"/>
          <w:szCs w:val="20"/>
          <w:lang w:val="en-GB"/>
        </w:rPr>
        <w:fldChar w:fldCharType="separate"/>
      </w:r>
      <w:r w:rsidRPr="009D5DF4">
        <w:rPr>
          <w:noProof/>
          <w:sz w:val="20"/>
          <w:szCs w:val="20"/>
          <w:lang w:val="en-GB"/>
        </w:rPr>
        <w:t>1</w:t>
      </w:r>
      <w:r w:rsidRPr="009D5DF4">
        <w:rPr>
          <w:sz w:val="20"/>
          <w:szCs w:val="20"/>
          <w:lang w:val="en-GB"/>
        </w:rPr>
        <w:fldChar w:fldCharType="end"/>
      </w:r>
      <w:r w:rsidRPr="009D5DF4">
        <w:rPr>
          <w:sz w:val="20"/>
          <w:szCs w:val="20"/>
          <w:lang w:val="en-GB"/>
        </w:rPr>
        <w:t>. A: temporal profiles of female and male mussels in Exmouth and Southampton. B: percentage of metabolite bins in each cluster that are significantly different between male and female (left) and Exmouth and Southampton (right). C: identified metabolites in the clusters.</w:t>
      </w:r>
    </w:p>
    <w:p w14:paraId="13A9B428" w14:textId="77777777" w:rsidR="00876526" w:rsidRPr="009D5DF4" w:rsidRDefault="00876526" w:rsidP="00876526">
      <w:pPr>
        <w:keepNext/>
        <w:rPr>
          <w:lang w:val="en-GB"/>
        </w:rPr>
      </w:pPr>
      <w:r w:rsidRPr="009D5DF4">
        <w:rPr>
          <w:noProof/>
        </w:rPr>
        <w:lastRenderedPageBreak/>
        <w:drawing>
          <wp:inline distT="0" distB="0" distL="0" distR="0" wp14:anchorId="4E1F2E9F" wp14:editId="1D4C77E9">
            <wp:extent cx="5943600" cy="411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Figure2.png"/>
                    <pic:cNvPicPr/>
                  </pic:nvPicPr>
                  <pic:blipFill>
                    <a:blip r:embed="rId6">
                      <a:extLst>
                        <a:ext uri="{28A0092B-C50C-407E-A947-70E740481C1C}">
                          <a14:useLocalDpi xmlns:a14="http://schemas.microsoft.com/office/drawing/2010/main" val="0"/>
                        </a:ext>
                      </a:extLst>
                    </a:blip>
                    <a:stretch>
                      <a:fillRect/>
                    </a:stretch>
                  </pic:blipFill>
                  <pic:spPr>
                    <a:xfrm>
                      <a:off x="0" y="0"/>
                      <a:ext cx="5943600" cy="4114800"/>
                    </a:xfrm>
                    <a:prstGeom prst="rect">
                      <a:avLst/>
                    </a:prstGeom>
                  </pic:spPr>
                </pic:pic>
              </a:graphicData>
            </a:graphic>
          </wp:inline>
        </w:drawing>
      </w:r>
    </w:p>
    <w:p w14:paraId="70711D1F" w14:textId="77777777" w:rsidR="00876526" w:rsidRPr="009D5DF4" w:rsidRDefault="00876526" w:rsidP="00876526">
      <w:pPr>
        <w:pStyle w:val="Caption"/>
        <w:rPr>
          <w:sz w:val="20"/>
          <w:szCs w:val="20"/>
          <w:lang w:val="en-GB"/>
        </w:rPr>
      </w:pPr>
      <w:proofErr w:type="spellStart"/>
      <w:r w:rsidRPr="009D5DF4">
        <w:rPr>
          <w:sz w:val="20"/>
          <w:szCs w:val="20"/>
          <w:lang w:val="en-GB"/>
        </w:rPr>
        <w:t>Figure.S</w:t>
      </w:r>
      <w:proofErr w:type="spellEnd"/>
      <w:r w:rsidRPr="009D5DF4">
        <w:rPr>
          <w:sz w:val="20"/>
          <w:szCs w:val="20"/>
          <w:lang w:val="en-GB"/>
        </w:rPr>
        <w:t xml:space="preserve"> </w:t>
      </w:r>
      <w:r w:rsidRPr="009D5DF4">
        <w:rPr>
          <w:sz w:val="20"/>
          <w:szCs w:val="20"/>
          <w:lang w:val="en-GB"/>
        </w:rPr>
        <w:fldChar w:fldCharType="begin"/>
      </w:r>
      <w:r w:rsidRPr="009D5DF4">
        <w:rPr>
          <w:sz w:val="20"/>
          <w:szCs w:val="20"/>
          <w:lang w:val="en-GB"/>
        </w:rPr>
        <w:instrText xml:space="preserve"> SEQ Figure.S \* ARABIC </w:instrText>
      </w:r>
      <w:r w:rsidRPr="009D5DF4">
        <w:rPr>
          <w:sz w:val="20"/>
          <w:szCs w:val="20"/>
          <w:lang w:val="en-GB"/>
        </w:rPr>
        <w:fldChar w:fldCharType="separate"/>
      </w:r>
      <w:r w:rsidRPr="009D5DF4">
        <w:rPr>
          <w:noProof/>
          <w:sz w:val="20"/>
          <w:szCs w:val="20"/>
          <w:lang w:val="en-GB"/>
        </w:rPr>
        <w:t>2</w:t>
      </w:r>
      <w:r w:rsidRPr="009D5DF4">
        <w:rPr>
          <w:sz w:val="20"/>
          <w:szCs w:val="20"/>
          <w:lang w:val="en-GB"/>
        </w:rPr>
        <w:fldChar w:fldCharType="end"/>
      </w:r>
      <w:r w:rsidRPr="009D5DF4">
        <w:rPr>
          <w:sz w:val="20"/>
          <w:szCs w:val="20"/>
          <w:lang w:val="en-GB"/>
        </w:rPr>
        <w:t>. Principal component analysis (PCA) describing the annual cycle in the Exmouth site for male (blue) and female (red) Mytilus edulis. A: all significant metabolites; B: 9 cluster medians; C: 20 metabolite bins for the clusters (including all identified metabolites plus 5 significant peaks); D: only 15 identified metabolites</w:t>
      </w:r>
    </w:p>
    <w:p w14:paraId="3E77301D" w14:textId="77777777" w:rsidR="00876526" w:rsidRPr="009D5DF4" w:rsidRDefault="00876526" w:rsidP="00876526">
      <w:pPr>
        <w:pStyle w:val="Caption"/>
        <w:rPr>
          <w:lang w:val="en-GB"/>
        </w:rPr>
      </w:pPr>
    </w:p>
    <w:p w14:paraId="7D7D9A21" w14:textId="4B6E1ED8" w:rsidR="00876526" w:rsidRPr="009D5DF4" w:rsidRDefault="00B31ADC" w:rsidP="00876526">
      <w:pPr>
        <w:keepNext/>
        <w:rPr>
          <w:lang w:val="en-GB"/>
        </w:rPr>
      </w:pPr>
      <w:r>
        <w:rPr>
          <w:noProof/>
        </w:rPr>
        <w:lastRenderedPageBreak/>
        <w:drawing>
          <wp:inline distT="0" distB="0" distL="0" distR="0" wp14:anchorId="5AA2225A" wp14:editId="2DDE5075">
            <wp:extent cx="4005618" cy="371632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upp.Figure3_FigureSuppVenn_jan21.png"/>
                    <pic:cNvPicPr/>
                  </pic:nvPicPr>
                  <pic:blipFill>
                    <a:blip r:embed="rId7">
                      <a:extLst>
                        <a:ext uri="{28A0092B-C50C-407E-A947-70E740481C1C}">
                          <a14:useLocalDpi xmlns:a14="http://schemas.microsoft.com/office/drawing/2010/main" val="0"/>
                        </a:ext>
                      </a:extLst>
                    </a:blip>
                    <a:stretch>
                      <a:fillRect/>
                    </a:stretch>
                  </pic:blipFill>
                  <pic:spPr>
                    <a:xfrm>
                      <a:off x="0" y="0"/>
                      <a:ext cx="4007849" cy="3718393"/>
                    </a:xfrm>
                    <a:prstGeom prst="rect">
                      <a:avLst/>
                    </a:prstGeom>
                  </pic:spPr>
                </pic:pic>
              </a:graphicData>
            </a:graphic>
          </wp:inline>
        </w:drawing>
      </w:r>
    </w:p>
    <w:p w14:paraId="568EDCC6" w14:textId="0063E0E2" w:rsidR="00876526" w:rsidRPr="009D5DF4" w:rsidRDefault="00876526" w:rsidP="00876526">
      <w:pPr>
        <w:pStyle w:val="Caption"/>
        <w:rPr>
          <w:sz w:val="20"/>
          <w:lang w:val="en-GB"/>
        </w:rPr>
      </w:pPr>
      <w:proofErr w:type="spellStart"/>
      <w:r w:rsidRPr="009D5DF4">
        <w:rPr>
          <w:sz w:val="20"/>
          <w:lang w:val="en-GB"/>
        </w:rPr>
        <w:t>Figure.S</w:t>
      </w:r>
      <w:proofErr w:type="spellEnd"/>
      <w:r w:rsidRPr="009D5DF4">
        <w:rPr>
          <w:sz w:val="20"/>
          <w:lang w:val="en-GB"/>
        </w:rPr>
        <w:t xml:space="preserve"> </w:t>
      </w:r>
      <w:r w:rsidRPr="009D5DF4">
        <w:rPr>
          <w:sz w:val="20"/>
          <w:lang w:val="en-GB"/>
        </w:rPr>
        <w:fldChar w:fldCharType="begin"/>
      </w:r>
      <w:r w:rsidRPr="009D5DF4">
        <w:rPr>
          <w:sz w:val="20"/>
          <w:lang w:val="en-GB"/>
        </w:rPr>
        <w:instrText xml:space="preserve"> SEQ Figure.S \* ARABIC </w:instrText>
      </w:r>
      <w:r w:rsidRPr="009D5DF4">
        <w:rPr>
          <w:sz w:val="20"/>
          <w:lang w:val="en-GB"/>
        </w:rPr>
        <w:fldChar w:fldCharType="separate"/>
      </w:r>
      <w:r w:rsidRPr="009D5DF4">
        <w:rPr>
          <w:noProof/>
          <w:sz w:val="20"/>
          <w:lang w:val="en-GB"/>
        </w:rPr>
        <w:t>3</w:t>
      </w:r>
      <w:r w:rsidRPr="009D5DF4">
        <w:rPr>
          <w:sz w:val="20"/>
          <w:lang w:val="en-GB"/>
        </w:rPr>
        <w:fldChar w:fldCharType="end"/>
      </w:r>
      <w:r w:rsidRPr="009D5DF4">
        <w:rPr>
          <w:sz w:val="20"/>
          <w:lang w:val="en-GB"/>
        </w:rPr>
        <w:t>. Figure S3. ANOVA for metabolites with FDR &lt; 0.01 and their interactions. For site, ANOVA was performed for 3 groups due to lack of male samples in so</w:t>
      </w:r>
      <w:r w:rsidR="00972B9B">
        <w:rPr>
          <w:sz w:val="20"/>
          <w:lang w:val="en-GB"/>
        </w:rPr>
        <w:t>me months. For season and sex</w:t>
      </w:r>
      <w:r w:rsidRPr="009D5DF4">
        <w:rPr>
          <w:sz w:val="20"/>
          <w:lang w:val="en-GB"/>
        </w:rPr>
        <w:t>, tests were performed for 11 months</w:t>
      </w:r>
    </w:p>
    <w:p w14:paraId="41B86A47" w14:textId="77777777" w:rsidR="00876526" w:rsidRPr="009D5DF4" w:rsidRDefault="00876526" w:rsidP="00876526">
      <w:pPr>
        <w:pStyle w:val="Caption"/>
        <w:rPr>
          <w:sz w:val="20"/>
          <w:lang w:val="en-GB"/>
        </w:rPr>
      </w:pPr>
      <w:r w:rsidRPr="009D5DF4">
        <w:rPr>
          <w:sz w:val="20"/>
          <w:lang w:val="en-GB"/>
        </w:rPr>
        <w:t>* Testing with 6 months in 3 groups only: Apr-May, Jun-Jul, Dec-Jan (FDR &lt;0.01)</w:t>
      </w:r>
    </w:p>
    <w:p w14:paraId="5AD1F12B" w14:textId="77777777" w:rsidR="00876526" w:rsidRPr="009D5DF4" w:rsidRDefault="00876526" w:rsidP="00876526">
      <w:pPr>
        <w:pStyle w:val="Caption"/>
        <w:rPr>
          <w:lang w:val="en-GB"/>
        </w:rPr>
      </w:pPr>
    </w:p>
    <w:p w14:paraId="431DF47C" w14:textId="77777777" w:rsidR="00876526" w:rsidRPr="009D5DF4" w:rsidRDefault="00876526" w:rsidP="00876526">
      <w:pPr>
        <w:keepNext/>
        <w:rPr>
          <w:lang w:val="en-GB"/>
        </w:rPr>
      </w:pPr>
      <w:r w:rsidRPr="009D5DF4">
        <w:rPr>
          <w:noProof/>
        </w:rPr>
        <w:lastRenderedPageBreak/>
        <w:drawing>
          <wp:inline distT="0" distB="0" distL="0" distR="0" wp14:anchorId="6432648E" wp14:editId="7C48926B">
            <wp:extent cx="5943600" cy="411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p.Figure4.png"/>
                    <pic:cNvPicPr/>
                  </pic:nvPicPr>
                  <pic:blipFill>
                    <a:blip r:embed="rId8">
                      <a:extLst>
                        <a:ext uri="{28A0092B-C50C-407E-A947-70E740481C1C}">
                          <a14:useLocalDpi xmlns:a14="http://schemas.microsoft.com/office/drawing/2010/main" val="0"/>
                        </a:ext>
                      </a:extLst>
                    </a:blip>
                    <a:stretch>
                      <a:fillRect/>
                    </a:stretch>
                  </pic:blipFill>
                  <pic:spPr>
                    <a:xfrm>
                      <a:off x="0" y="0"/>
                      <a:ext cx="5943600" cy="4114800"/>
                    </a:xfrm>
                    <a:prstGeom prst="rect">
                      <a:avLst/>
                    </a:prstGeom>
                  </pic:spPr>
                </pic:pic>
              </a:graphicData>
            </a:graphic>
          </wp:inline>
        </w:drawing>
      </w:r>
    </w:p>
    <w:p w14:paraId="6F39082B" w14:textId="77777777" w:rsidR="00876526" w:rsidRPr="009D5DF4" w:rsidRDefault="00876526" w:rsidP="00876526">
      <w:pPr>
        <w:pStyle w:val="Caption"/>
        <w:rPr>
          <w:sz w:val="20"/>
          <w:lang w:val="en-GB"/>
        </w:rPr>
      </w:pPr>
      <w:proofErr w:type="spellStart"/>
      <w:r w:rsidRPr="009D5DF4">
        <w:rPr>
          <w:sz w:val="20"/>
          <w:lang w:val="en-GB"/>
        </w:rPr>
        <w:t>Figure.S</w:t>
      </w:r>
      <w:proofErr w:type="spellEnd"/>
      <w:r w:rsidRPr="009D5DF4">
        <w:rPr>
          <w:sz w:val="20"/>
          <w:lang w:val="en-GB"/>
        </w:rPr>
        <w:t xml:space="preserve"> </w:t>
      </w:r>
      <w:r w:rsidRPr="009D5DF4">
        <w:rPr>
          <w:sz w:val="20"/>
          <w:lang w:val="en-GB"/>
        </w:rPr>
        <w:fldChar w:fldCharType="begin"/>
      </w:r>
      <w:r w:rsidRPr="009D5DF4">
        <w:rPr>
          <w:sz w:val="20"/>
          <w:lang w:val="en-GB"/>
        </w:rPr>
        <w:instrText xml:space="preserve"> SEQ Figure.S \* ARABIC </w:instrText>
      </w:r>
      <w:r w:rsidRPr="009D5DF4">
        <w:rPr>
          <w:sz w:val="20"/>
          <w:lang w:val="en-GB"/>
        </w:rPr>
        <w:fldChar w:fldCharType="separate"/>
      </w:r>
      <w:r w:rsidRPr="009D5DF4">
        <w:rPr>
          <w:noProof/>
          <w:sz w:val="20"/>
          <w:lang w:val="en-GB"/>
        </w:rPr>
        <w:t>4</w:t>
      </w:r>
      <w:r w:rsidRPr="009D5DF4">
        <w:rPr>
          <w:sz w:val="20"/>
          <w:lang w:val="en-GB"/>
        </w:rPr>
        <w:fldChar w:fldCharType="end"/>
      </w:r>
      <w:r w:rsidRPr="009D5DF4">
        <w:rPr>
          <w:sz w:val="20"/>
          <w:lang w:val="en-GB"/>
        </w:rPr>
        <w:t xml:space="preserve">. </w:t>
      </w:r>
      <w:proofErr w:type="spellStart"/>
      <w:r w:rsidRPr="009D5DF4">
        <w:rPr>
          <w:sz w:val="20"/>
          <w:lang w:val="en-GB"/>
        </w:rPr>
        <w:t>TDaracne</w:t>
      </w:r>
      <w:proofErr w:type="spellEnd"/>
      <w:r w:rsidRPr="009D5DF4">
        <w:rPr>
          <w:sz w:val="20"/>
          <w:lang w:val="en-GB"/>
        </w:rPr>
        <w:t xml:space="preserve"> network between clusters. Blue: physiological measurements, green: environmental measurements, red: metabolite levels. Intensity of red for metabolite levels indicate the percentage of metabolite bins significantly different between Exmouth and Southampton (male and female used for site differences)</w:t>
      </w:r>
    </w:p>
    <w:p w14:paraId="79FB52A1" w14:textId="77777777" w:rsidR="00876526" w:rsidRPr="009D5DF4" w:rsidRDefault="00876526" w:rsidP="00876526">
      <w:pPr>
        <w:pStyle w:val="Caption"/>
        <w:rPr>
          <w:lang w:val="en-GB"/>
        </w:rPr>
      </w:pPr>
    </w:p>
    <w:p w14:paraId="399DD1D1" w14:textId="77777777" w:rsidR="00876526" w:rsidRPr="009D5DF4" w:rsidRDefault="00876526" w:rsidP="00876526">
      <w:pPr>
        <w:keepNext/>
        <w:rPr>
          <w:lang w:val="en-GB"/>
        </w:rPr>
      </w:pPr>
      <w:r w:rsidRPr="009D5DF4">
        <w:rPr>
          <w:noProof/>
        </w:rPr>
        <w:lastRenderedPageBreak/>
        <w:drawing>
          <wp:inline distT="0" distB="0" distL="0" distR="0" wp14:anchorId="07261639" wp14:editId="5B2F4C37">
            <wp:extent cx="5943600" cy="36817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pp.Figure6.png"/>
                    <pic:cNvPicPr/>
                  </pic:nvPicPr>
                  <pic:blipFill>
                    <a:blip r:embed="rId9">
                      <a:extLst>
                        <a:ext uri="{28A0092B-C50C-407E-A947-70E740481C1C}">
                          <a14:useLocalDpi xmlns:a14="http://schemas.microsoft.com/office/drawing/2010/main" val="0"/>
                        </a:ext>
                      </a:extLst>
                    </a:blip>
                    <a:stretch>
                      <a:fillRect/>
                    </a:stretch>
                  </pic:blipFill>
                  <pic:spPr>
                    <a:xfrm>
                      <a:off x="0" y="0"/>
                      <a:ext cx="5943600" cy="3681730"/>
                    </a:xfrm>
                    <a:prstGeom prst="rect">
                      <a:avLst/>
                    </a:prstGeom>
                  </pic:spPr>
                </pic:pic>
              </a:graphicData>
            </a:graphic>
          </wp:inline>
        </w:drawing>
      </w:r>
    </w:p>
    <w:p w14:paraId="768704FB" w14:textId="3E04A164" w:rsidR="00876526" w:rsidRPr="009D5DF4" w:rsidRDefault="00876526" w:rsidP="00876526">
      <w:pPr>
        <w:pStyle w:val="Caption"/>
        <w:rPr>
          <w:sz w:val="20"/>
          <w:lang w:val="en-GB"/>
        </w:rPr>
      </w:pPr>
      <w:proofErr w:type="spellStart"/>
      <w:r w:rsidRPr="009D5DF4">
        <w:rPr>
          <w:sz w:val="20"/>
          <w:lang w:val="en-GB"/>
        </w:rPr>
        <w:t>Figure.S</w:t>
      </w:r>
      <w:proofErr w:type="spellEnd"/>
      <w:r w:rsidRPr="009D5DF4">
        <w:rPr>
          <w:sz w:val="20"/>
          <w:lang w:val="en-GB"/>
        </w:rPr>
        <w:t xml:space="preserve"> </w:t>
      </w:r>
      <w:r w:rsidR="000B2FE1" w:rsidRPr="009D5DF4">
        <w:rPr>
          <w:sz w:val="20"/>
          <w:lang w:val="en-GB"/>
        </w:rPr>
        <w:t>5</w:t>
      </w:r>
      <w:r w:rsidR="00877E53">
        <w:rPr>
          <w:sz w:val="20"/>
          <w:lang w:val="en-GB"/>
        </w:rPr>
        <w:t>. Sex</w:t>
      </w:r>
      <w:r w:rsidRPr="009D5DF4">
        <w:rPr>
          <w:sz w:val="20"/>
          <w:lang w:val="en-GB"/>
        </w:rPr>
        <w:t xml:space="preserve"> predictions for female Southampton mussels for all species from October to April</w:t>
      </w:r>
    </w:p>
    <w:p w14:paraId="34D70B05" w14:textId="77777777" w:rsidR="00876526" w:rsidRPr="009D5DF4" w:rsidRDefault="00876526" w:rsidP="00876526">
      <w:pPr>
        <w:keepNext/>
        <w:rPr>
          <w:lang w:val="en-GB"/>
        </w:rPr>
      </w:pPr>
      <w:r w:rsidRPr="009D5DF4">
        <w:rPr>
          <w:noProof/>
        </w:rPr>
        <w:lastRenderedPageBreak/>
        <w:drawing>
          <wp:inline distT="0" distB="0" distL="0" distR="0" wp14:anchorId="408BCD12" wp14:editId="4E470561">
            <wp:extent cx="5943600" cy="4521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upp.Figure7.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4521200"/>
                    </a:xfrm>
                    <a:prstGeom prst="rect">
                      <a:avLst/>
                    </a:prstGeom>
                  </pic:spPr>
                </pic:pic>
              </a:graphicData>
            </a:graphic>
          </wp:inline>
        </w:drawing>
      </w:r>
    </w:p>
    <w:p w14:paraId="38CE7FC8" w14:textId="017E3DEF" w:rsidR="00876526" w:rsidRPr="009D5DF4" w:rsidRDefault="00876526" w:rsidP="00876526">
      <w:pPr>
        <w:pStyle w:val="Caption"/>
        <w:rPr>
          <w:sz w:val="20"/>
          <w:lang w:val="en-GB"/>
        </w:rPr>
      </w:pPr>
      <w:proofErr w:type="spellStart"/>
      <w:r w:rsidRPr="009D5DF4">
        <w:rPr>
          <w:sz w:val="20"/>
          <w:lang w:val="en-GB"/>
        </w:rPr>
        <w:t>Figure.S</w:t>
      </w:r>
      <w:proofErr w:type="spellEnd"/>
      <w:r w:rsidRPr="009D5DF4">
        <w:rPr>
          <w:sz w:val="20"/>
          <w:lang w:val="en-GB"/>
        </w:rPr>
        <w:t xml:space="preserve"> </w:t>
      </w:r>
      <w:r w:rsidR="000B2FE1" w:rsidRPr="009D5DF4">
        <w:rPr>
          <w:sz w:val="20"/>
          <w:lang w:val="en-GB"/>
        </w:rPr>
        <w:t>6</w:t>
      </w:r>
      <w:r w:rsidR="00877E53">
        <w:rPr>
          <w:sz w:val="20"/>
          <w:lang w:val="en-GB"/>
        </w:rPr>
        <w:t>. Sex</w:t>
      </w:r>
      <w:r w:rsidRPr="009D5DF4">
        <w:rPr>
          <w:sz w:val="20"/>
          <w:lang w:val="en-GB"/>
        </w:rPr>
        <w:t xml:space="preserve"> predictions for male Southampton mussels in December and January for all species</w:t>
      </w:r>
    </w:p>
    <w:p w14:paraId="6508E1A3" w14:textId="77777777" w:rsidR="00876526" w:rsidRPr="009D5DF4" w:rsidRDefault="00876526" w:rsidP="00876526">
      <w:pPr>
        <w:keepNext/>
        <w:rPr>
          <w:lang w:val="en-GB"/>
        </w:rPr>
      </w:pPr>
      <w:r w:rsidRPr="009D5DF4">
        <w:rPr>
          <w:noProof/>
        </w:rPr>
        <w:lastRenderedPageBreak/>
        <w:drawing>
          <wp:inline distT="0" distB="0" distL="0" distR="0" wp14:anchorId="15A62BEA" wp14:editId="22EF6309">
            <wp:extent cx="5943600" cy="4114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pp.Figure8.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4114800"/>
                    </a:xfrm>
                    <a:prstGeom prst="rect">
                      <a:avLst/>
                    </a:prstGeom>
                  </pic:spPr>
                </pic:pic>
              </a:graphicData>
            </a:graphic>
          </wp:inline>
        </w:drawing>
      </w:r>
    </w:p>
    <w:p w14:paraId="20C51D15" w14:textId="77777777" w:rsidR="00876526" w:rsidRPr="009D5DF4" w:rsidRDefault="00876526" w:rsidP="00876526">
      <w:pPr>
        <w:pStyle w:val="Caption"/>
        <w:rPr>
          <w:sz w:val="20"/>
          <w:lang w:val="en-GB"/>
        </w:rPr>
      </w:pPr>
      <w:proofErr w:type="spellStart"/>
      <w:r w:rsidRPr="009D5DF4">
        <w:rPr>
          <w:sz w:val="20"/>
          <w:lang w:val="en-GB"/>
        </w:rPr>
        <w:t>Figure.S</w:t>
      </w:r>
      <w:proofErr w:type="spellEnd"/>
      <w:r w:rsidRPr="009D5DF4">
        <w:rPr>
          <w:sz w:val="20"/>
          <w:lang w:val="en-GB"/>
        </w:rPr>
        <w:t xml:space="preserve"> </w:t>
      </w:r>
      <w:r w:rsidR="000B2FE1" w:rsidRPr="009D5DF4">
        <w:rPr>
          <w:sz w:val="20"/>
          <w:lang w:val="en-GB"/>
        </w:rPr>
        <w:t>7</w:t>
      </w:r>
      <w:r w:rsidRPr="009D5DF4">
        <w:rPr>
          <w:sz w:val="20"/>
          <w:lang w:val="en-GB"/>
        </w:rPr>
        <w:t xml:space="preserve">. Metabolite levels in male and female mussels in two locations. A: Metabolites that differ between male and female </w:t>
      </w:r>
      <w:proofErr w:type="gramStart"/>
      <w:r w:rsidRPr="009D5DF4">
        <w:rPr>
          <w:sz w:val="20"/>
          <w:lang w:val="en-GB"/>
        </w:rPr>
        <w:t>mussels, but</w:t>
      </w:r>
      <w:proofErr w:type="gramEnd"/>
      <w:r w:rsidRPr="009D5DF4">
        <w:rPr>
          <w:sz w:val="20"/>
          <w:lang w:val="en-GB"/>
        </w:rPr>
        <w:t xml:space="preserve"> are not affected by site. B: Metabolites that differ between male and female mussels but are site-affected – male metabolite level in Southampton is more similar to the level of female mussels. C: Metabolite level in the female mussel is male-like in Southampton.</w:t>
      </w:r>
    </w:p>
    <w:p w14:paraId="44F97390" w14:textId="77777777" w:rsidR="00876526" w:rsidRPr="009D5DF4" w:rsidRDefault="00876526" w:rsidP="00876526">
      <w:pPr>
        <w:keepNext/>
        <w:rPr>
          <w:lang w:val="en-GB"/>
        </w:rPr>
      </w:pPr>
      <w:r w:rsidRPr="009D5DF4">
        <w:rPr>
          <w:noProof/>
        </w:rPr>
        <w:lastRenderedPageBreak/>
        <w:drawing>
          <wp:inline distT="0" distB="0" distL="0" distR="0" wp14:anchorId="54B71E7E" wp14:editId="1019B9E4">
            <wp:extent cx="5943600" cy="31750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pp.Figure9.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3175000"/>
                    </a:xfrm>
                    <a:prstGeom prst="rect">
                      <a:avLst/>
                    </a:prstGeom>
                  </pic:spPr>
                </pic:pic>
              </a:graphicData>
            </a:graphic>
          </wp:inline>
        </w:drawing>
      </w:r>
    </w:p>
    <w:p w14:paraId="30D33959" w14:textId="77777777" w:rsidR="00876526" w:rsidRPr="009D5DF4" w:rsidRDefault="00876526" w:rsidP="00876526">
      <w:pPr>
        <w:pStyle w:val="Caption"/>
        <w:rPr>
          <w:sz w:val="20"/>
          <w:lang w:val="en-GB"/>
        </w:rPr>
      </w:pPr>
      <w:proofErr w:type="spellStart"/>
      <w:r w:rsidRPr="009D5DF4">
        <w:rPr>
          <w:sz w:val="20"/>
          <w:lang w:val="en-GB"/>
        </w:rPr>
        <w:t>Figure.S</w:t>
      </w:r>
      <w:proofErr w:type="spellEnd"/>
      <w:r w:rsidRPr="009D5DF4">
        <w:rPr>
          <w:sz w:val="20"/>
          <w:lang w:val="en-GB"/>
        </w:rPr>
        <w:t xml:space="preserve"> </w:t>
      </w:r>
      <w:r w:rsidR="000B2FE1" w:rsidRPr="009D5DF4">
        <w:rPr>
          <w:sz w:val="20"/>
          <w:lang w:val="en-GB"/>
        </w:rPr>
        <w:t>8</w:t>
      </w:r>
      <w:r w:rsidR="00E95B8E" w:rsidRPr="009D5DF4">
        <w:rPr>
          <w:sz w:val="20"/>
          <w:lang w:val="en-GB"/>
        </w:rPr>
        <w:t xml:space="preserve">. Discrimination of male (blue) and </w:t>
      </w:r>
      <w:r w:rsidR="009D5DF4">
        <w:rPr>
          <w:sz w:val="20"/>
          <w:lang w:val="en-GB"/>
        </w:rPr>
        <w:t>female (red) mussels by GABA and</w:t>
      </w:r>
      <w:r w:rsidR="00E95B8E" w:rsidRPr="009D5DF4">
        <w:rPr>
          <w:sz w:val="20"/>
          <w:lang w:val="en-GB"/>
        </w:rPr>
        <w:t xml:space="preserve"> ATP in two locations: Exmouth (A) and Southampton (B).</w:t>
      </w:r>
    </w:p>
    <w:p w14:paraId="324BE399" w14:textId="77777777" w:rsidR="00876526" w:rsidRPr="009D5DF4" w:rsidRDefault="00876526" w:rsidP="00876526">
      <w:pPr>
        <w:keepNext/>
        <w:rPr>
          <w:lang w:val="en-GB"/>
        </w:rPr>
      </w:pPr>
      <w:r w:rsidRPr="009D5DF4">
        <w:rPr>
          <w:noProof/>
        </w:rPr>
        <w:lastRenderedPageBreak/>
        <w:drawing>
          <wp:inline distT="0" distB="0" distL="0" distR="0" wp14:anchorId="1C4AC835" wp14:editId="7BEF6946">
            <wp:extent cx="5943600" cy="4114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upp.Figure10.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4114800"/>
                    </a:xfrm>
                    <a:prstGeom prst="rect">
                      <a:avLst/>
                    </a:prstGeom>
                  </pic:spPr>
                </pic:pic>
              </a:graphicData>
            </a:graphic>
          </wp:inline>
        </w:drawing>
      </w:r>
    </w:p>
    <w:p w14:paraId="24673D60" w14:textId="195D98EA" w:rsidR="00E95B8E" w:rsidRPr="009D5DF4" w:rsidRDefault="00876526" w:rsidP="00E95B8E">
      <w:pPr>
        <w:pStyle w:val="Caption"/>
        <w:rPr>
          <w:sz w:val="20"/>
          <w:lang w:val="en-GB"/>
        </w:rPr>
      </w:pPr>
      <w:r w:rsidRPr="009D5DF4">
        <w:rPr>
          <w:sz w:val="20"/>
          <w:lang w:val="en-GB"/>
        </w:rPr>
        <w:t>Figure.S</w:t>
      </w:r>
      <w:r w:rsidR="000B2FE1" w:rsidRPr="009D5DF4">
        <w:rPr>
          <w:sz w:val="20"/>
          <w:lang w:val="en-GB"/>
        </w:rPr>
        <w:t>9</w:t>
      </w:r>
      <w:r w:rsidR="00E95B8E" w:rsidRPr="009D5DF4">
        <w:rPr>
          <w:sz w:val="20"/>
          <w:lang w:val="en-GB"/>
        </w:rPr>
        <w:t xml:space="preserve">. A. Overview of sex from two sites. B. Morphological parameters summarised from </w:t>
      </w:r>
      <w:proofErr w:type="spellStart"/>
      <w:r w:rsidR="00E95B8E" w:rsidRPr="009D5DF4">
        <w:rPr>
          <w:sz w:val="20"/>
          <w:lang w:val="en-GB"/>
        </w:rPr>
        <w:t>Bignell</w:t>
      </w:r>
      <w:proofErr w:type="spellEnd"/>
      <w:r w:rsidR="00E95B8E" w:rsidRPr="009D5DF4">
        <w:rPr>
          <w:sz w:val="20"/>
          <w:lang w:val="en-GB"/>
        </w:rPr>
        <w:t xml:space="preserve"> et. al 2008: yellow background indicates variables that were detected significantly more often in the Southampton site and purple background indicates variables that are were detected significantly less often in the Southampton site. Gray font indicates variables that did not differ between sites. C. Presence of parasites </w:t>
      </w:r>
      <w:r w:rsidR="00091F3B" w:rsidRPr="009D5DF4">
        <w:rPr>
          <w:sz w:val="20"/>
          <w:lang w:val="en-GB"/>
        </w:rPr>
        <w:t>summarised</w:t>
      </w:r>
      <w:r w:rsidR="00E95B8E" w:rsidRPr="009D5DF4">
        <w:rPr>
          <w:sz w:val="20"/>
          <w:lang w:val="en-GB"/>
        </w:rPr>
        <w:t xml:space="preserve"> from </w:t>
      </w:r>
      <w:proofErr w:type="spellStart"/>
      <w:r w:rsidR="00E95B8E" w:rsidRPr="009D5DF4">
        <w:rPr>
          <w:sz w:val="20"/>
          <w:lang w:val="en-GB"/>
        </w:rPr>
        <w:t>Bignell</w:t>
      </w:r>
      <w:proofErr w:type="spellEnd"/>
      <w:r w:rsidR="00E95B8E" w:rsidRPr="009D5DF4">
        <w:rPr>
          <w:sz w:val="20"/>
          <w:lang w:val="en-GB"/>
        </w:rPr>
        <w:t xml:space="preserve"> et. al 2008: yellow background indicates parasites that were detected more often in the Southampton site and purple background indicates parameters that were detected significantly less often in the Southampton site. Gray font indicates parasites that did not differ in their presence between sites.</w:t>
      </w:r>
    </w:p>
    <w:p w14:paraId="27AA48B8" w14:textId="77777777" w:rsidR="00876526" w:rsidRPr="009D5DF4" w:rsidRDefault="00876526" w:rsidP="00876526">
      <w:pPr>
        <w:pStyle w:val="Caption"/>
        <w:rPr>
          <w:lang w:val="en-GB"/>
        </w:rPr>
      </w:pPr>
    </w:p>
    <w:p w14:paraId="4AB48133" w14:textId="77777777" w:rsidR="00876526" w:rsidRPr="009D5DF4" w:rsidRDefault="00876526">
      <w:pPr>
        <w:rPr>
          <w:lang w:val="en-GB"/>
        </w:rPr>
      </w:pPr>
    </w:p>
    <w:p w14:paraId="09CD70E0" w14:textId="0C98C948" w:rsidR="00876526" w:rsidRPr="009D5DF4" w:rsidRDefault="00876526" w:rsidP="00876526">
      <w:pPr>
        <w:pStyle w:val="Caption"/>
        <w:keepNext/>
        <w:rPr>
          <w:sz w:val="20"/>
          <w:lang w:val="en-GB"/>
        </w:rPr>
      </w:pPr>
      <w:proofErr w:type="spellStart"/>
      <w:r w:rsidRPr="009D5DF4">
        <w:rPr>
          <w:sz w:val="20"/>
          <w:lang w:val="en-GB"/>
        </w:rPr>
        <w:lastRenderedPageBreak/>
        <w:t>Table.S</w:t>
      </w:r>
      <w:proofErr w:type="spellEnd"/>
      <w:r w:rsidRPr="009D5DF4">
        <w:rPr>
          <w:sz w:val="20"/>
          <w:lang w:val="en-GB"/>
        </w:rPr>
        <w:t xml:space="preserve"> </w:t>
      </w:r>
      <w:r w:rsidRPr="009D5DF4">
        <w:rPr>
          <w:sz w:val="20"/>
          <w:lang w:val="en-GB"/>
        </w:rPr>
        <w:fldChar w:fldCharType="begin"/>
      </w:r>
      <w:r w:rsidRPr="009D5DF4">
        <w:rPr>
          <w:sz w:val="20"/>
          <w:lang w:val="en-GB"/>
        </w:rPr>
        <w:instrText xml:space="preserve"> SEQ Table.S \* ARABIC </w:instrText>
      </w:r>
      <w:r w:rsidRPr="009D5DF4">
        <w:rPr>
          <w:sz w:val="20"/>
          <w:lang w:val="en-GB"/>
        </w:rPr>
        <w:fldChar w:fldCharType="separate"/>
      </w:r>
      <w:r w:rsidRPr="009D5DF4">
        <w:rPr>
          <w:noProof/>
          <w:sz w:val="20"/>
          <w:lang w:val="en-GB"/>
        </w:rPr>
        <w:t>1</w:t>
      </w:r>
      <w:r w:rsidRPr="009D5DF4">
        <w:rPr>
          <w:sz w:val="20"/>
          <w:lang w:val="en-GB"/>
        </w:rPr>
        <w:fldChar w:fldCharType="end"/>
      </w:r>
      <w:r w:rsidR="00E95B8E" w:rsidRPr="009D5DF4">
        <w:rPr>
          <w:sz w:val="20"/>
          <w:lang w:val="en-GB"/>
        </w:rPr>
        <w:t>. GALGO was u</w:t>
      </w:r>
      <w:r w:rsidR="00972B9B">
        <w:rPr>
          <w:sz w:val="20"/>
          <w:lang w:val="en-GB"/>
        </w:rPr>
        <w:t>sed to predict sex</w:t>
      </w:r>
      <w:r w:rsidR="00E95B8E" w:rsidRPr="009D5DF4">
        <w:rPr>
          <w:sz w:val="20"/>
          <w:lang w:val="en-GB"/>
        </w:rPr>
        <w:t xml:space="preserve"> based on metabol</w:t>
      </w:r>
      <w:r w:rsidR="00972B9B">
        <w:rPr>
          <w:sz w:val="20"/>
          <w:lang w:val="en-GB"/>
        </w:rPr>
        <w:t>ite levels and the ranked sex</w:t>
      </w:r>
      <w:r w:rsidR="00E95B8E" w:rsidRPr="009D5DF4">
        <w:rPr>
          <w:sz w:val="20"/>
          <w:lang w:val="en-GB"/>
        </w:rPr>
        <w:t>-predicting metabolites were used in GSEA to see which</w:t>
      </w:r>
      <w:r w:rsidR="00972B9B">
        <w:rPr>
          <w:sz w:val="20"/>
          <w:lang w:val="en-GB"/>
        </w:rPr>
        <w:t xml:space="preserve"> clusters are enriched in sex</w:t>
      </w:r>
      <w:r w:rsidR="00E95B8E" w:rsidRPr="009D5DF4">
        <w:rPr>
          <w:sz w:val="20"/>
          <w:lang w:val="en-GB"/>
        </w:rPr>
        <w:t>-predicting metabolites.</w:t>
      </w:r>
    </w:p>
    <w:p w14:paraId="296FF1B5" w14:textId="77777777" w:rsidR="00876526" w:rsidRPr="009D5DF4" w:rsidRDefault="00876526">
      <w:pPr>
        <w:rPr>
          <w:lang w:val="en-GB"/>
        </w:rPr>
      </w:pPr>
      <w:r w:rsidRPr="009D5DF4">
        <w:rPr>
          <w:noProof/>
        </w:rPr>
        <w:drawing>
          <wp:inline distT="0" distB="0" distL="0" distR="0" wp14:anchorId="69EC8D5C" wp14:editId="32F7FE6E">
            <wp:extent cx="5943600" cy="434149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uppTable1.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4341495"/>
                    </a:xfrm>
                    <a:prstGeom prst="rect">
                      <a:avLst/>
                    </a:prstGeom>
                  </pic:spPr>
                </pic:pic>
              </a:graphicData>
            </a:graphic>
          </wp:inline>
        </w:drawing>
      </w:r>
    </w:p>
    <w:p w14:paraId="4698664C" w14:textId="77777777" w:rsidR="00E95B8E" w:rsidRPr="009D5DF4" w:rsidRDefault="00E95B8E">
      <w:pPr>
        <w:rPr>
          <w:lang w:val="en-GB"/>
        </w:rPr>
      </w:pPr>
    </w:p>
    <w:p w14:paraId="5F995EA1" w14:textId="77777777" w:rsidR="00E95B8E" w:rsidRPr="009D5DF4" w:rsidRDefault="00E95B8E">
      <w:pPr>
        <w:rPr>
          <w:lang w:val="en-GB"/>
        </w:rPr>
      </w:pPr>
    </w:p>
    <w:p w14:paraId="19D02B58" w14:textId="77777777" w:rsidR="00E95B8E" w:rsidRPr="009D5DF4" w:rsidRDefault="00E95B8E">
      <w:pPr>
        <w:rPr>
          <w:lang w:val="en-GB"/>
        </w:rPr>
      </w:pPr>
    </w:p>
    <w:p w14:paraId="621B952D" w14:textId="77777777" w:rsidR="00E95B8E" w:rsidRPr="009D5DF4" w:rsidRDefault="00E95B8E">
      <w:pPr>
        <w:rPr>
          <w:lang w:val="en-GB"/>
        </w:rPr>
      </w:pPr>
    </w:p>
    <w:p w14:paraId="5736C0C1" w14:textId="77777777" w:rsidR="00E95B8E" w:rsidRPr="009D5DF4" w:rsidRDefault="00E95B8E">
      <w:pPr>
        <w:rPr>
          <w:lang w:val="en-GB"/>
        </w:rPr>
      </w:pPr>
    </w:p>
    <w:p w14:paraId="6A8D8B0C" w14:textId="77777777" w:rsidR="00E95B8E" w:rsidRPr="009D5DF4" w:rsidRDefault="00E95B8E">
      <w:pPr>
        <w:rPr>
          <w:lang w:val="en-GB"/>
        </w:rPr>
      </w:pPr>
    </w:p>
    <w:p w14:paraId="531C2A84" w14:textId="77777777" w:rsidR="00E95B8E" w:rsidRPr="009D5DF4" w:rsidRDefault="00E95B8E">
      <w:pPr>
        <w:rPr>
          <w:lang w:val="en-GB"/>
        </w:rPr>
      </w:pPr>
    </w:p>
    <w:p w14:paraId="7A97FE04" w14:textId="77777777" w:rsidR="00E95B8E" w:rsidRPr="009D5DF4" w:rsidRDefault="00E95B8E">
      <w:pPr>
        <w:rPr>
          <w:lang w:val="en-GB"/>
        </w:rPr>
      </w:pPr>
    </w:p>
    <w:p w14:paraId="33F8C728" w14:textId="77777777" w:rsidR="00E95B8E" w:rsidRPr="009D5DF4" w:rsidRDefault="00E95B8E">
      <w:pPr>
        <w:rPr>
          <w:lang w:val="en-GB"/>
        </w:rPr>
      </w:pPr>
    </w:p>
    <w:p w14:paraId="69FD0BFE" w14:textId="77777777" w:rsidR="00E95B8E" w:rsidRPr="009D5DF4" w:rsidRDefault="00E95B8E">
      <w:pPr>
        <w:rPr>
          <w:lang w:val="en-GB"/>
        </w:rPr>
      </w:pPr>
    </w:p>
    <w:p w14:paraId="2BC1ED89" w14:textId="77777777" w:rsidR="00E95B8E" w:rsidRPr="009D5DF4" w:rsidRDefault="00E95B8E">
      <w:pPr>
        <w:rPr>
          <w:lang w:val="en-GB"/>
        </w:rPr>
      </w:pPr>
    </w:p>
    <w:p w14:paraId="5C9BD608" w14:textId="76BD4102" w:rsidR="003843F4" w:rsidRPr="009D5DF4" w:rsidRDefault="003843F4" w:rsidP="003843F4">
      <w:pPr>
        <w:pStyle w:val="Caption"/>
        <w:keepNext/>
        <w:rPr>
          <w:sz w:val="20"/>
          <w:lang w:val="en-GB"/>
        </w:rPr>
      </w:pPr>
      <w:proofErr w:type="spellStart"/>
      <w:r w:rsidRPr="009D5DF4">
        <w:rPr>
          <w:sz w:val="20"/>
          <w:lang w:val="en-GB"/>
        </w:rPr>
        <w:lastRenderedPageBreak/>
        <w:t>Table.S</w:t>
      </w:r>
      <w:proofErr w:type="spellEnd"/>
      <w:r w:rsidRPr="009D5DF4">
        <w:rPr>
          <w:sz w:val="20"/>
          <w:lang w:val="en-GB"/>
        </w:rPr>
        <w:t xml:space="preserve"> </w:t>
      </w:r>
      <w:r w:rsidRPr="009D5DF4">
        <w:rPr>
          <w:sz w:val="20"/>
          <w:lang w:val="en-GB"/>
        </w:rPr>
        <w:fldChar w:fldCharType="begin"/>
      </w:r>
      <w:r w:rsidRPr="009D5DF4">
        <w:rPr>
          <w:sz w:val="20"/>
          <w:lang w:val="en-GB"/>
        </w:rPr>
        <w:instrText xml:space="preserve"> SEQ Table.S \* ARABIC </w:instrText>
      </w:r>
      <w:r w:rsidRPr="009D5DF4">
        <w:rPr>
          <w:sz w:val="20"/>
          <w:lang w:val="en-GB"/>
        </w:rPr>
        <w:fldChar w:fldCharType="separate"/>
      </w:r>
      <w:r w:rsidRPr="009D5DF4">
        <w:rPr>
          <w:noProof/>
          <w:sz w:val="20"/>
          <w:lang w:val="en-GB"/>
        </w:rPr>
        <w:t>2</w:t>
      </w:r>
      <w:r w:rsidRPr="009D5DF4">
        <w:rPr>
          <w:sz w:val="20"/>
          <w:lang w:val="en-GB"/>
        </w:rPr>
        <w:fldChar w:fldCharType="end"/>
      </w:r>
      <w:r>
        <w:rPr>
          <w:sz w:val="20"/>
          <w:lang w:val="en-GB"/>
        </w:rPr>
        <w:t>. Top 20 sex</w:t>
      </w:r>
      <w:r w:rsidRPr="009D5DF4">
        <w:rPr>
          <w:sz w:val="20"/>
          <w:lang w:val="en-GB"/>
        </w:rPr>
        <w:t>-specific metabolite bins and their putative identities from Birmingham Metabolite Library (</w:t>
      </w:r>
      <w:hyperlink r:id="rId15" w:history="1">
        <w:r w:rsidRPr="009D5DF4">
          <w:rPr>
            <w:rStyle w:val="Hyperlink"/>
            <w:sz w:val="20"/>
            <w:lang w:val="en-GB"/>
          </w:rPr>
          <w:t>http://www.bml-nmr.org/</w:t>
        </w:r>
      </w:hyperlink>
      <w:r w:rsidRPr="009D5DF4">
        <w:rPr>
          <w:sz w:val="20"/>
          <w:lang w:val="en-GB"/>
        </w:rPr>
        <w:t>), Watanabe et al. 2015 (https://www.ncbi.nlm.nih.gov/pmc/articles/PMC4559106/pdf/11306_2015_Article_789.pdf) and Hurley-Sanders et al. 2015 (https://www.ncbi.nlm.nih.gov/pmc/articles/PMC4778454/pdf/cov023.pdf)</w:t>
      </w:r>
    </w:p>
    <w:p w14:paraId="616EE7BE" w14:textId="77777777" w:rsidR="003843F4" w:rsidRPr="009D5DF4" w:rsidRDefault="003843F4" w:rsidP="003843F4">
      <w:pPr>
        <w:pStyle w:val="Caption"/>
        <w:keepNext/>
        <w:rPr>
          <w:lang w:val="en-GB"/>
        </w:rPr>
      </w:pPr>
    </w:p>
    <w:p w14:paraId="7B754A6A" w14:textId="58E176EA" w:rsidR="003843F4" w:rsidRDefault="003843F4" w:rsidP="003843F4">
      <w:pPr>
        <w:pStyle w:val="Caption"/>
        <w:keepNext/>
      </w:pPr>
    </w:p>
    <w:p w14:paraId="7092ED21" w14:textId="5EE686E6" w:rsidR="00876526" w:rsidRPr="009D5DF4" w:rsidRDefault="003843F4">
      <w:pPr>
        <w:rPr>
          <w:lang w:val="en-GB"/>
        </w:rPr>
      </w:pPr>
      <w:r>
        <w:rPr>
          <w:noProof/>
        </w:rPr>
        <w:drawing>
          <wp:inline distT="0" distB="0" distL="0" distR="0" wp14:anchorId="4CD211E7" wp14:editId="51D73F4C">
            <wp:extent cx="5943600" cy="363410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Table2_top20metabolites_dec4.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3634105"/>
                    </a:xfrm>
                    <a:prstGeom prst="rect">
                      <a:avLst/>
                    </a:prstGeom>
                  </pic:spPr>
                </pic:pic>
              </a:graphicData>
            </a:graphic>
          </wp:inline>
        </w:drawing>
      </w:r>
    </w:p>
    <w:p w14:paraId="4F9FED25" w14:textId="77777777" w:rsidR="00E95B8E" w:rsidRPr="009D5DF4" w:rsidRDefault="00E95B8E" w:rsidP="00876526">
      <w:pPr>
        <w:pStyle w:val="Caption"/>
        <w:keepNext/>
        <w:rPr>
          <w:sz w:val="20"/>
          <w:lang w:val="en-GB"/>
        </w:rPr>
      </w:pPr>
    </w:p>
    <w:p w14:paraId="45597C7B" w14:textId="7A37DC73" w:rsidR="00876526" w:rsidRPr="009D5DF4" w:rsidRDefault="00876526" w:rsidP="00876526">
      <w:pPr>
        <w:pStyle w:val="Caption"/>
        <w:keepNext/>
        <w:rPr>
          <w:sz w:val="20"/>
          <w:lang w:val="en-GB"/>
        </w:rPr>
      </w:pPr>
      <w:proofErr w:type="spellStart"/>
      <w:r w:rsidRPr="009D5DF4">
        <w:rPr>
          <w:sz w:val="20"/>
          <w:lang w:val="en-GB"/>
        </w:rPr>
        <w:t>Table.S</w:t>
      </w:r>
      <w:proofErr w:type="spellEnd"/>
      <w:r w:rsidRPr="009D5DF4">
        <w:rPr>
          <w:sz w:val="20"/>
          <w:lang w:val="en-GB"/>
        </w:rPr>
        <w:t xml:space="preserve"> </w:t>
      </w:r>
      <w:r w:rsidRPr="009D5DF4">
        <w:rPr>
          <w:sz w:val="20"/>
          <w:lang w:val="en-GB"/>
        </w:rPr>
        <w:fldChar w:fldCharType="begin"/>
      </w:r>
      <w:r w:rsidRPr="009D5DF4">
        <w:rPr>
          <w:sz w:val="20"/>
          <w:lang w:val="en-GB"/>
        </w:rPr>
        <w:instrText xml:space="preserve"> SEQ Table.S \* ARABIC </w:instrText>
      </w:r>
      <w:r w:rsidRPr="009D5DF4">
        <w:rPr>
          <w:sz w:val="20"/>
          <w:lang w:val="en-GB"/>
        </w:rPr>
        <w:fldChar w:fldCharType="separate"/>
      </w:r>
      <w:r w:rsidRPr="009D5DF4">
        <w:rPr>
          <w:noProof/>
          <w:sz w:val="20"/>
          <w:lang w:val="en-GB"/>
        </w:rPr>
        <w:t>3</w:t>
      </w:r>
      <w:r w:rsidRPr="009D5DF4">
        <w:rPr>
          <w:sz w:val="20"/>
          <w:lang w:val="en-GB"/>
        </w:rPr>
        <w:fldChar w:fldCharType="end"/>
      </w:r>
      <w:r w:rsidR="00E95B8E" w:rsidRPr="009D5DF4">
        <w:rPr>
          <w:sz w:val="20"/>
          <w:lang w:val="en-GB"/>
        </w:rPr>
        <w:t>. Spearman correlation between physiological and environmental meas</w:t>
      </w:r>
      <w:r w:rsidR="00534D5F">
        <w:rPr>
          <w:sz w:val="20"/>
          <w:lang w:val="en-GB"/>
        </w:rPr>
        <w:t>urements and metabolite cluster medians</w:t>
      </w:r>
      <w:r w:rsidR="00E95B8E" w:rsidRPr="009D5DF4">
        <w:rPr>
          <w:sz w:val="20"/>
          <w:lang w:val="en-GB"/>
        </w:rPr>
        <w:t xml:space="preserve"> in female (A) and male (B) mussels from Exmouth</w:t>
      </w:r>
    </w:p>
    <w:p w14:paraId="150964EF" w14:textId="42A5E11F" w:rsidR="00876526" w:rsidRDefault="00876526">
      <w:pPr>
        <w:rPr>
          <w:lang w:val="en-GB"/>
        </w:rPr>
      </w:pPr>
      <w:r w:rsidRPr="009D5DF4">
        <w:rPr>
          <w:noProof/>
        </w:rPr>
        <w:drawing>
          <wp:inline distT="0" distB="0" distL="0" distR="0" wp14:anchorId="0840BD73" wp14:editId="36B09688">
            <wp:extent cx="5943600" cy="27133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upp.Table3.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2713355"/>
                    </a:xfrm>
                    <a:prstGeom prst="rect">
                      <a:avLst/>
                    </a:prstGeom>
                  </pic:spPr>
                </pic:pic>
              </a:graphicData>
            </a:graphic>
          </wp:inline>
        </w:drawing>
      </w:r>
    </w:p>
    <w:p w14:paraId="4BE9ED3E" w14:textId="403ED222" w:rsidR="00AF4472" w:rsidRPr="00AF4472" w:rsidRDefault="00AF4472" w:rsidP="00AF4472">
      <w:pPr>
        <w:widowControl w:val="0"/>
        <w:autoSpaceDE w:val="0"/>
        <w:autoSpaceDN w:val="0"/>
        <w:adjustRightInd w:val="0"/>
        <w:spacing w:line="240" w:lineRule="auto"/>
        <w:ind w:left="640" w:hanging="640"/>
        <w:rPr>
          <w:rFonts w:ascii="Calibri" w:hAnsi="Calibri" w:cs="Times New Roman"/>
          <w:noProof/>
          <w:szCs w:val="24"/>
        </w:rPr>
      </w:pPr>
      <w:r>
        <w:rPr>
          <w:lang w:val="en-GB"/>
        </w:rPr>
        <w:fldChar w:fldCharType="begin" w:fldLock="1"/>
      </w:r>
      <w:r>
        <w:rPr>
          <w:lang w:val="en-GB"/>
        </w:rPr>
        <w:instrText xml:space="preserve">ADDIN Mendeley Bibliography CSL_BIBLIOGRAPHY </w:instrText>
      </w:r>
      <w:r>
        <w:rPr>
          <w:lang w:val="en-GB"/>
        </w:rPr>
        <w:fldChar w:fldCharType="separate"/>
      </w:r>
      <w:r w:rsidRPr="00AF4472">
        <w:rPr>
          <w:rFonts w:ascii="Calibri" w:hAnsi="Calibri" w:cs="Times New Roman"/>
          <w:noProof/>
          <w:szCs w:val="24"/>
        </w:rPr>
        <w:t xml:space="preserve">1. </w:t>
      </w:r>
      <w:r w:rsidRPr="00AF4472">
        <w:rPr>
          <w:rFonts w:ascii="Calibri" w:hAnsi="Calibri" w:cs="Times New Roman"/>
          <w:noProof/>
          <w:szCs w:val="24"/>
        </w:rPr>
        <w:tab/>
        <w:t xml:space="preserve">Wu H, Southam AD, Hines A, Viant MR. High-throughput tissue extraction protocol for NMR- and MS-based metabolomics. Anal Biochem. 2008;372(2):204–12. </w:t>
      </w:r>
    </w:p>
    <w:p w14:paraId="683F2F80" w14:textId="77777777" w:rsidR="00AF4472" w:rsidRPr="00AF4472" w:rsidRDefault="00AF4472" w:rsidP="00AF4472">
      <w:pPr>
        <w:widowControl w:val="0"/>
        <w:autoSpaceDE w:val="0"/>
        <w:autoSpaceDN w:val="0"/>
        <w:adjustRightInd w:val="0"/>
        <w:spacing w:line="240" w:lineRule="auto"/>
        <w:ind w:left="640" w:hanging="640"/>
        <w:rPr>
          <w:rFonts w:ascii="Calibri" w:hAnsi="Calibri" w:cs="Times New Roman"/>
          <w:noProof/>
          <w:szCs w:val="24"/>
        </w:rPr>
      </w:pPr>
      <w:r w:rsidRPr="00AF4472">
        <w:rPr>
          <w:rFonts w:ascii="Calibri" w:hAnsi="Calibri" w:cs="Times New Roman"/>
          <w:noProof/>
          <w:szCs w:val="24"/>
        </w:rPr>
        <w:t xml:space="preserve">2. </w:t>
      </w:r>
      <w:r w:rsidRPr="00AF4472">
        <w:rPr>
          <w:rFonts w:ascii="Calibri" w:hAnsi="Calibri" w:cs="Times New Roman"/>
          <w:noProof/>
          <w:szCs w:val="24"/>
        </w:rPr>
        <w:tab/>
        <w:t xml:space="preserve">Ludwig C, Viant MR. Two-dimensional J-resolved NMR spectroscopy: Review of a key methodology in the metabolomics toolbox. Phytochem Anal. 2010;21(1):22–32. </w:t>
      </w:r>
    </w:p>
    <w:p w14:paraId="5B0E2262" w14:textId="77777777" w:rsidR="00AF4472" w:rsidRPr="00AF4472" w:rsidRDefault="00AF4472" w:rsidP="00AF4472">
      <w:pPr>
        <w:widowControl w:val="0"/>
        <w:autoSpaceDE w:val="0"/>
        <w:autoSpaceDN w:val="0"/>
        <w:adjustRightInd w:val="0"/>
        <w:spacing w:line="240" w:lineRule="auto"/>
        <w:ind w:left="640" w:hanging="640"/>
        <w:rPr>
          <w:rFonts w:ascii="Calibri" w:hAnsi="Calibri" w:cs="Times New Roman"/>
          <w:noProof/>
          <w:szCs w:val="24"/>
        </w:rPr>
      </w:pPr>
      <w:r w:rsidRPr="00AF4472">
        <w:rPr>
          <w:rFonts w:ascii="Calibri" w:hAnsi="Calibri" w:cs="Times New Roman"/>
          <w:noProof/>
          <w:szCs w:val="24"/>
        </w:rPr>
        <w:t xml:space="preserve">3. </w:t>
      </w:r>
      <w:r w:rsidRPr="00AF4472">
        <w:rPr>
          <w:rFonts w:ascii="Calibri" w:hAnsi="Calibri" w:cs="Times New Roman"/>
          <w:noProof/>
          <w:szCs w:val="24"/>
        </w:rPr>
        <w:tab/>
        <w:t xml:space="preserve">Parsons H, Viant M. Variance stabilising transformations for NMR metabolomics data. BMC Syst Biol. 2007;1(Suppl 1):22. </w:t>
      </w:r>
    </w:p>
    <w:p w14:paraId="4849DE1F" w14:textId="77777777" w:rsidR="00AF4472" w:rsidRPr="00AF4472" w:rsidRDefault="00AF4472" w:rsidP="00AF4472">
      <w:pPr>
        <w:widowControl w:val="0"/>
        <w:autoSpaceDE w:val="0"/>
        <w:autoSpaceDN w:val="0"/>
        <w:adjustRightInd w:val="0"/>
        <w:spacing w:line="240" w:lineRule="auto"/>
        <w:ind w:left="640" w:hanging="640"/>
        <w:rPr>
          <w:rFonts w:ascii="Calibri" w:hAnsi="Calibri" w:cs="Times New Roman"/>
          <w:noProof/>
          <w:szCs w:val="24"/>
        </w:rPr>
      </w:pPr>
      <w:r w:rsidRPr="00AF4472">
        <w:rPr>
          <w:rFonts w:ascii="Calibri" w:hAnsi="Calibri" w:cs="Times New Roman"/>
          <w:noProof/>
          <w:szCs w:val="24"/>
        </w:rPr>
        <w:t xml:space="preserve">4. </w:t>
      </w:r>
      <w:r w:rsidRPr="00AF4472">
        <w:rPr>
          <w:rFonts w:ascii="Calibri" w:hAnsi="Calibri" w:cs="Times New Roman"/>
          <w:noProof/>
          <w:szCs w:val="24"/>
        </w:rPr>
        <w:tab/>
        <w:t xml:space="preserve">Ludwig C, Easton JM, Lodi A, Tiziani S, Manzoor SE, Southam AD, et al. Birmingham Metabolite Library: A publicly accessible database of 1-D1H and 2-D1H J-resolved NMR spectra of authentic metabolite standards (BML-NMR). Metabolomics. 2012;8(1):8–18. </w:t>
      </w:r>
    </w:p>
    <w:p w14:paraId="54DB20E7" w14:textId="77777777" w:rsidR="00AF4472" w:rsidRPr="00AF4472" w:rsidRDefault="00AF4472" w:rsidP="00AF4472">
      <w:pPr>
        <w:widowControl w:val="0"/>
        <w:autoSpaceDE w:val="0"/>
        <w:autoSpaceDN w:val="0"/>
        <w:adjustRightInd w:val="0"/>
        <w:spacing w:line="240" w:lineRule="auto"/>
        <w:ind w:left="640" w:hanging="640"/>
        <w:rPr>
          <w:rFonts w:ascii="Calibri" w:hAnsi="Calibri" w:cs="Times New Roman"/>
          <w:noProof/>
          <w:szCs w:val="24"/>
        </w:rPr>
      </w:pPr>
      <w:r w:rsidRPr="00AF4472">
        <w:rPr>
          <w:rFonts w:ascii="Calibri" w:hAnsi="Calibri" w:cs="Times New Roman"/>
          <w:noProof/>
          <w:szCs w:val="24"/>
        </w:rPr>
        <w:t xml:space="preserve">5. </w:t>
      </w:r>
      <w:r w:rsidRPr="00AF4472">
        <w:rPr>
          <w:rFonts w:ascii="Calibri" w:hAnsi="Calibri" w:cs="Times New Roman"/>
          <w:noProof/>
          <w:szCs w:val="24"/>
        </w:rPr>
        <w:tab/>
        <w:t xml:space="preserve">Watanabe M, Meyer KA, Jackson TM, Schock TB, Johnson WE, Bearden DW. Application of NMR-based metabolomics for environmental assessment in the Great Lakes using zebra mussel ( Dreissena polymorpha ). Metabolomics. 2015;1302–15. </w:t>
      </w:r>
    </w:p>
    <w:p w14:paraId="758A2F5B" w14:textId="77777777" w:rsidR="00AF4472" w:rsidRPr="00AF4472" w:rsidRDefault="00AF4472" w:rsidP="00AF4472">
      <w:pPr>
        <w:widowControl w:val="0"/>
        <w:autoSpaceDE w:val="0"/>
        <w:autoSpaceDN w:val="0"/>
        <w:adjustRightInd w:val="0"/>
        <w:spacing w:line="240" w:lineRule="auto"/>
        <w:ind w:left="640" w:hanging="640"/>
        <w:rPr>
          <w:rFonts w:ascii="Calibri" w:hAnsi="Calibri"/>
          <w:noProof/>
        </w:rPr>
      </w:pPr>
      <w:r w:rsidRPr="00AF4472">
        <w:rPr>
          <w:rFonts w:ascii="Calibri" w:hAnsi="Calibri" w:cs="Times New Roman"/>
          <w:noProof/>
          <w:szCs w:val="24"/>
        </w:rPr>
        <w:t xml:space="preserve">6. </w:t>
      </w:r>
      <w:r w:rsidRPr="00AF4472">
        <w:rPr>
          <w:rFonts w:ascii="Calibri" w:hAnsi="Calibri" w:cs="Times New Roman"/>
          <w:noProof/>
          <w:szCs w:val="24"/>
        </w:rPr>
        <w:tab/>
        <w:t xml:space="preserve">Hurley-sanders JL, Levine JF, Nelson SAC, Law JM, Showers WJ, Stoskopf MK. Key metabolites in tissue extracts of Elliptio complanata identified using 1 H nuclear magnetic resonance spectroscopy. 2015;3:1–10. </w:t>
      </w:r>
    </w:p>
    <w:p w14:paraId="70BA3DD2" w14:textId="472DB9D4" w:rsidR="00AF4472" w:rsidRPr="009D5DF4" w:rsidRDefault="00AF4472">
      <w:pPr>
        <w:rPr>
          <w:lang w:val="en-GB"/>
        </w:rPr>
      </w:pPr>
      <w:r>
        <w:rPr>
          <w:lang w:val="en-GB"/>
        </w:rPr>
        <w:fldChar w:fldCharType="end"/>
      </w:r>
    </w:p>
    <w:sectPr w:rsidR="00AF4472" w:rsidRPr="009D5DF4">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604020202020204"/>
    <w:charset w:val="00"/>
    <w:family w:val="swiss"/>
    <w:pitch w:val="variable"/>
    <w:sig w:usb0="E4002EFF" w:usb1="C000E47F"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1F5D"/>
    <w:rsid w:val="00091F3B"/>
    <w:rsid w:val="000B2FE1"/>
    <w:rsid w:val="00217E2F"/>
    <w:rsid w:val="003843F4"/>
    <w:rsid w:val="0039359A"/>
    <w:rsid w:val="005203AC"/>
    <w:rsid w:val="00534D5F"/>
    <w:rsid w:val="00541F5D"/>
    <w:rsid w:val="006508C7"/>
    <w:rsid w:val="007B1B0E"/>
    <w:rsid w:val="007E4E25"/>
    <w:rsid w:val="008259DF"/>
    <w:rsid w:val="00876526"/>
    <w:rsid w:val="00877E53"/>
    <w:rsid w:val="00972B9B"/>
    <w:rsid w:val="009C40CD"/>
    <w:rsid w:val="009D5DF4"/>
    <w:rsid w:val="00AE0203"/>
    <w:rsid w:val="00AF4472"/>
    <w:rsid w:val="00B31ADC"/>
    <w:rsid w:val="00B74CF8"/>
    <w:rsid w:val="00BD42C9"/>
    <w:rsid w:val="00C55E25"/>
    <w:rsid w:val="00E95B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1821D8"/>
  <w15:chartTrackingRefBased/>
  <w15:docId w15:val="{0E83493D-329A-48E8-848F-619009E59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E4E2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E4E25"/>
    <w:pPr>
      <w:spacing w:before="320" w:after="0" w:line="360" w:lineRule="auto"/>
      <w:outlineLvl w:val="1"/>
    </w:pPr>
    <w:rPr>
      <w:rFonts w:asciiTheme="majorHAnsi" w:eastAsiaTheme="majorEastAsia" w:hAnsiTheme="majorHAnsi" w:cstheme="majorBidi"/>
      <w:b/>
      <w:bCs/>
      <w:i/>
      <w:iCs/>
      <w:color w:val="C00000"/>
      <w:sz w:val="28"/>
      <w:szCs w:val="28"/>
      <w:lang w:val="et-EE" w:eastAsia="et-E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876526"/>
    <w:pPr>
      <w:spacing w:after="200" w:line="240" w:lineRule="auto"/>
    </w:pPr>
    <w:rPr>
      <w:i/>
      <w:iCs/>
      <w:color w:val="44546A" w:themeColor="text2"/>
      <w:sz w:val="18"/>
      <w:szCs w:val="18"/>
    </w:rPr>
  </w:style>
  <w:style w:type="paragraph" w:styleId="NormalWeb">
    <w:name w:val="Normal (Web)"/>
    <w:basedOn w:val="Normal"/>
    <w:uiPriority w:val="99"/>
    <w:semiHidden/>
    <w:unhideWhenUsed/>
    <w:rsid w:val="0087652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95B8E"/>
    <w:rPr>
      <w:color w:val="0563C1" w:themeColor="hyperlink"/>
      <w:u w:val="single"/>
    </w:rPr>
  </w:style>
  <w:style w:type="character" w:styleId="CommentReference">
    <w:name w:val="annotation reference"/>
    <w:basedOn w:val="DefaultParagraphFont"/>
    <w:uiPriority w:val="99"/>
    <w:semiHidden/>
    <w:unhideWhenUsed/>
    <w:rsid w:val="007B1B0E"/>
    <w:rPr>
      <w:sz w:val="16"/>
      <w:szCs w:val="16"/>
    </w:rPr>
  </w:style>
  <w:style w:type="paragraph" w:styleId="CommentText">
    <w:name w:val="annotation text"/>
    <w:basedOn w:val="Normal"/>
    <w:link w:val="CommentTextChar"/>
    <w:uiPriority w:val="99"/>
    <w:semiHidden/>
    <w:unhideWhenUsed/>
    <w:rsid w:val="007B1B0E"/>
    <w:pPr>
      <w:spacing w:line="240" w:lineRule="auto"/>
    </w:pPr>
    <w:rPr>
      <w:sz w:val="20"/>
      <w:szCs w:val="20"/>
    </w:rPr>
  </w:style>
  <w:style w:type="character" w:customStyle="1" w:styleId="CommentTextChar">
    <w:name w:val="Comment Text Char"/>
    <w:basedOn w:val="DefaultParagraphFont"/>
    <w:link w:val="CommentText"/>
    <w:uiPriority w:val="99"/>
    <w:semiHidden/>
    <w:rsid w:val="007B1B0E"/>
    <w:rPr>
      <w:sz w:val="20"/>
      <w:szCs w:val="20"/>
    </w:rPr>
  </w:style>
  <w:style w:type="paragraph" w:styleId="CommentSubject">
    <w:name w:val="annotation subject"/>
    <w:basedOn w:val="CommentText"/>
    <w:next w:val="CommentText"/>
    <w:link w:val="CommentSubjectChar"/>
    <w:uiPriority w:val="99"/>
    <w:semiHidden/>
    <w:unhideWhenUsed/>
    <w:rsid w:val="007B1B0E"/>
    <w:rPr>
      <w:b/>
      <w:bCs/>
    </w:rPr>
  </w:style>
  <w:style w:type="character" w:customStyle="1" w:styleId="CommentSubjectChar">
    <w:name w:val="Comment Subject Char"/>
    <w:basedOn w:val="CommentTextChar"/>
    <w:link w:val="CommentSubject"/>
    <w:uiPriority w:val="99"/>
    <w:semiHidden/>
    <w:rsid w:val="007B1B0E"/>
    <w:rPr>
      <w:b/>
      <w:bCs/>
      <w:sz w:val="20"/>
      <w:szCs w:val="20"/>
    </w:rPr>
  </w:style>
  <w:style w:type="paragraph" w:styleId="BalloonText">
    <w:name w:val="Balloon Text"/>
    <w:basedOn w:val="Normal"/>
    <w:link w:val="BalloonTextChar"/>
    <w:uiPriority w:val="99"/>
    <w:semiHidden/>
    <w:unhideWhenUsed/>
    <w:rsid w:val="007B1B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1B0E"/>
    <w:rPr>
      <w:rFonts w:ascii="Segoe UI" w:hAnsi="Segoe UI" w:cs="Segoe UI"/>
      <w:sz w:val="18"/>
      <w:szCs w:val="18"/>
    </w:rPr>
  </w:style>
  <w:style w:type="character" w:customStyle="1" w:styleId="Heading2Char">
    <w:name w:val="Heading 2 Char"/>
    <w:basedOn w:val="DefaultParagraphFont"/>
    <w:link w:val="Heading2"/>
    <w:uiPriority w:val="9"/>
    <w:rsid w:val="007E4E25"/>
    <w:rPr>
      <w:rFonts w:asciiTheme="majorHAnsi" w:eastAsiaTheme="majorEastAsia" w:hAnsiTheme="majorHAnsi" w:cstheme="majorBidi"/>
      <w:b/>
      <w:bCs/>
      <w:i/>
      <w:iCs/>
      <w:color w:val="C00000"/>
      <w:sz w:val="28"/>
      <w:szCs w:val="28"/>
      <w:lang w:val="et-EE" w:eastAsia="et-EE"/>
    </w:rPr>
  </w:style>
  <w:style w:type="character" w:customStyle="1" w:styleId="apple-converted-space">
    <w:name w:val="apple-converted-space"/>
    <w:basedOn w:val="DefaultParagraphFont"/>
    <w:rsid w:val="007E4E25"/>
  </w:style>
  <w:style w:type="character" w:customStyle="1" w:styleId="Heading1Char">
    <w:name w:val="Heading 1 Char"/>
    <w:basedOn w:val="DefaultParagraphFont"/>
    <w:link w:val="Heading1"/>
    <w:uiPriority w:val="9"/>
    <w:rsid w:val="007E4E25"/>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AE0203"/>
    <w:pPr>
      <w:spacing w:after="240" w:line="240" w:lineRule="auto"/>
    </w:pPr>
    <w:rPr>
      <w:rFonts w:asciiTheme="majorHAnsi" w:eastAsiaTheme="majorEastAsia" w:hAnsiTheme="majorHAnsi" w:cstheme="majorBidi"/>
      <w:b/>
      <w:bCs/>
      <w:i/>
      <w:iCs/>
      <w:color w:val="C00000"/>
      <w:spacing w:val="10"/>
      <w:sz w:val="40"/>
      <w:szCs w:val="60"/>
      <w:lang w:val="et-EE" w:eastAsia="et-EE"/>
    </w:rPr>
  </w:style>
  <w:style w:type="character" w:customStyle="1" w:styleId="TitleChar">
    <w:name w:val="Title Char"/>
    <w:basedOn w:val="DefaultParagraphFont"/>
    <w:link w:val="Title"/>
    <w:uiPriority w:val="10"/>
    <w:rsid w:val="00AE0203"/>
    <w:rPr>
      <w:rFonts w:asciiTheme="majorHAnsi" w:eastAsiaTheme="majorEastAsia" w:hAnsiTheme="majorHAnsi" w:cstheme="majorBidi"/>
      <w:b/>
      <w:bCs/>
      <w:i/>
      <w:iCs/>
      <w:color w:val="C00000"/>
      <w:spacing w:val="10"/>
      <w:sz w:val="40"/>
      <w:szCs w:val="60"/>
      <w:lang w:val="et-EE" w:eastAsia="et-E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8783212">
      <w:bodyDiv w:val="1"/>
      <w:marLeft w:val="0"/>
      <w:marRight w:val="0"/>
      <w:marTop w:val="0"/>
      <w:marBottom w:val="0"/>
      <w:divBdr>
        <w:top w:val="none" w:sz="0" w:space="0" w:color="auto"/>
        <w:left w:val="none" w:sz="0" w:space="0" w:color="auto"/>
        <w:bottom w:val="none" w:sz="0" w:space="0" w:color="auto"/>
        <w:right w:val="none" w:sz="0" w:space="0" w:color="auto"/>
      </w:divBdr>
    </w:div>
    <w:div w:id="559168691">
      <w:bodyDiv w:val="1"/>
      <w:marLeft w:val="0"/>
      <w:marRight w:val="0"/>
      <w:marTop w:val="0"/>
      <w:marBottom w:val="0"/>
      <w:divBdr>
        <w:top w:val="none" w:sz="0" w:space="0" w:color="auto"/>
        <w:left w:val="none" w:sz="0" w:space="0" w:color="auto"/>
        <w:bottom w:val="none" w:sz="0" w:space="0" w:color="auto"/>
        <w:right w:val="none" w:sz="0" w:space="0" w:color="auto"/>
      </w:divBdr>
    </w:div>
    <w:div w:id="681248370">
      <w:bodyDiv w:val="1"/>
      <w:marLeft w:val="0"/>
      <w:marRight w:val="0"/>
      <w:marTop w:val="0"/>
      <w:marBottom w:val="0"/>
      <w:divBdr>
        <w:top w:val="none" w:sz="0" w:space="0" w:color="auto"/>
        <w:left w:val="none" w:sz="0" w:space="0" w:color="auto"/>
        <w:bottom w:val="none" w:sz="0" w:space="0" w:color="auto"/>
        <w:right w:val="none" w:sz="0" w:space="0" w:color="auto"/>
      </w:divBdr>
    </w:div>
    <w:div w:id="912811174">
      <w:bodyDiv w:val="1"/>
      <w:marLeft w:val="0"/>
      <w:marRight w:val="0"/>
      <w:marTop w:val="0"/>
      <w:marBottom w:val="0"/>
      <w:divBdr>
        <w:top w:val="none" w:sz="0" w:space="0" w:color="auto"/>
        <w:left w:val="none" w:sz="0" w:space="0" w:color="auto"/>
        <w:bottom w:val="none" w:sz="0" w:space="0" w:color="auto"/>
        <w:right w:val="none" w:sz="0" w:space="0" w:color="auto"/>
      </w:divBdr>
    </w:div>
    <w:div w:id="981302754">
      <w:bodyDiv w:val="1"/>
      <w:marLeft w:val="0"/>
      <w:marRight w:val="0"/>
      <w:marTop w:val="0"/>
      <w:marBottom w:val="0"/>
      <w:divBdr>
        <w:top w:val="none" w:sz="0" w:space="0" w:color="auto"/>
        <w:left w:val="none" w:sz="0" w:space="0" w:color="auto"/>
        <w:bottom w:val="none" w:sz="0" w:space="0" w:color="auto"/>
        <w:right w:val="none" w:sz="0" w:space="0" w:color="auto"/>
      </w:divBdr>
    </w:div>
    <w:div w:id="1494687834">
      <w:bodyDiv w:val="1"/>
      <w:marLeft w:val="0"/>
      <w:marRight w:val="0"/>
      <w:marTop w:val="0"/>
      <w:marBottom w:val="0"/>
      <w:divBdr>
        <w:top w:val="none" w:sz="0" w:space="0" w:color="auto"/>
        <w:left w:val="none" w:sz="0" w:space="0" w:color="auto"/>
        <w:bottom w:val="none" w:sz="0" w:space="0" w:color="auto"/>
        <w:right w:val="none" w:sz="0" w:space="0" w:color="auto"/>
      </w:divBdr>
    </w:div>
    <w:div w:id="1659649198">
      <w:bodyDiv w:val="1"/>
      <w:marLeft w:val="0"/>
      <w:marRight w:val="0"/>
      <w:marTop w:val="0"/>
      <w:marBottom w:val="0"/>
      <w:divBdr>
        <w:top w:val="none" w:sz="0" w:space="0" w:color="auto"/>
        <w:left w:val="none" w:sz="0" w:space="0" w:color="auto"/>
        <w:bottom w:val="none" w:sz="0" w:space="0" w:color="auto"/>
        <w:right w:val="none" w:sz="0" w:space="0" w:color="auto"/>
      </w:divBdr>
    </w:div>
    <w:div w:id="1780225242">
      <w:bodyDiv w:val="1"/>
      <w:marLeft w:val="0"/>
      <w:marRight w:val="0"/>
      <w:marTop w:val="0"/>
      <w:marBottom w:val="0"/>
      <w:divBdr>
        <w:top w:val="none" w:sz="0" w:space="0" w:color="auto"/>
        <w:left w:val="none" w:sz="0" w:space="0" w:color="auto"/>
        <w:bottom w:val="none" w:sz="0" w:space="0" w:color="auto"/>
        <w:right w:val="none" w:sz="0" w:space="0" w:color="auto"/>
      </w:divBdr>
    </w:div>
    <w:div w:id="1923025427">
      <w:bodyDiv w:val="1"/>
      <w:marLeft w:val="0"/>
      <w:marRight w:val="0"/>
      <w:marTop w:val="0"/>
      <w:marBottom w:val="0"/>
      <w:divBdr>
        <w:top w:val="none" w:sz="0" w:space="0" w:color="auto"/>
        <w:left w:val="none" w:sz="0" w:space="0" w:color="auto"/>
        <w:bottom w:val="none" w:sz="0" w:space="0" w:color="auto"/>
        <w:right w:val="none" w:sz="0" w:space="0" w:color="auto"/>
      </w:divBdr>
    </w:div>
    <w:div w:id="1934632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www.bml-nmr.org/" TargetMode="External"/><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A1BC8F-7EC8-408B-96B6-9F097CEC5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14</Pages>
  <Words>3232</Words>
  <Characters>18427</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Tartu Ülikool</Company>
  <LinksUpToDate>false</LinksUpToDate>
  <CharactersWithSpaces>21616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jaanika</dc:creator>
  <cp:keywords/>
  <dc:description/>
  <cp:lastModifiedBy>Falciani, Francesco</cp:lastModifiedBy>
  <cp:revision>8</cp:revision>
  <dcterms:created xsi:type="dcterms:W3CDTF">2019-01-21T09:12:00Z</dcterms:created>
  <dcterms:modified xsi:type="dcterms:W3CDTF">2021-01-20T07:23:00Z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ac70d0da-fb31-320a-8282-04a814d02ea4</vt:lpwstr>
  </property>
  <property fmtid="{D5CDD505-2E9C-101B-9397-08002B2CF9AE}" pid="24" name="Mendeley Citation Style_1">
    <vt:lpwstr>http://www.zotero.org/styles/vancouver</vt:lpwstr>
  </property>
</Properties>
</file>