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7093E" w14:textId="13FC8386" w:rsidR="00C73353" w:rsidRPr="007C4D94" w:rsidRDefault="008C530E" w:rsidP="007C4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D9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73353" w:rsidRPr="007C4D94">
        <w:rPr>
          <w:rFonts w:ascii="Times New Roman" w:hAnsi="Times New Roman" w:cs="Times New Roman"/>
          <w:b/>
          <w:bCs/>
          <w:sz w:val="24"/>
          <w:szCs w:val="24"/>
        </w:rPr>
        <w:t>ample processing and DNA extraction</w:t>
      </w:r>
    </w:p>
    <w:p w14:paraId="0539406D" w14:textId="55A40185" w:rsidR="00C73353" w:rsidRPr="007C4D94" w:rsidRDefault="00C73353" w:rsidP="007C4D94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C4D94">
        <w:rPr>
          <w:rFonts w:ascii="Times New Roman" w:hAnsi="Times New Roman" w:cs="Times New Roman"/>
          <w:sz w:val="24"/>
          <w:szCs w:val="24"/>
        </w:rPr>
        <w:t>Tumor tissue were sampled via needle aspiration. Formalin fixation and paraffin</w:t>
      </w:r>
      <w:r w:rsidR="008C530E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embedding were then performed, followed by histologic section preparation. All PB</w:t>
      </w:r>
      <w:r w:rsidR="008C530E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samples were collected in cell-free DNA blood collection tubes (</w:t>
      </w:r>
      <w:proofErr w:type="spellStart"/>
      <w:r w:rsidRPr="007C4D94">
        <w:rPr>
          <w:rFonts w:ascii="Times New Roman" w:hAnsi="Times New Roman" w:cs="Times New Roman"/>
          <w:sz w:val="24"/>
          <w:szCs w:val="24"/>
        </w:rPr>
        <w:t>Streck</w:t>
      </w:r>
      <w:proofErr w:type="spellEnd"/>
      <w:r w:rsidRPr="007C4D94">
        <w:rPr>
          <w:rFonts w:ascii="Times New Roman" w:hAnsi="Times New Roman" w:cs="Times New Roman"/>
          <w:sz w:val="24"/>
          <w:szCs w:val="24"/>
        </w:rPr>
        <w:t>, Omaha, NE,</w:t>
      </w:r>
      <w:r w:rsidR="008C530E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USA) at room temperature, and would be processed within 72 h of collection. Plasma</w:t>
      </w:r>
      <w:r w:rsidR="008C530E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was separated by centrifugation at 2,500 × g for 10 min, transferred to</w:t>
      </w:r>
      <w:r w:rsidR="008C530E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microcentrifuge tubes, and centrifuged at 16,000 × g for 10 min to remove cell debris.</w:t>
      </w:r>
      <w:r w:rsidR="008C530E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Peripheral blood lymphocytes (PBL) were isolated from cell pellets following the</w:t>
      </w:r>
      <w:r w:rsidR="008C530E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initial spin. Genomic and germline DNA was extracted from tumor tissue and PBLs</w:t>
      </w:r>
      <w:r w:rsidR="008C530E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 xml:space="preserve">using the </w:t>
      </w:r>
      <w:proofErr w:type="spellStart"/>
      <w:r w:rsidRPr="007C4D94">
        <w:rPr>
          <w:rFonts w:ascii="Times New Roman" w:hAnsi="Times New Roman" w:cs="Times New Roman"/>
          <w:sz w:val="24"/>
          <w:szCs w:val="24"/>
        </w:rPr>
        <w:t>DNeasy</w:t>
      </w:r>
      <w:proofErr w:type="spellEnd"/>
      <w:r w:rsidRPr="007C4D94">
        <w:rPr>
          <w:rFonts w:ascii="Times New Roman" w:hAnsi="Times New Roman" w:cs="Times New Roman"/>
          <w:sz w:val="24"/>
          <w:szCs w:val="24"/>
        </w:rPr>
        <w:t xml:space="preserve"> Blood &amp; Tissue Kit (Qiagen, Hilden, Germany). Circulating</w:t>
      </w:r>
      <w:r w:rsidR="008C530E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cell-free DNA (</w:t>
      </w:r>
      <w:proofErr w:type="spellStart"/>
      <w:r w:rsidRPr="007C4D94">
        <w:rPr>
          <w:rFonts w:ascii="Times New Roman" w:hAnsi="Times New Roman" w:cs="Times New Roman"/>
          <w:sz w:val="24"/>
          <w:szCs w:val="24"/>
        </w:rPr>
        <w:t>cfDNA</w:t>
      </w:r>
      <w:proofErr w:type="spellEnd"/>
      <w:r w:rsidRPr="007C4D94">
        <w:rPr>
          <w:rFonts w:ascii="Times New Roman" w:hAnsi="Times New Roman" w:cs="Times New Roman"/>
          <w:sz w:val="24"/>
          <w:szCs w:val="24"/>
        </w:rPr>
        <w:t xml:space="preserve">) was extracted from 0.6-1.8 ml plasma using the </w:t>
      </w:r>
      <w:proofErr w:type="spellStart"/>
      <w:r w:rsidRPr="007C4D94">
        <w:rPr>
          <w:rFonts w:ascii="Times New Roman" w:hAnsi="Times New Roman" w:cs="Times New Roman"/>
          <w:sz w:val="24"/>
          <w:szCs w:val="24"/>
        </w:rPr>
        <w:t>QIAamp</w:t>
      </w:r>
      <w:proofErr w:type="spellEnd"/>
      <w:r w:rsidR="008C530E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Circulating Nucleic Acid Kit (Qiagen). All DNA was quantified using a Qubit</w:t>
      </w:r>
      <w:r w:rsidR="008C530E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 xml:space="preserve">fluorometer (Invitrogen, Carlsbad, CA, USA), and </w:t>
      </w:r>
      <w:proofErr w:type="spellStart"/>
      <w:r w:rsidRPr="007C4D94">
        <w:rPr>
          <w:rFonts w:ascii="Times New Roman" w:hAnsi="Times New Roman" w:cs="Times New Roman"/>
          <w:sz w:val="24"/>
          <w:szCs w:val="24"/>
        </w:rPr>
        <w:t>cfDNA</w:t>
      </w:r>
      <w:proofErr w:type="spellEnd"/>
      <w:r w:rsidRPr="007C4D94">
        <w:rPr>
          <w:rFonts w:ascii="Times New Roman" w:hAnsi="Times New Roman" w:cs="Times New Roman"/>
          <w:sz w:val="24"/>
          <w:szCs w:val="24"/>
        </w:rPr>
        <w:t xml:space="preserve"> fragment length were</w:t>
      </w:r>
      <w:r w:rsidR="008C530E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 xml:space="preserve">assessed using the Agilent 2100 </w:t>
      </w:r>
      <w:proofErr w:type="spellStart"/>
      <w:r w:rsidRPr="007C4D94">
        <w:rPr>
          <w:rFonts w:ascii="Times New Roman" w:hAnsi="Times New Roman" w:cs="Times New Roman"/>
          <w:sz w:val="24"/>
          <w:szCs w:val="24"/>
        </w:rPr>
        <w:t>BioAnalyzer</w:t>
      </w:r>
      <w:proofErr w:type="spellEnd"/>
      <w:r w:rsidRPr="007C4D94">
        <w:rPr>
          <w:rFonts w:ascii="Times New Roman" w:hAnsi="Times New Roman" w:cs="Times New Roman"/>
          <w:sz w:val="24"/>
          <w:szCs w:val="24"/>
        </w:rPr>
        <w:t xml:space="preserve"> (Agilent Technologies, Santa Clara, CA,</w:t>
      </w:r>
      <w:r w:rsidR="008C530E" w:rsidRPr="007C4D9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USA).</w:t>
      </w:r>
    </w:p>
    <w:p w14:paraId="00694A20" w14:textId="77777777" w:rsidR="00C73353" w:rsidRPr="007C4D94" w:rsidRDefault="00C73353" w:rsidP="007C4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78BE43" w14:textId="6E498F04" w:rsidR="00C73353" w:rsidRPr="007C4D94" w:rsidRDefault="00C73353" w:rsidP="007C4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D94">
        <w:rPr>
          <w:rFonts w:ascii="Times New Roman" w:hAnsi="Times New Roman" w:cs="Times New Roman"/>
          <w:b/>
          <w:bCs/>
          <w:sz w:val="24"/>
          <w:szCs w:val="24"/>
        </w:rPr>
        <w:t>Library construction and hybridization capture-based sequencing</w:t>
      </w:r>
    </w:p>
    <w:p w14:paraId="7C64EE4F" w14:textId="51AF8853" w:rsidR="00C73353" w:rsidRPr="007C4D94" w:rsidRDefault="00C73353" w:rsidP="007C4D94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C4D94">
        <w:rPr>
          <w:rFonts w:ascii="Times New Roman" w:hAnsi="Times New Roman" w:cs="Times New Roman"/>
          <w:sz w:val="24"/>
          <w:szCs w:val="24"/>
        </w:rPr>
        <w:t xml:space="preserve">Tissue and PBL DNA was sheared to 200-250 bp fragments with a </w:t>
      </w:r>
      <w:proofErr w:type="spellStart"/>
      <w:r w:rsidRPr="007C4D94">
        <w:rPr>
          <w:rFonts w:ascii="Times New Roman" w:hAnsi="Times New Roman" w:cs="Times New Roman"/>
          <w:sz w:val="24"/>
          <w:szCs w:val="24"/>
        </w:rPr>
        <w:t>Covaris</w:t>
      </w:r>
      <w:proofErr w:type="spellEnd"/>
      <w:r w:rsidRPr="007C4D94">
        <w:rPr>
          <w:rFonts w:ascii="Times New Roman" w:hAnsi="Times New Roman" w:cs="Times New Roman"/>
          <w:sz w:val="24"/>
          <w:szCs w:val="24"/>
        </w:rPr>
        <w:t xml:space="preserve"> S2</w:t>
      </w:r>
      <w:r w:rsidR="008C530E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instrument (Woburn, MA, USA) before library construction. After end-repair and</w:t>
      </w:r>
      <w:r w:rsidR="008C530E" w:rsidRPr="007C4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4D94">
        <w:rPr>
          <w:rFonts w:ascii="Times New Roman" w:hAnsi="Times New Roman" w:cs="Times New Roman"/>
          <w:sz w:val="24"/>
          <w:szCs w:val="24"/>
        </w:rPr>
        <w:t>polyA</w:t>
      </w:r>
      <w:proofErr w:type="spellEnd"/>
      <w:r w:rsidRPr="007C4D94">
        <w:rPr>
          <w:rFonts w:ascii="Times New Roman" w:hAnsi="Times New Roman" w:cs="Times New Roman"/>
          <w:sz w:val="24"/>
          <w:szCs w:val="24"/>
        </w:rPr>
        <w:t xml:space="preserve">  tailing</w:t>
      </w:r>
      <w:proofErr w:type="gramEnd"/>
      <w:r w:rsidRPr="007C4D94">
        <w:rPr>
          <w:rFonts w:ascii="Times New Roman" w:hAnsi="Times New Roman" w:cs="Times New Roman"/>
          <w:sz w:val="24"/>
          <w:szCs w:val="24"/>
        </w:rPr>
        <w:t>,   adapters   with</w:t>
      </w:r>
      <w:r w:rsidR="008C530E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unique</w:t>
      </w:r>
      <w:r w:rsidR="008C530E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identifiers</w:t>
      </w:r>
      <w:r w:rsidR="008C530E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were</w:t>
      </w:r>
      <w:r w:rsidR="008C530E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ligated</w:t>
      </w:r>
      <w:r w:rsidR="008C530E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to</w:t>
      </w:r>
      <w:r w:rsidR="008C530E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both ends of</w:t>
      </w:r>
      <w:r w:rsidR="008C530E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 xml:space="preserve">double-stranded  </w:t>
      </w:r>
      <w:proofErr w:type="spellStart"/>
      <w:r w:rsidRPr="007C4D94">
        <w:rPr>
          <w:rFonts w:ascii="Times New Roman" w:hAnsi="Times New Roman" w:cs="Times New Roman"/>
          <w:sz w:val="24"/>
          <w:szCs w:val="24"/>
        </w:rPr>
        <w:t>cfDNA</w:t>
      </w:r>
      <w:proofErr w:type="spellEnd"/>
      <w:r w:rsidRPr="007C4D94">
        <w:rPr>
          <w:rFonts w:ascii="Times New Roman" w:hAnsi="Times New Roman" w:cs="Times New Roman"/>
          <w:sz w:val="24"/>
          <w:szCs w:val="24"/>
        </w:rPr>
        <w:t xml:space="preserve"> fragments.</w:t>
      </w:r>
      <w:r w:rsidR="008C530E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Indexed Illumina NGS libraries were prepared</w:t>
      </w:r>
      <w:r w:rsidR="008C530E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 xml:space="preserve">from tissue, PBL germline and </w:t>
      </w:r>
      <w:proofErr w:type="spellStart"/>
      <w:r w:rsidRPr="007C4D94">
        <w:rPr>
          <w:rFonts w:ascii="Times New Roman" w:hAnsi="Times New Roman" w:cs="Times New Roman"/>
          <w:sz w:val="24"/>
          <w:szCs w:val="24"/>
        </w:rPr>
        <w:t>cfDNA</w:t>
      </w:r>
      <w:proofErr w:type="spellEnd"/>
      <w:r w:rsidRPr="007C4D94">
        <w:rPr>
          <w:rFonts w:ascii="Times New Roman" w:hAnsi="Times New Roman" w:cs="Times New Roman"/>
          <w:sz w:val="24"/>
          <w:szCs w:val="24"/>
        </w:rPr>
        <w:t xml:space="preserve"> using the KAPA Library Preparation Kit (Kapa</w:t>
      </w:r>
      <w:r w:rsidR="008C530E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 xml:space="preserve">Biosystems, Boston, MA, USA). The </w:t>
      </w:r>
      <w:proofErr w:type="spellStart"/>
      <w:r w:rsidRPr="007C4D94">
        <w:rPr>
          <w:rFonts w:ascii="Times New Roman" w:hAnsi="Times New Roman" w:cs="Times New Roman"/>
          <w:sz w:val="24"/>
          <w:szCs w:val="24"/>
        </w:rPr>
        <w:t>SeqCap</w:t>
      </w:r>
      <w:proofErr w:type="spellEnd"/>
      <w:r w:rsidRPr="007C4D94">
        <w:rPr>
          <w:rFonts w:ascii="Times New Roman" w:hAnsi="Times New Roman" w:cs="Times New Roman"/>
          <w:sz w:val="24"/>
          <w:szCs w:val="24"/>
        </w:rPr>
        <w:t xml:space="preserve"> EZ Library system (Roche </w:t>
      </w:r>
      <w:proofErr w:type="spellStart"/>
      <w:r w:rsidRPr="007C4D94">
        <w:rPr>
          <w:rFonts w:ascii="Times New Roman" w:hAnsi="Times New Roman" w:cs="Times New Roman"/>
          <w:sz w:val="24"/>
          <w:szCs w:val="24"/>
        </w:rPr>
        <w:t>NimbleGen</w:t>
      </w:r>
      <w:proofErr w:type="spellEnd"/>
      <w:r w:rsidRPr="007C4D94">
        <w:rPr>
          <w:rFonts w:ascii="Times New Roman" w:hAnsi="Times New Roman" w:cs="Times New Roman"/>
          <w:sz w:val="24"/>
          <w:szCs w:val="24"/>
        </w:rPr>
        <w:t>,</w:t>
      </w:r>
      <w:r w:rsidR="008C530E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Madison, WI, USA) was used for target enrichment.</w:t>
      </w:r>
      <w:r w:rsidR="008C530E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All libraries were hybridized to custom-designed biotinylated oligonucleotide</w:t>
      </w:r>
      <w:r w:rsidR="008C530E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 xml:space="preserve">probes (IDT, Coralville, IA, USA) covering 1.09 </w:t>
      </w:r>
      <w:proofErr w:type="spellStart"/>
      <w:r w:rsidRPr="007C4D94">
        <w:rPr>
          <w:rFonts w:ascii="Times New Roman" w:hAnsi="Times New Roman" w:cs="Times New Roman"/>
          <w:sz w:val="24"/>
          <w:szCs w:val="24"/>
        </w:rPr>
        <w:t>Mbp</w:t>
      </w:r>
      <w:proofErr w:type="spellEnd"/>
      <w:r w:rsidRPr="007C4D94">
        <w:rPr>
          <w:rFonts w:ascii="Times New Roman" w:hAnsi="Times New Roman" w:cs="Times New Roman"/>
          <w:sz w:val="24"/>
          <w:szCs w:val="24"/>
        </w:rPr>
        <w:t xml:space="preserve"> of the genome. The captured</w:t>
      </w:r>
      <w:r w:rsidR="008C530E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genomic regions included the most common driver genes of solid tumors, including</w:t>
      </w:r>
      <w:r w:rsidR="008C530E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CRC. We chose their entire exome regions to construct the basic panel. Next,</w:t>
      </w:r>
      <w:r w:rsidR="008C530E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genomic regions relevant to the effects of chemotherapy, targeted drugs, and</w:t>
      </w:r>
      <w:r w:rsidR="008C530E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immunotherapy per available clinical and pre-clinical research were added to the</w:t>
      </w:r>
      <w:r w:rsidR="008C530E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panel. Finally, high-frequently mutant regions recorded in the Catalogue of Somatic</w:t>
      </w:r>
      <w:r w:rsidR="008C530E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 xml:space="preserve">Mutations in Cancer (COSMIC, </w:t>
      </w:r>
      <w:r w:rsidRPr="007C4D94">
        <w:rPr>
          <w:rFonts w:ascii="Times New Roman" w:hAnsi="Times New Roman" w:cs="Times New Roman"/>
          <w:sz w:val="24"/>
          <w:szCs w:val="24"/>
        </w:rPr>
        <w:lastRenderedPageBreak/>
        <w:t>http://cancer.sanger.ac.uk/cosmic) and The Cancer</w:t>
      </w:r>
      <w:r w:rsidR="008C530E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Genome Atlas (TCGA, https://cancergenome.nih.gov/) were involved. All included</w:t>
      </w:r>
      <w:r w:rsidR="008C530E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1017 genes are shown in Table S1. Capture hybridization was performed per the</w:t>
      </w:r>
      <w:r w:rsidR="008C530E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manufacturer’s protocol (Illumina, San Diego, CA, USA). Captured DNA fragments</w:t>
      </w:r>
      <w:r w:rsidR="008C530E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were amplified after hybrid selection and then pooled into several multiplexed</w:t>
      </w:r>
      <w:r w:rsidR="008C530E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 xml:space="preserve">libraries. Sequencing was performed using the Illumina </w:t>
      </w:r>
      <w:proofErr w:type="spellStart"/>
      <w:r w:rsidRPr="007C4D94">
        <w:rPr>
          <w:rFonts w:ascii="Times New Roman" w:hAnsi="Times New Roman" w:cs="Times New Roman"/>
          <w:sz w:val="24"/>
          <w:szCs w:val="24"/>
        </w:rPr>
        <w:t>HiSeq</w:t>
      </w:r>
      <w:proofErr w:type="spellEnd"/>
      <w:r w:rsidRPr="007C4D94">
        <w:rPr>
          <w:rFonts w:ascii="Times New Roman" w:hAnsi="Times New Roman" w:cs="Times New Roman"/>
          <w:sz w:val="24"/>
          <w:szCs w:val="24"/>
        </w:rPr>
        <w:t xml:space="preserve"> 3000 or </w:t>
      </w:r>
      <w:proofErr w:type="spellStart"/>
      <w:r w:rsidRPr="007C4D94">
        <w:rPr>
          <w:rFonts w:ascii="Times New Roman" w:hAnsi="Times New Roman" w:cs="Times New Roman"/>
          <w:sz w:val="24"/>
          <w:szCs w:val="24"/>
        </w:rPr>
        <w:t>NextSeq</w:t>
      </w:r>
      <w:proofErr w:type="spellEnd"/>
      <w:r w:rsidR="008C530E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CN500</w:t>
      </w:r>
      <w:r w:rsidR="008C530E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instruments</w:t>
      </w:r>
      <w:r w:rsidRPr="007C4D94">
        <w:rPr>
          <w:rFonts w:ascii="Times New Roman" w:hAnsi="Times New Roman" w:cs="Times New Roman"/>
          <w:sz w:val="24"/>
          <w:szCs w:val="24"/>
        </w:rPr>
        <w:tab/>
        <w:t>with</w:t>
      </w:r>
      <w:r w:rsidRPr="007C4D94">
        <w:rPr>
          <w:rFonts w:ascii="Times New Roman" w:hAnsi="Times New Roman" w:cs="Times New Roman"/>
          <w:sz w:val="24"/>
          <w:szCs w:val="24"/>
        </w:rPr>
        <w:tab/>
        <w:t>75</w:t>
      </w:r>
      <w:r w:rsidR="008C530E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×</w:t>
      </w:r>
      <w:r w:rsidR="008C530E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75</w:t>
      </w:r>
      <w:r w:rsidR="008C530E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paired-end</w:t>
      </w:r>
      <w:r w:rsidRPr="007C4D94">
        <w:rPr>
          <w:rFonts w:ascii="Times New Roman" w:hAnsi="Times New Roman" w:cs="Times New Roman"/>
          <w:sz w:val="24"/>
          <w:szCs w:val="24"/>
        </w:rPr>
        <w:tab/>
        <w:t>reads</w:t>
      </w:r>
      <w:r w:rsidRPr="007C4D94">
        <w:rPr>
          <w:rFonts w:ascii="Times New Roman" w:hAnsi="Times New Roman" w:cs="Times New Roman"/>
          <w:sz w:val="24"/>
          <w:szCs w:val="24"/>
        </w:rPr>
        <w:tab/>
        <w:t>per</w:t>
      </w:r>
      <w:r w:rsidRPr="007C4D94">
        <w:rPr>
          <w:rFonts w:ascii="Times New Roman" w:hAnsi="Times New Roman" w:cs="Times New Roman"/>
          <w:sz w:val="24"/>
          <w:szCs w:val="24"/>
        </w:rPr>
        <w:tab/>
        <w:t>the</w:t>
      </w:r>
      <w:r w:rsidRPr="007C4D94">
        <w:rPr>
          <w:rFonts w:ascii="Times New Roman" w:hAnsi="Times New Roman" w:cs="Times New Roman"/>
          <w:sz w:val="24"/>
          <w:szCs w:val="24"/>
        </w:rPr>
        <w:tab/>
        <w:t>manufacturer’s</w:t>
      </w:r>
      <w:r w:rsidR="008C530E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 xml:space="preserve">recommendations using Illumina’s </w:t>
      </w:r>
      <w:proofErr w:type="spellStart"/>
      <w:r w:rsidRPr="007C4D94">
        <w:rPr>
          <w:rFonts w:ascii="Times New Roman" w:hAnsi="Times New Roman" w:cs="Times New Roman"/>
          <w:sz w:val="24"/>
          <w:szCs w:val="24"/>
        </w:rPr>
        <w:t>TruSeq</w:t>
      </w:r>
      <w:proofErr w:type="spellEnd"/>
      <w:r w:rsidRPr="007C4D94">
        <w:rPr>
          <w:rFonts w:ascii="Times New Roman" w:hAnsi="Times New Roman" w:cs="Times New Roman"/>
          <w:sz w:val="24"/>
          <w:szCs w:val="24"/>
        </w:rPr>
        <w:t xml:space="preserve"> PE Cluster Generation Kit v3 and the</w:t>
      </w:r>
      <w:r w:rsidR="008C530E" w:rsidRPr="007C4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D94">
        <w:rPr>
          <w:rFonts w:ascii="Times New Roman" w:hAnsi="Times New Roman" w:cs="Times New Roman"/>
          <w:sz w:val="24"/>
          <w:szCs w:val="24"/>
        </w:rPr>
        <w:t>TruSeq</w:t>
      </w:r>
      <w:proofErr w:type="spellEnd"/>
      <w:r w:rsidRPr="007C4D94">
        <w:rPr>
          <w:rFonts w:ascii="Times New Roman" w:hAnsi="Times New Roman" w:cs="Times New Roman"/>
          <w:sz w:val="24"/>
          <w:szCs w:val="24"/>
        </w:rPr>
        <w:t xml:space="preserve"> SBS Kit v3.</w:t>
      </w:r>
    </w:p>
    <w:p w14:paraId="47175871" w14:textId="77777777" w:rsidR="00C73353" w:rsidRPr="007C4D94" w:rsidRDefault="00C73353" w:rsidP="007C4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9E0C48" w14:textId="36012BE7" w:rsidR="00C73353" w:rsidRPr="007C4D94" w:rsidRDefault="00C73353" w:rsidP="007C4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D94">
        <w:rPr>
          <w:rFonts w:ascii="Times New Roman" w:hAnsi="Times New Roman" w:cs="Times New Roman"/>
          <w:b/>
          <w:bCs/>
          <w:sz w:val="24"/>
          <w:szCs w:val="24"/>
        </w:rPr>
        <w:t>Raw data processing</w:t>
      </w:r>
    </w:p>
    <w:p w14:paraId="21BD8E8D" w14:textId="0624661C" w:rsidR="00090AA8" w:rsidRPr="007C4D94" w:rsidRDefault="00C73353" w:rsidP="007C4D94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C4D94">
        <w:rPr>
          <w:rFonts w:ascii="Times New Roman" w:hAnsi="Times New Roman" w:cs="Times New Roman"/>
          <w:sz w:val="24"/>
          <w:szCs w:val="24"/>
        </w:rPr>
        <w:t>After removal of terminal adaptor sequences and low-quality reads (&gt;50% N</w:t>
      </w:r>
      <w:r w:rsidR="00090AA8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rate, &gt;50% bases with Q&lt;5), remaining reads were mapped to the reference human</w:t>
      </w:r>
      <w:r w:rsidR="00090AA8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genome (hg19) and aligned using Burrows-Wheel Aligner (http://bio-bwa.sourceforge.net/) with default parameters, followed by duplicate reads</w:t>
      </w:r>
      <w:r w:rsidR="00090AA8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identification</w:t>
      </w:r>
      <w:r w:rsidRPr="007C4D94">
        <w:rPr>
          <w:rFonts w:ascii="Times New Roman" w:hAnsi="Times New Roman" w:cs="Times New Roman"/>
          <w:sz w:val="24"/>
          <w:szCs w:val="24"/>
        </w:rPr>
        <w:tab/>
        <w:t>using</w:t>
      </w:r>
      <w:r w:rsidR="00090AA8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Picard’s</w:t>
      </w:r>
      <w:r w:rsidRPr="007C4D94">
        <w:rPr>
          <w:rFonts w:ascii="Times New Roman" w:hAnsi="Times New Roman" w:cs="Times New Roman"/>
          <w:sz w:val="24"/>
          <w:szCs w:val="24"/>
        </w:rPr>
        <w:tab/>
        <w:t>Mark</w:t>
      </w:r>
      <w:r w:rsidR="00090AA8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Duplicates</w:t>
      </w:r>
      <w:r w:rsidR="00090AA8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tool</w:t>
      </w:r>
      <w:r w:rsidR="00090AA8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(</w:t>
      </w:r>
      <w:r w:rsidR="00090AA8" w:rsidRPr="007C4D94">
        <w:rPr>
          <w:rFonts w:ascii="Times New Roman" w:hAnsi="Times New Roman" w:cs="Times New Roman"/>
          <w:sz w:val="24"/>
          <w:szCs w:val="24"/>
        </w:rPr>
        <w:t>https://software.broadinstitute.org/gatk/documentation/tooldocs/4.0.3.0/picard_sam_markduplicates_MarkDuplicates.php</w:t>
      </w:r>
      <w:r w:rsidRPr="007C4D94">
        <w:rPr>
          <w:rFonts w:ascii="Times New Roman" w:hAnsi="Times New Roman" w:cs="Times New Roman"/>
          <w:sz w:val="24"/>
          <w:szCs w:val="24"/>
        </w:rPr>
        <w:t>).</w:t>
      </w:r>
      <w:r w:rsidR="00993777" w:rsidRPr="007C4D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B6BE4" w14:textId="2455AF55" w:rsidR="00C73353" w:rsidRPr="007C4D94" w:rsidRDefault="00C73353" w:rsidP="007C4D94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C4D94">
        <w:rPr>
          <w:rFonts w:ascii="Times New Roman" w:hAnsi="Times New Roman" w:cs="Times New Roman"/>
          <w:sz w:val="24"/>
          <w:szCs w:val="24"/>
        </w:rPr>
        <w:t>Base</w:t>
      </w:r>
      <w:r w:rsidRPr="007C4D94">
        <w:rPr>
          <w:rFonts w:ascii="Times New Roman" w:hAnsi="Times New Roman" w:cs="Times New Roman"/>
          <w:sz w:val="24"/>
          <w:szCs w:val="24"/>
        </w:rPr>
        <w:tab/>
        <w:t>quality</w:t>
      </w:r>
      <w:r w:rsidR="00090AA8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recalibration</w:t>
      </w:r>
      <w:r w:rsidR="00090AA8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and</w:t>
      </w:r>
      <w:r w:rsidRPr="007C4D94">
        <w:rPr>
          <w:rFonts w:ascii="Times New Roman" w:hAnsi="Times New Roman" w:cs="Times New Roman"/>
          <w:sz w:val="24"/>
          <w:szCs w:val="24"/>
        </w:rPr>
        <w:tab/>
        <w:t>local</w:t>
      </w:r>
      <w:r w:rsidR="00090AA8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realignment</w:t>
      </w:r>
      <w:r w:rsidR="00090AA8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were</w:t>
      </w:r>
      <w:r w:rsidR="00090AA8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conducted</w:t>
      </w:r>
      <w:r w:rsidR="00090AA8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by</w:t>
      </w:r>
      <w:r w:rsidR="00090AA8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the</w:t>
      </w:r>
      <w:r w:rsidR="00090AA8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Gene</w:t>
      </w:r>
      <w:r w:rsidR="00090AA8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Analysis</w:t>
      </w:r>
      <w:r w:rsidR="00090AA8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Toolkit</w:t>
      </w:r>
      <w:r w:rsidR="00090AA8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(GATK,</w:t>
      </w:r>
      <w:r w:rsidR="00090AA8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https://www.broadinstitute.org/gatk/). The median depth for 152 blood samples were</w:t>
      </w:r>
      <w:r w:rsidR="00090AA8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3576×, and the range was from 883 to 8785×. As for 12 tissue samples, the median</w:t>
      </w:r>
      <w:r w:rsidR="00090AA8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depth was 1554.5× (range from 883 to 2298×).</w:t>
      </w:r>
    </w:p>
    <w:p w14:paraId="69771232" w14:textId="77777777" w:rsidR="00C73353" w:rsidRPr="007C4D94" w:rsidRDefault="00C73353" w:rsidP="007C4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A66B3D" w14:textId="53D27E68" w:rsidR="00C73353" w:rsidRPr="007C4D94" w:rsidRDefault="00C73353" w:rsidP="007C4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D94">
        <w:rPr>
          <w:rFonts w:ascii="Times New Roman" w:hAnsi="Times New Roman" w:cs="Times New Roman"/>
          <w:b/>
          <w:bCs/>
          <w:sz w:val="24"/>
          <w:szCs w:val="24"/>
        </w:rPr>
        <w:t>Mutation identification</w:t>
      </w:r>
    </w:p>
    <w:p w14:paraId="1D5F173C" w14:textId="4218219D" w:rsidR="00C73353" w:rsidRPr="007C4D94" w:rsidRDefault="00C73353" w:rsidP="007C4D94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C4D94">
        <w:rPr>
          <w:rFonts w:ascii="Times New Roman" w:hAnsi="Times New Roman" w:cs="Times New Roman"/>
          <w:sz w:val="24"/>
          <w:szCs w:val="24"/>
        </w:rPr>
        <w:t>Somatic insertions/deletions (indels) and single nucleotide variants (SNVs) were</w:t>
      </w:r>
      <w:r w:rsidR="00993777" w:rsidRPr="007C4D94">
        <w:rPr>
          <w:rFonts w:ascii="Times New Roman" w:hAnsi="Times New Roman" w:cs="Times New Roman"/>
          <w:sz w:val="24"/>
          <w:szCs w:val="24"/>
        </w:rPr>
        <w:t xml:space="preserve"> identified </w:t>
      </w:r>
      <w:r w:rsidRPr="007C4D94">
        <w:rPr>
          <w:rFonts w:ascii="Times New Roman" w:hAnsi="Times New Roman" w:cs="Times New Roman"/>
          <w:sz w:val="24"/>
          <w:szCs w:val="24"/>
        </w:rPr>
        <w:t>with</w:t>
      </w:r>
      <w:r w:rsidR="00993777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the</w:t>
      </w:r>
      <w:r w:rsidR="00993777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GATK</w:t>
      </w:r>
      <w:r w:rsidR="00993777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and</w:t>
      </w:r>
      <w:r w:rsidR="00993777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MuTect2</w:t>
      </w:r>
      <w:r w:rsidR="00993777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software</w:t>
      </w:r>
      <w:r w:rsidR="00993777" w:rsidRPr="007C4D94">
        <w:rPr>
          <w:rFonts w:ascii="Times New Roman" w:hAnsi="Times New Roman" w:cs="Times New Roman" w:hint="eastAsia"/>
          <w:sz w:val="24"/>
          <w:szCs w:val="24"/>
        </w:rPr>
        <w:t>.</w:t>
      </w:r>
      <w:r w:rsidR="00993777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After mutation calling,</w:t>
      </w:r>
      <w:r w:rsidR="00993777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several filter procedures would be executed: (1) Germline mutations were not</w:t>
      </w:r>
      <w:r w:rsidR="00993777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analyzed in this study, and were filtered by matched PBL data. (2) Synonymous</w:t>
      </w:r>
      <w:r w:rsidR="00993777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variants were filtered. (3) Variants with less than 5 high-quality sequencing reads</w:t>
      </w:r>
      <w:r w:rsidR="00993777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C4D94">
        <w:rPr>
          <w:rFonts w:ascii="Times New Roman" w:hAnsi="Times New Roman" w:cs="Times New Roman"/>
          <w:sz w:val="24"/>
          <w:szCs w:val="24"/>
        </w:rPr>
        <w:t>mapqthres</w:t>
      </w:r>
      <w:proofErr w:type="spellEnd"/>
      <w:r w:rsidRPr="007C4D94">
        <w:rPr>
          <w:rFonts w:ascii="Times New Roman" w:hAnsi="Times New Roman" w:cs="Times New Roman"/>
          <w:sz w:val="24"/>
          <w:szCs w:val="24"/>
        </w:rPr>
        <w:t xml:space="preserve">&gt;30, </w:t>
      </w:r>
      <w:proofErr w:type="spellStart"/>
      <w:r w:rsidRPr="007C4D94">
        <w:rPr>
          <w:rFonts w:ascii="Times New Roman" w:hAnsi="Times New Roman" w:cs="Times New Roman"/>
          <w:sz w:val="24"/>
          <w:szCs w:val="24"/>
        </w:rPr>
        <w:t>baseqthres</w:t>
      </w:r>
      <w:proofErr w:type="spellEnd"/>
      <w:r w:rsidRPr="007C4D94">
        <w:rPr>
          <w:rFonts w:ascii="Times New Roman" w:hAnsi="Times New Roman" w:cs="Times New Roman"/>
          <w:sz w:val="24"/>
          <w:szCs w:val="24"/>
        </w:rPr>
        <w:t>&gt;30) were removed. (4) We had built an inhouse database</w:t>
      </w:r>
      <w:r w:rsidR="00993777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involving blood sequencing results from about 1000 healthy subjects. Variants were</w:t>
      </w:r>
      <w:r w:rsidR="00993777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 xml:space="preserve">filtered as cross-contamination if </w:t>
      </w:r>
      <w:r w:rsidRPr="007C4D94">
        <w:rPr>
          <w:rFonts w:ascii="Times New Roman" w:hAnsi="Times New Roman" w:cs="Times New Roman"/>
          <w:sz w:val="24"/>
          <w:szCs w:val="24"/>
        </w:rPr>
        <w:lastRenderedPageBreak/>
        <w:t>present in &gt;1% samples in custom single nucleotide</w:t>
      </w:r>
      <w:r w:rsidR="00993777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polymorphism (SNP) databases</w:t>
      </w:r>
      <w:r w:rsidR="00993777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and self-built SNP database. These filtered</w:t>
      </w:r>
      <w:r w:rsidR="00993777" w:rsidRPr="007C4D94">
        <w:rPr>
          <w:rFonts w:ascii="Times New Roman" w:hAnsi="Times New Roman" w:cs="Times New Roman"/>
          <w:sz w:val="24"/>
          <w:szCs w:val="24"/>
        </w:rPr>
        <w:t xml:space="preserve"> </w:t>
      </w:r>
      <w:r w:rsidRPr="007C4D94">
        <w:rPr>
          <w:rFonts w:ascii="Times New Roman" w:hAnsi="Times New Roman" w:cs="Times New Roman"/>
          <w:sz w:val="24"/>
          <w:szCs w:val="24"/>
        </w:rPr>
        <w:t>variants were identified as high-confidence somatic mutations.</w:t>
      </w:r>
    </w:p>
    <w:sectPr w:rsidR="00C73353" w:rsidRPr="007C4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3985D" w14:textId="77777777" w:rsidR="00FA45B7" w:rsidRDefault="00FA45B7" w:rsidP="00C73353">
      <w:r>
        <w:separator/>
      </w:r>
    </w:p>
  </w:endnote>
  <w:endnote w:type="continuationSeparator" w:id="0">
    <w:p w14:paraId="1C6CDD1A" w14:textId="77777777" w:rsidR="00FA45B7" w:rsidRDefault="00FA45B7" w:rsidP="00C7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BD036" w14:textId="77777777" w:rsidR="00FA45B7" w:rsidRDefault="00FA45B7" w:rsidP="00C73353">
      <w:r>
        <w:separator/>
      </w:r>
    </w:p>
  </w:footnote>
  <w:footnote w:type="continuationSeparator" w:id="0">
    <w:p w14:paraId="70DAAD4A" w14:textId="77777777" w:rsidR="00FA45B7" w:rsidRDefault="00FA45B7" w:rsidP="00C73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8BD"/>
    <w:rsid w:val="00053119"/>
    <w:rsid w:val="00090AA8"/>
    <w:rsid w:val="00616D9F"/>
    <w:rsid w:val="007C4D94"/>
    <w:rsid w:val="008C530E"/>
    <w:rsid w:val="00976C1C"/>
    <w:rsid w:val="00993777"/>
    <w:rsid w:val="00A868BD"/>
    <w:rsid w:val="00C73353"/>
    <w:rsid w:val="00CF0642"/>
    <w:rsid w:val="00ED715A"/>
    <w:rsid w:val="00FA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02110"/>
  <w15:chartTrackingRefBased/>
  <w15:docId w15:val="{653B6551-F1E4-4CA7-BE80-AF5AC30F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33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3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3353"/>
    <w:rPr>
      <w:sz w:val="18"/>
      <w:szCs w:val="18"/>
    </w:rPr>
  </w:style>
  <w:style w:type="character" w:styleId="a7">
    <w:name w:val="Hyperlink"/>
    <w:basedOn w:val="a0"/>
    <w:uiPriority w:val="99"/>
    <w:unhideWhenUsed/>
    <w:rsid w:val="00090AA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90AA8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ED715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D71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wenzhuo</dc:creator>
  <cp:keywords/>
  <dc:description/>
  <cp:lastModifiedBy>he wenzhuo</cp:lastModifiedBy>
  <cp:revision>6</cp:revision>
  <dcterms:created xsi:type="dcterms:W3CDTF">2020-11-11T13:25:00Z</dcterms:created>
  <dcterms:modified xsi:type="dcterms:W3CDTF">2020-12-28T09:46:00Z</dcterms:modified>
</cp:coreProperties>
</file>