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3D" w:rsidRPr="00283CF1" w:rsidRDefault="0078713D" w:rsidP="00283CF1">
      <w:pPr>
        <w:spacing w:after="0" w:line="240" w:lineRule="auto"/>
        <w:jc w:val="center"/>
        <w:rPr>
          <w:rFonts w:ascii="Palatino Linotype" w:hAnsi="Palatino Linotype"/>
          <w:b/>
          <w:sz w:val="36"/>
          <w:szCs w:val="36"/>
        </w:rPr>
      </w:pPr>
    </w:p>
    <w:p w:rsidR="0078713D" w:rsidRPr="00283CF1" w:rsidRDefault="0078713D" w:rsidP="00283CF1">
      <w:pPr>
        <w:spacing w:after="0" w:line="240" w:lineRule="auto"/>
        <w:jc w:val="center"/>
        <w:rPr>
          <w:rFonts w:ascii="Palatino Linotype" w:hAnsi="Palatino Linotype"/>
          <w:b/>
          <w:sz w:val="36"/>
          <w:szCs w:val="36"/>
        </w:rPr>
      </w:pPr>
    </w:p>
    <w:p w:rsidR="0078713D" w:rsidRPr="00283CF1" w:rsidRDefault="0078713D" w:rsidP="00283CF1">
      <w:pPr>
        <w:spacing w:after="0" w:line="240" w:lineRule="auto"/>
        <w:jc w:val="center"/>
        <w:rPr>
          <w:rFonts w:ascii="Palatino Linotype" w:hAnsi="Palatino Linotype"/>
          <w:b/>
          <w:sz w:val="36"/>
          <w:szCs w:val="36"/>
        </w:rPr>
      </w:pPr>
    </w:p>
    <w:p w:rsidR="0078713D" w:rsidRPr="00283CF1" w:rsidRDefault="0078713D" w:rsidP="00283CF1">
      <w:pPr>
        <w:spacing w:after="0" w:line="240" w:lineRule="auto"/>
        <w:jc w:val="center"/>
        <w:rPr>
          <w:rFonts w:ascii="Palatino Linotype" w:hAnsi="Palatino Linotype"/>
          <w:b/>
          <w:sz w:val="36"/>
          <w:szCs w:val="36"/>
        </w:rPr>
      </w:pPr>
    </w:p>
    <w:p w:rsidR="0078713D" w:rsidRPr="00283CF1" w:rsidRDefault="0078713D" w:rsidP="00283CF1">
      <w:pPr>
        <w:spacing w:after="0" w:line="240" w:lineRule="auto"/>
        <w:jc w:val="center"/>
        <w:rPr>
          <w:rFonts w:ascii="Palatino Linotype" w:hAnsi="Palatino Linotype"/>
          <w:b/>
          <w:sz w:val="36"/>
          <w:szCs w:val="36"/>
        </w:rPr>
      </w:pPr>
    </w:p>
    <w:p w:rsidR="0078713D" w:rsidRPr="00283CF1" w:rsidRDefault="0078713D" w:rsidP="00283CF1">
      <w:pPr>
        <w:spacing w:after="0" w:line="240" w:lineRule="auto"/>
        <w:jc w:val="center"/>
        <w:rPr>
          <w:rFonts w:ascii="Palatino Linotype" w:hAnsi="Palatino Linotype"/>
          <w:b/>
          <w:sz w:val="36"/>
          <w:szCs w:val="36"/>
        </w:rPr>
      </w:pPr>
    </w:p>
    <w:p w:rsidR="00BC05DD" w:rsidRDefault="00BC05DD" w:rsidP="00283CF1">
      <w:pPr>
        <w:spacing w:after="0" w:line="240" w:lineRule="auto"/>
        <w:jc w:val="center"/>
        <w:rPr>
          <w:rFonts w:ascii="Palatino Linotype" w:hAnsi="Palatino Linotype"/>
          <w:b/>
          <w:sz w:val="48"/>
          <w:szCs w:val="48"/>
        </w:rPr>
      </w:pPr>
    </w:p>
    <w:p w:rsidR="00BC05DD" w:rsidRDefault="00BC05DD" w:rsidP="00283CF1">
      <w:pPr>
        <w:spacing w:after="0" w:line="240" w:lineRule="auto"/>
        <w:jc w:val="center"/>
        <w:rPr>
          <w:rFonts w:ascii="Palatino Linotype" w:hAnsi="Palatino Linotype"/>
          <w:b/>
          <w:sz w:val="48"/>
          <w:szCs w:val="48"/>
        </w:rPr>
      </w:pPr>
    </w:p>
    <w:p w:rsidR="00BC05DD" w:rsidRDefault="00BC05DD" w:rsidP="00283CF1">
      <w:pPr>
        <w:spacing w:after="0" w:line="240" w:lineRule="auto"/>
        <w:jc w:val="center"/>
        <w:rPr>
          <w:rFonts w:ascii="Palatino Linotype" w:hAnsi="Palatino Linotype"/>
          <w:b/>
          <w:sz w:val="48"/>
          <w:szCs w:val="48"/>
        </w:rPr>
      </w:pPr>
    </w:p>
    <w:p w:rsidR="002F412C" w:rsidRPr="00283CF1" w:rsidRDefault="00FD7C4F" w:rsidP="00283CF1">
      <w:pPr>
        <w:spacing w:after="0" w:line="240" w:lineRule="auto"/>
        <w:jc w:val="center"/>
        <w:rPr>
          <w:rFonts w:ascii="Palatino Linotype" w:hAnsi="Palatino Linotype"/>
          <w:b/>
          <w:sz w:val="48"/>
          <w:szCs w:val="48"/>
        </w:rPr>
      </w:pPr>
      <w:bookmarkStart w:id="0" w:name="_GoBack"/>
      <w:bookmarkEnd w:id="0"/>
      <w:r w:rsidRPr="00283CF1">
        <w:rPr>
          <w:rFonts w:ascii="Palatino Linotype" w:hAnsi="Palatino Linotype"/>
          <w:b/>
          <w:sz w:val="48"/>
          <w:szCs w:val="48"/>
        </w:rPr>
        <w:t>APPENDIX 2</w:t>
      </w:r>
    </w:p>
    <w:p w:rsidR="00FD7C4F" w:rsidRPr="00283CF1" w:rsidRDefault="00FD7C4F" w:rsidP="00283CF1">
      <w:pPr>
        <w:spacing w:after="0" w:line="240" w:lineRule="auto"/>
        <w:jc w:val="center"/>
        <w:rPr>
          <w:rFonts w:ascii="Palatino Linotype" w:hAnsi="Palatino Linotype"/>
          <w:b/>
          <w:sz w:val="36"/>
          <w:szCs w:val="36"/>
        </w:rPr>
      </w:pPr>
      <w:r w:rsidRPr="00283CF1">
        <w:rPr>
          <w:rFonts w:ascii="Palatino Linotype" w:hAnsi="Palatino Linotype"/>
          <w:b/>
          <w:sz w:val="36"/>
          <w:szCs w:val="36"/>
        </w:rPr>
        <w:t>Research Protocol</w:t>
      </w:r>
    </w:p>
    <w:p w:rsidR="00E471A9" w:rsidRPr="00283CF1" w:rsidRDefault="00E471A9" w:rsidP="00283CF1">
      <w:pPr>
        <w:spacing w:after="0" w:line="240" w:lineRule="auto"/>
        <w:rPr>
          <w:rFonts w:ascii="Palatino Linotype" w:eastAsia="Times New Roman" w:hAnsi="Palatino Linotype" w:cstheme="minorHAnsi"/>
          <w:b/>
        </w:rPr>
      </w:pPr>
    </w:p>
    <w:p w:rsidR="0078713D" w:rsidRPr="00283CF1" w:rsidRDefault="0078713D" w:rsidP="00283CF1">
      <w:pPr>
        <w:spacing w:after="0" w:line="240" w:lineRule="auto"/>
        <w:rPr>
          <w:rFonts w:ascii="Palatino Linotype" w:eastAsia="Times New Roman" w:hAnsi="Palatino Linotype" w:cstheme="minorHAnsi"/>
          <w:b/>
          <w:sz w:val="24"/>
          <w:szCs w:val="24"/>
        </w:rPr>
      </w:pPr>
      <w:r w:rsidRPr="00283CF1">
        <w:rPr>
          <w:rFonts w:ascii="Palatino Linotype" w:eastAsia="Times New Roman" w:hAnsi="Palatino Linotype" w:cstheme="minorHAnsi"/>
          <w:b/>
          <w:sz w:val="24"/>
          <w:szCs w:val="24"/>
        </w:rPr>
        <w:br w:type="page"/>
      </w:r>
    </w:p>
    <w:p w:rsidR="00FD7C4F" w:rsidRPr="00283CF1" w:rsidRDefault="00E471A9" w:rsidP="00283CF1">
      <w:pPr>
        <w:spacing w:after="0" w:line="240" w:lineRule="auto"/>
        <w:rPr>
          <w:rFonts w:ascii="Palatino Linotype" w:eastAsia="Times New Roman" w:hAnsi="Palatino Linotype" w:cstheme="minorHAnsi"/>
          <w:b/>
          <w:sz w:val="24"/>
          <w:szCs w:val="24"/>
        </w:rPr>
      </w:pPr>
      <w:r w:rsidRPr="00283CF1">
        <w:rPr>
          <w:rFonts w:ascii="Palatino Linotype" w:eastAsia="Times New Roman" w:hAnsi="Palatino Linotype" w:cstheme="minorHAnsi"/>
          <w:b/>
          <w:sz w:val="24"/>
          <w:szCs w:val="24"/>
        </w:rPr>
        <w:lastRenderedPageBreak/>
        <w:t>Background</w:t>
      </w:r>
      <w:r w:rsidR="00FD7C4F" w:rsidRPr="00283CF1">
        <w:rPr>
          <w:rFonts w:ascii="Palatino Linotype" w:eastAsia="Times New Roman" w:hAnsi="Palatino Linotype" w:cstheme="minorHAnsi"/>
          <w:b/>
          <w:sz w:val="24"/>
          <w:szCs w:val="24"/>
        </w:rPr>
        <w:t> </w:t>
      </w:r>
    </w:p>
    <w:p w:rsidR="00311378" w:rsidRPr="00283CF1" w:rsidRDefault="00311378" w:rsidP="00283CF1">
      <w:pPr>
        <w:spacing w:after="0" w:line="240" w:lineRule="auto"/>
        <w:rPr>
          <w:rFonts w:ascii="Palatino Linotype" w:hAnsi="Palatino Linotype" w:cstheme="minorHAnsi"/>
        </w:rPr>
      </w:pPr>
      <w:r w:rsidRPr="00283CF1">
        <w:rPr>
          <w:rFonts w:ascii="Palatino Linotype" w:hAnsi="Palatino Linotype" w:cstheme="minorHAnsi"/>
        </w:rPr>
        <w:t xml:space="preserve">Telehealth is known to help patients overcome two barriers they face, when seeking health care: distance and </w:t>
      </w:r>
      <w:r w:rsidR="000C02CD" w:rsidRPr="00283CF1">
        <w:rPr>
          <w:rFonts w:ascii="Palatino Linotype" w:hAnsi="Palatino Linotype" w:cstheme="minorHAnsi"/>
        </w:rPr>
        <w:t xml:space="preserve">time. </w:t>
      </w:r>
      <w:r w:rsidRPr="00283CF1">
        <w:rPr>
          <w:rFonts w:ascii="Palatino Linotype" w:hAnsi="Palatino Linotype" w:cstheme="minorHAnsi"/>
        </w:rPr>
        <w:t xml:space="preserve">Additionally, telehealth has been found to deliver a range of benefits, including improved access to healthcare, more timely interactions between providers and patients, improved continuity of care, better health outcomes, higher patient &amp; provider satisfaction, and more efficient use time, to name a few . Proponents of telehealth have argued that it has the potential to transform healthcare delivery by reducing costs and increasing quality and patient </w:t>
      </w:r>
      <w:r w:rsidR="000C02CD" w:rsidRPr="00283CF1">
        <w:rPr>
          <w:rFonts w:ascii="Palatino Linotype" w:hAnsi="Palatino Linotype" w:cstheme="minorHAnsi"/>
        </w:rPr>
        <w:t>satisfaction.</w:t>
      </w:r>
      <w:r w:rsidRPr="00283CF1">
        <w:rPr>
          <w:rFonts w:ascii="Palatino Linotype" w:hAnsi="Palatino Linotype" w:cstheme="minorHAnsi"/>
        </w:rPr>
        <w:t xml:space="preserve">  </w:t>
      </w:r>
    </w:p>
    <w:p w:rsidR="00311378" w:rsidRPr="00283CF1" w:rsidRDefault="00311378" w:rsidP="00283CF1">
      <w:pPr>
        <w:spacing w:after="0" w:line="240" w:lineRule="auto"/>
        <w:ind w:firstLine="720"/>
        <w:rPr>
          <w:rFonts w:ascii="Palatino Linotype" w:hAnsi="Palatino Linotype" w:cstheme="minorHAnsi"/>
        </w:rPr>
      </w:pPr>
      <w:r w:rsidRPr="00283CF1">
        <w:rPr>
          <w:rFonts w:ascii="Palatino Linotype" w:hAnsi="Palatino Linotype" w:cstheme="minorHAnsi"/>
        </w:rPr>
        <w:t xml:space="preserve">In the United States, although telehealth was a ‘hot topic’ before COVID-19, its use was far from widespread, and was limited to certain medical </w:t>
      </w:r>
      <w:r w:rsidR="000C02CD" w:rsidRPr="00283CF1">
        <w:rPr>
          <w:rFonts w:ascii="Palatino Linotype" w:hAnsi="Palatino Linotype" w:cstheme="minorHAnsi"/>
        </w:rPr>
        <w:t xml:space="preserve">specialties. </w:t>
      </w:r>
      <w:r w:rsidRPr="00283CF1">
        <w:rPr>
          <w:rFonts w:ascii="Palatino Linotype" w:hAnsi="Palatino Linotype" w:cstheme="minorHAnsi"/>
        </w:rPr>
        <w:t xml:space="preserve">For example, a pre-pandemic US-based weighted survey study on use of telemedicine by individual physicians in their practice (published in </w:t>
      </w:r>
      <w:r w:rsidRPr="00283CF1">
        <w:rPr>
          <w:rFonts w:ascii="Palatino Linotype" w:hAnsi="Palatino Linotype" w:cstheme="minorHAnsi"/>
          <w:i/>
        </w:rPr>
        <w:t xml:space="preserve">Health Affairs </w:t>
      </w:r>
      <w:r w:rsidRPr="00283CF1">
        <w:rPr>
          <w:rFonts w:ascii="Palatino Linotype" w:hAnsi="Palatino Linotype" w:cstheme="minorHAnsi"/>
        </w:rPr>
        <w:t xml:space="preserve">in 2018), found wide variations in the use of telemedicine (for physician-patient interactions) by medical specialty, ranging from a low of 6.1% in the internal medicine subspecialty of </w:t>
      </w:r>
      <w:r w:rsidRPr="00283CF1">
        <w:rPr>
          <w:rFonts w:ascii="Palatino Linotype" w:hAnsi="Palatino Linotype" w:cstheme="minorHAnsi"/>
          <w:i/>
        </w:rPr>
        <w:t>Allergy-Immunology</w:t>
      </w:r>
      <w:r w:rsidRPr="00283CF1">
        <w:rPr>
          <w:rFonts w:ascii="Palatino Linotype" w:hAnsi="Palatino Linotype" w:cstheme="minorHAnsi"/>
        </w:rPr>
        <w:t xml:space="preserve"> to a high of 39.5% in </w:t>
      </w:r>
      <w:r w:rsidRPr="00283CF1">
        <w:rPr>
          <w:rFonts w:ascii="Palatino Linotype" w:hAnsi="Palatino Linotype" w:cstheme="minorHAnsi"/>
          <w:i/>
        </w:rPr>
        <w:t>Radiology</w:t>
      </w:r>
      <w:r w:rsidRPr="00283CF1">
        <w:rPr>
          <w:rFonts w:ascii="Palatino Linotype" w:hAnsi="Palatino Linotype" w:cstheme="minorHAnsi"/>
        </w:rPr>
        <w:t xml:space="preserve">. Other “lower-using” specialties identified by the study were </w:t>
      </w:r>
      <w:r w:rsidRPr="00283CF1">
        <w:rPr>
          <w:rFonts w:ascii="Palatino Linotype" w:hAnsi="Palatino Linotype" w:cstheme="minorHAnsi"/>
          <w:i/>
        </w:rPr>
        <w:t>Gastroenterology</w:t>
      </w:r>
      <w:r w:rsidRPr="00283CF1">
        <w:rPr>
          <w:rFonts w:ascii="Palatino Linotype" w:hAnsi="Palatino Linotype" w:cstheme="minorHAnsi"/>
        </w:rPr>
        <w:t xml:space="preserve"> (7.9%), OB/GYN (9.3%), </w:t>
      </w:r>
      <w:r w:rsidRPr="00283CF1">
        <w:rPr>
          <w:rFonts w:ascii="Palatino Linotype" w:hAnsi="Palatino Linotype" w:cstheme="minorHAnsi"/>
          <w:i/>
        </w:rPr>
        <w:t xml:space="preserve">General Surgery </w:t>
      </w:r>
      <w:r w:rsidRPr="00283CF1">
        <w:rPr>
          <w:rFonts w:ascii="Palatino Linotype" w:hAnsi="Palatino Linotype" w:cstheme="minorHAnsi"/>
        </w:rPr>
        <w:t xml:space="preserve">(9.7%), and </w:t>
      </w:r>
      <w:r w:rsidRPr="00283CF1">
        <w:rPr>
          <w:rFonts w:ascii="Palatino Linotype" w:hAnsi="Palatino Linotype" w:cstheme="minorHAnsi"/>
          <w:i/>
        </w:rPr>
        <w:t>Family Medicine</w:t>
      </w:r>
      <w:r w:rsidRPr="00283CF1">
        <w:rPr>
          <w:rFonts w:ascii="Palatino Linotype" w:hAnsi="Palatino Linotype" w:cstheme="minorHAnsi"/>
        </w:rPr>
        <w:t xml:space="preserve"> (11.8%). On the other hand, other “higher-using” specialties included </w:t>
      </w:r>
      <w:r w:rsidRPr="00283CF1">
        <w:rPr>
          <w:rFonts w:ascii="Palatino Linotype" w:hAnsi="Palatino Linotype" w:cstheme="minorHAnsi"/>
          <w:i/>
        </w:rPr>
        <w:t>Psychiatry</w:t>
      </w:r>
      <w:r w:rsidRPr="00283CF1">
        <w:rPr>
          <w:rFonts w:ascii="Palatino Linotype" w:hAnsi="Palatino Linotype" w:cstheme="minorHAnsi"/>
        </w:rPr>
        <w:t xml:space="preserve"> (27.8%), the internal medicine subspecialty of </w:t>
      </w:r>
      <w:r w:rsidRPr="00283CF1">
        <w:rPr>
          <w:rFonts w:ascii="Palatino Linotype" w:hAnsi="Palatino Linotype" w:cstheme="minorHAnsi"/>
          <w:i/>
        </w:rPr>
        <w:t>Cardiology</w:t>
      </w:r>
      <w:r w:rsidRPr="00283CF1">
        <w:rPr>
          <w:rFonts w:ascii="Palatino Linotype" w:hAnsi="Palatino Linotype" w:cstheme="minorHAnsi"/>
        </w:rPr>
        <w:t xml:space="preserve"> (24.1%), </w:t>
      </w:r>
      <w:r w:rsidRPr="00283CF1">
        <w:rPr>
          <w:rFonts w:ascii="Palatino Linotype" w:hAnsi="Palatino Linotype" w:cstheme="minorHAnsi"/>
          <w:i/>
        </w:rPr>
        <w:t>Pathology</w:t>
      </w:r>
      <w:r w:rsidRPr="00283CF1">
        <w:rPr>
          <w:rFonts w:ascii="Palatino Linotype" w:hAnsi="Palatino Linotype" w:cstheme="minorHAnsi"/>
        </w:rPr>
        <w:t xml:space="preserve"> (23%) and </w:t>
      </w:r>
      <w:r w:rsidRPr="00283CF1">
        <w:rPr>
          <w:rFonts w:ascii="Palatino Linotype" w:hAnsi="Palatino Linotype" w:cstheme="minorHAnsi"/>
          <w:i/>
        </w:rPr>
        <w:t>Emergency Medicine</w:t>
      </w:r>
      <w:r w:rsidRPr="00283CF1">
        <w:rPr>
          <w:rFonts w:ascii="Palatino Linotype" w:hAnsi="Palatino Linotype" w:cstheme="minorHAnsi"/>
        </w:rPr>
        <w:t xml:space="preserve"> (22.3%</w:t>
      </w:r>
      <w:r w:rsidR="000C02CD" w:rsidRPr="00283CF1">
        <w:rPr>
          <w:rFonts w:ascii="Palatino Linotype" w:hAnsi="Palatino Linotype" w:cstheme="minorHAnsi"/>
        </w:rPr>
        <w:t xml:space="preserve">). </w:t>
      </w:r>
      <w:r w:rsidRPr="00283CF1">
        <w:rPr>
          <w:rFonts w:ascii="Palatino Linotype" w:eastAsia="Times New Roman" w:hAnsi="Palatino Linotype" w:cstheme="minorHAnsi"/>
        </w:rPr>
        <w:t xml:space="preserve">The results of this study have already been widely cited in the general telehealth literature and corroborated by evidence and position statements in the specialty-specific telehealth literature as </w:t>
      </w:r>
      <w:r w:rsidR="000C02CD" w:rsidRPr="00283CF1">
        <w:rPr>
          <w:rFonts w:ascii="Palatino Linotype" w:eastAsia="Times New Roman" w:hAnsi="Palatino Linotype" w:cstheme="minorHAnsi"/>
        </w:rPr>
        <w:t>well.</w:t>
      </w:r>
    </w:p>
    <w:p w:rsidR="00311378" w:rsidRPr="00283CF1" w:rsidRDefault="00311378" w:rsidP="00283CF1">
      <w:pPr>
        <w:spacing w:after="0" w:line="240" w:lineRule="auto"/>
        <w:ind w:firstLine="720"/>
        <w:rPr>
          <w:rFonts w:ascii="Palatino Linotype" w:eastAsia="Times New Roman" w:hAnsi="Palatino Linotype" w:cstheme="minorHAnsi"/>
        </w:rPr>
      </w:pPr>
      <w:r w:rsidRPr="00283CF1">
        <w:rPr>
          <w:rFonts w:ascii="Palatino Linotype" w:hAnsi="Palatino Linotype" w:cstheme="minorHAnsi"/>
        </w:rPr>
        <w:t xml:space="preserve">The wide variation in telehealth use across medical specialties is intriguing, since the U.S. lacks a nationwide standardized set of telehealth reimbursement policies, which in turn, has historically posed a barrier to telehealth adoption in </w:t>
      </w:r>
      <w:r w:rsidRPr="00283CF1">
        <w:rPr>
          <w:rFonts w:ascii="Palatino Linotype" w:hAnsi="Palatino Linotype" w:cstheme="minorHAnsi"/>
          <w:u w:val="single"/>
        </w:rPr>
        <w:t>all</w:t>
      </w:r>
      <w:r w:rsidRPr="00283CF1">
        <w:rPr>
          <w:rFonts w:ascii="Palatino Linotype" w:hAnsi="Palatino Linotype" w:cstheme="minorHAnsi"/>
        </w:rPr>
        <w:t xml:space="preserve"> </w:t>
      </w:r>
      <w:r w:rsidR="000C02CD" w:rsidRPr="00283CF1">
        <w:rPr>
          <w:rFonts w:ascii="Palatino Linotype" w:hAnsi="Palatino Linotype" w:cstheme="minorHAnsi"/>
        </w:rPr>
        <w:t xml:space="preserve">specialties. </w:t>
      </w:r>
      <w:r w:rsidRPr="00283CF1">
        <w:rPr>
          <w:rFonts w:ascii="Palatino Linotype" w:hAnsi="Palatino Linotype" w:cstheme="minorHAnsi"/>
        </w:rPr>
        <w:t>Despite these</w:t>
      </w:r>
      <w:r w:rsidRPr="00283CF1">
        <w:rPr>
          <w:rFonts w:ascii="Palatino Linotype" w:eastAsia="Times New Roman" w:hAnsi="Palatino Linotype" w:cstheme="minorHAnsi"/>
        </w:rPr>
        <w:t xml:space="preserve"> macro (policy-level) constraints experienced by all medical specialties, some specialties have been able to normalize telehealth to mainstream practice (e.g., </w:t>
      </w:r>
      <w:r w:rsidRPr="00283CF1">
        <w:rPr>
          <w:rFonts w:ascii="Palatino Linotype" w:eastAsia="Times New Roman" w:hAnsi="Palatino Linotype" w:cstheme="minorHAnsi"/>
          <w:i/>
        </w:rPr>
        <w:t>Psychiatry</w:t>
      </w:r>
      <w:r w:rsidRPr="00283CF1">
        <w:rPr>
          <w:rFonts w:ascii="Palatino Linotype" w:eastAsia="Times New Roman" w:hAnsi="Palatino Linotype" w:cstheme="minorHAnsi"/>
        </w:rPr>
        <w:t xml:space="preserve">, </w:t>
      </w:r>
      <w:r w:rsidRPr="00283CF1">
        <w:rPr>
          <w:rFonts w:ascii="Palatino Linotype" w:eastAsia="Times New Roman" w:hAnsi="Palatino Linotype" w:cstheme="minorHAnsi"/>
          <w:i/>
        </w:rPr>
        <w:t>Cardiology</w:t>
      </w:r>
      <w:r w:rsidRPr="00283CF1">
        <w:rPr>
          <w:rFonts w:ascii="Palatino Linotype" w:eastAsia="Times New Roman" w:hAnsi="Palatino Linotype" w:cstheme="minorHAnsi"/>
        </w:rPr>
        <w:t xml:space="preserve">); while others are just getting started during the COVID-19 pandemic (e.g., </w:t>
      </w:r>
      <w:r w:rsidRPr="00283CF1">
        <w:rPr>
          <w:rFonts w:ascii="Palatino Linotype" w:eastAsia="Times New Roman" w:hAnsi="Palatino Linotype" w:cstheme="minorHAnsi"/>
          <w:i/>
        </w:rPr>
        <w:t>Allergy-Immunology</w:t>
      </w:r>
      <w:r w:rsidRPr="00283CF1">
        <w:rPr>
          <w:rFonts w:ascii="Palatino Linotype" w:eastAsia="Times New Roman" w:hAnsi="Palatino Linotype" w:cstheme="minorHAnsi"/>
        </w:rPr>
        <w:t xml:space="preserve">), despite potential for all stakeholders within the specialty (e.g., patients, providers) to benefit from telehealth adoption  </w:t>
      </w:r>
    </w:p>
    <w:p w:rsidR="00311378" w:rsidRPr="00283CF1" w:rsidRDefault="00311378" w:rsidP="00283CF1">
      <w:pPr>
        <w:spacing w:after="0" w:line="240" w:lineRule="auto"/>
        <w:ind w:firstLine="720"/>
        <w:rPr>
          <w:rFonts w:ascii="Palatino Linotype" w:hAnsi="Palatino Linotype" w:cstheme="minorHAnsi"/>
        </w:rPr>
      </w:pPr>
      <w:r w:rsidRPr="00283CF1">
        <w:rPr>
          <w:rFonts w:ascii="Palatino Linotype" w:hAnsi="Palatino Linotype" w:cstheme="minorHAnsi"/>
        </w:rPr>
        <w:t xml:space="preserve">With the arrival of COVID-19, the healthcare industry has witnessed a massive acceleration in the use of telehealth, not only because of physical (social) distancing requirements, but also due to the temporary removal of policy &amp; regulatory barriers to telehealth </w:t>
      </w:r>
      <w:r w:rsidR="000C02CD" w:rsidRPr="00283CF1">
        <w:rPr>
          <w:rFonts w:ascii="Palatino Linotype" w:hAnsi="Palatino Linotype" w:cstheme="minorHAnsi"/>
        </w:rPr>
        <w:t xml:space="preserve">access. </w:t>
      </w:r>
      <w:r w:rsidRPr="00283CF1">
        <w:rPr>
          <w:rFonts w:ascii="Palatino Linotype" w:hAnsi="Palatino Linotype" w:cstheme="minorHAnsi"/>
        </w:rPr>
        <w:t xml:space="preserve">Nevertheless, the questions that do not yet have definitive answers are: Is telehealth here to stay? Will providers find it to be an effective method for providing care? Will patients prefer it over traditional in-person visits? Will policy barriers to telehealth access be permanently </w:t>
      </w:r>
      <w:r w:rsidR="000C02CD" w:rsidRPr="00283CF1">
        <w:rPr>
          <w:rFonts w:ascii="Palatino Linotype" w:hAnsi="Palatino Linotype" w:cstheme="minorHAnsi"/>
        </w:rPr>
        <w:t xml:space="preserve">lifted? </w:t>
      </w:r>
      <w:r w:rsidRPr="00283CF1">
        <w:rPr>
          <w:rFonts w:ascii="Palatino Linotype" w:hAnsi="Palatino Linotype" w:cstheme="minorHAnsi"/>
        </w:rPr>
        <w:t xml:space="preserve">Although there is much uncertainty about the future of telehealth in the post-pandemic era, one point of consensus is that the elimination of policy barriers by itself, would not suffice to enable widespread, sustainable use of telehealth </w:t>
      </w:r>
      <w:r w:rsidR="000C02CD" w:rsidRPr="00283CF1">
        <w:rPr>
          <w:rFonts w:ascii="Palatino Linotype" w:hAnsi="Palatino Linotype" w:cstheme="minorHAnsi"/>
        </w:rPr>
        <w:t xml:space="preserve">services. </w:t>
      </w:r>
      <w:r w:rsidRPr="00283CF1">
        <w:rPr>
          <w:rFonts w:ascii="Palatino Linotype" w:hAnsi="Palatino Linotype" w:cstheme="minorHAnsi"/>
        </w:rPr>
        <w:t xml:space="preserve">Instead, the telehealth literature has emphasized the need for providers and organizations to make concerted efforts to design and implement telehealth services for sustainable </w:t>
      </w:r>
      <w:r w:rsidR="000C02CD" w:rsidRPr="00283CF1">
        <w:rPr>
          <w:rFonts w:ascii="Palatino Linotype" w:hAnsi="Palatino Linotype" w:cstheme="minorHAnsi"/>
        </w:rPr>
        <w:t xml:space="preserve">use. </w:t>
      </w:r>
      <w:r w:rsidRPr="00283CF1">
        <w:rPr>
          <w:rFonts w:ascii="Palatino Linotype" w:eastAsia="Times New Roman" w:hAnsi="Palatino Linotype" w:cstheme="minorHAnsi"/>
        </w:rPr>
        <w:t>Not surprisingly therefore, a growing stream of pandemic literature has emphasized the importance of addressing the challenge of wide variations in telehealth use, for ensuring widespread sustainability in the post-pandemic future.</w:t>
      </w:r>
    </w:p>
    <w:p w:rsidR="00283CF1" w:rsidRDefault="00283CF1" w:rsidP="00283CF1">
      <w:pPr>
        <w:spacing w:after="0" w:line="240" w:lineRule="auto"/>
        <w:rPr>
          <w:rFonts w:ascii="Palatino Linotype" w:eastAsia="Times New Roman" w:hAnsi="Palatino Linotype" w:cstheme="minorHAnsi"/>
          <w:b/>
          <w:i/>
        </w:rPr>
      </w:pPr>
    </w:p>
    <w:p w:rsidR="00A62477" w:rsidRPr="00283CF1" w:rsidRDefault="00A62477" w:rsidP="00283CF1">
      <w:pPr>
        <w:spacing w:after="0" w:line="240" w:lineRule="auto"/>
        <w:rPr>
          <w:rFonts w:ascii="Palatino Linotype" w:eastAsia="Times New Roman" w:hAnsi="Palatino Linotype" w:cstheme="minorHAnsi"/>
          <w:b/>
          <w:i/>
        </w:rPr>
      </w:pPr>
      <w:r w:rsidRPr="00283CF1">
        <w:rPr>
          <w:rFonts w:ascii="Palatino Linotype" w:eastAsia="Times New Roman" w:hAnsi="Palatino Linotype" w:cstheme="minorHAnsi"/>
          <w:b/>
          <w:i/>
        </w:rPr>
        <w:lastRenderedPageBreak/>
        <w:t>Research Questions</w:t>
      </w:r>
    </w:p>
    <w:p w:rsidR="00311378" w:rsidRPr="00283CF1" w:rsidRDefault="00311378" w:rsidP="00283CF1">
      <w:pPr>
        <w:spacing w:after="0" w:line="240" w:lineRule="auto"/>
        <w:rPr>
          <w:rFonts w:ascii="Palatino Linotype" w:eastAsia="Times New Roman" w:hAnsi="Palatino Linotype" w:cstheme="minorHAnsi"/>
        </w:rPr>
      </w:pPr>
      <w:r w:rsidRPr="00283CF1">
        <w:rPr>
          <w:rFonts w:ascii="Palatino Linotype" w:hAnsi="Palatino Linotype" w:cstheme="minorHAnsi"/>
        </w:rPr>
        <w:t xml:space="preserve">To be able to identify strategies for successful and sustainable telehealth use across all specialties in a post-pandemic era, it would be important to understand the “specialty-level factors” that historically influenced telehealth use among both “lower-using” specialties and “higher-using” specialties. To clarify, the term </w:t>
      </w:r>
      <w:r w:rsidRPr="00283CF1">
        <w:rPr>
          <w:rFonts w:ascii="Palatino Linotype" w:eastAsia="Times New Roman" w:hAnsi="Palatino Linotype" w:cstheme="minorHAnsi"/>
        </w:rPr>
        <w:t>“</w:t>
      </w:r>
      <w:r w:rsidRPr="00283CF1">
        <w:rPr>
          <w:rFonts w:ascii="Palatino Linotype" w:hAnsi="Palatino Linotype" w:cstheme="minorHAnsi"/>
        </w:rPr>
        <w:t xml:space="preserve">telehealth use” in this paper, refers to adoption and utilization of telehealth services by providers (and patients) within a given medical specialty. Given the above background information, the two </w:t>
      </w:r>
      <w:r w:rsidRPr="00283CF1">
        <w:rPr>
          <w:rFonts w:ascii="Palatino Linotype" w:eastAsia="Times New Roman" w:hAnsi="Palatino Linotype" w:cstheme="minorHAnsi"/>
        </w:rPr>
        <w:t xml:space="preserve">research questions are: </w:t>
      </w:r>
    </w:p>
    <w:p w:rsidR="00311378" w:rsidRPr="00283CF1" w:rsidRDefault="00311378" w:rsidP="00283CF1">
      <w:pPr>
        <w:pStyle w:val="ListParagraph"/>
        <w:numPr>
          <w:ilvl w:val="0"/>
          <w:numId w:val="14"/>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What specialty-level factors historically influenced telehealth use in six medical specialties</w:t>
      </w:r>
      <w:r w:rsidRPr="00283CF1">
        <w:rPr>
          <w:rFonts w:ascii="Palatino Linotype" w:hAnsi="Palatino Linotype" w:cstheme="minorHAnsi"/>
        </w:rPr>
        <w:t>, including three “higher-using” specialties (</w:t>
      </w:r>
      <w:r w:rsidRPr="00283CF1">
        <w:rPr>
          <w:rFonts w:ascii="Palatino Linotype" w:hAnsi="Palatino Linotype" w:cstheme="minorHAnsi"/>
          <w:i/>
        </w:rPr>
        <w:t>Cardiology, Psychiatry, Radiology</w:t>
      </w:r>
      <w:r w:rsidRPr="00283CF1">
        <w:rPr>
          <w:rFonts w:ascii="Palatino Linotype" w:hAnsi="Palatino Linotype" w:cstheme="minorHAnsi"/>
        </w:rPr>
        <w:t>) and three “lower-using” specialties (</w:t>
      </w:r>
      <w:r w:rsidRPr="00283CF1">
        <w:rPr>
          <w:rFonts w:ascii="Palatino Linotype" w:hAnsi="Palatino Linotype" w:cstheme="minorHAnsi"/>
          <w:i/>
        </w:rPr>
        <w:t>Allergy-Immunology, Gastroenterology, Family Medicine</w:t>
      </w:r>
      <w:r w:rsidRPr="00283CF1">
        <w:rPr>
          <w:rFonts w:ascii="Palatino Linotype" w:hAnsi="Palatino Linotype" w:cstheme="minorHAnsi"/>
        </w:rPr>
        <w:t>), in the U.S.?</w:t>
      </w:r>
      <w:r w:rsidRPr="00283CF1">
        <w:rPr>
          <w:rFonts w:ascii="Palatino Linotype" w:eastAsia="Times New Roman" w:hAnsi="Palatino Linotype" w:cstheme="minorHAnsi"/>
        </w:rPr>
        <w:t xml:space="preserve">  </w:t>
      </w:r>
    </w:p>
    <w:p w:rsidR="00311378" w:rsidRPr="00283CF1" w:rsidRDefault="00311378" w:rsidP="00283CF1">
      <w:pPr>
        <w:pStyle w:val="ListParagraph"/>
        <w:numPr>
          <w:ilvl w:val="0"/>
          <w:numId w:val="14"/>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Which factors (barriers or facilitators) are associated with relatively lower telehealth use in some specialties and relatively higher telehealth use in other specialties? </w:t>
      </w:r>
    </w:p>
    <w:p w:rsidR="00311378" w:rsidRPr="00283CF1" w:rsidRDefault="00311378" w:rsidP="00283CF1">
      <w:p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By understanding the barriers to telehealth use among “lower-using” specialties and facilitators to telehealth use among “higher-using” specialties, we seek to identify strategies for reducing variation in telehealth use across all medical specialties, and discern implications for ensuring widespread, sustainable use of telehealth services in a post-pandemic environment.</w:t>
      </w:r>
    </w:p>
    <w:p w:rsidR="00283CF1" w:rsidRDefault="00283CF1" w:rsidP="00283CF1">
      <w:pPr>
        <w:spacing w:after="0" w:line="240" w:lineRule="auto"/>
        <w:rPr>
          <w:rFonts w:ascii="Palatino Linotype" w:eastAsia="Times New Roman" w:hAnsi="Palatino Linotype" w:cstheme="minorHAnsi"/>
          <w:b/>
          <w:i/>
        </w:rPr>
      </w:pPr>
    </w:p>
    <w:p w:rsidR="00311378" w:rsidRPr="00283CF1" w:rsidRDefault="00311378" w:rsidP="00283CF1">
      <w:pPr>
        <w:spacing w:after="0" w:line="240" w:lineRule="auto"/>
        <w:rPr>
          <w:rFonts w:ascii="Palatino Linotype" w:eastAsia="Times New Roman" w:hAnsi="Palatino Linotype" w:cstheme="minorHAnsi"/>
          <w:b/>
          <w:i/>
        </w:rPr>
      </w:pPr>
      <w:r w:rsidRPr="00283CF1">
        <w:rPr>
          <w:rFonts w:ascii="Palatino Linotype" w:eastAsia="Times New Roman" w:hAnsi="Palatino Linotype" w:cstheme="minorHAnsi"/>
          <w:b/>
          <w:i/>
        </w:rPr>
        <w:t>Purpose &amp; Aims</w:t>
      </w:r>
    </w:p>
    <w:p w:rsidR="00311378" w:rsidRPr="00283CF1" w:rsidRDefault="00311378" w:rsidP="00283CF1">
      <w:pPr>
        <w:spacing w:after="0" w:line="240" w:lineRule="auto"/>
        <w:rPr>
          <w:rFonts w:ascii="Palatino Linotype" w:hAnsi="Palatino Linotype" w:cstheme="minorHAnsi"/>
        </w:rPr>
      </w:pPr>
      <w:r w:rsidRPr="00283CF1">
        <w:rPr>
          <w:rFonts w:ascii="Palatino Linotype" w:hAnsi="Palatino Linotype" w:cstheme="minorHAnsi"/>
        </w:rPr>
        <w:t>In keeping with the research questions, the purpose of this paper is to conduct a systematic review and narrative synthesis of the literature to identify the key factors historically influencing telehealth use in six medical specialties (selected to represent a wide variation in historical telehealth use), including three “lower-using” specialties (Allergy</w:t>
      </w:r>
      <w:r w:rsidRPr="00283CF1">
        <w:rPr>
          <w:rFonts w:ascii="Palatino Linotype" w:hAnsi="Palatino Linotype" w:cstheme="minorHAnsi"/>
          <w:i/>
        </w:rPr>
        <w:t xml:space="preserve">-Immunology, Gastroenterology, </w:t>
      </w:r>
      <w:r w:rsidRPr="00283CF1">
        <w:rPr>
          <w:rFonts w:ascii="Palatino Linotype" w:hAnsi="Palatino Linotype" w:cstheme="minorHAnsi"/>
        </w:rPr>
        <w:t xml:space="preserve">and </w:t>
      </w:r>
      <w:r w:rsidRPr="00283CF1">
        <w:rPr>
          <w:rFonts w:ascii="Palatino Linotype" w:hAnsi="Palatino Linotype" w:cstheme="minorHAnsi"/>
          <w:i/>
        </w:rPr>
        <w:t>Family Medicine</w:t>
      </w:r>
      <w:r w:rsidRPr="00283CF1">
        <w:rPr>
          <w:rFonts w:ascii="Palatino Linotype" w:hAnsi="Palatino Linotype" w:cstheme="minorHAnsi"/>
        </w:rPr>
        <w:t>) and three “higher-using” specialties (</w:t>
      </w:r>
      <w:r w:rsidRPr="00283CF1">
        <w:rPr>
          <w:rFonts w:ascii="Palatino Linotype" w:hAnsi="Palatino Linotype" w:cstheme="minorHAnsi"/>
          <w:i/>
        </w:rPr>
        <w:t>Cardiology, Psychiatry, Radiology</w:t>
      </w:r>
      <w:r w:rsidRPr="00283CF1">
        <w:rPr>
          <w:rFonts w:ascii="Palatino Linotype" w:hAnsi="Palatino Linotype" w:cstheme="minorHAnsi"/>
        </w:rPr>
        <w:t>). The specific aims of the review are to:</w:t>
      </w:r>
    </w:p>
    <w:p w:rsidR="00311378" w:rsidRPr="00283CF1" w:rsidRDefault="00311378" w:rsidP="00283CF1">
      <w:pPr>
        <w:pStyle w:val="ListParagraph"/>
        <w:numPr>
          <w:ilvl w:val="0"/>
          <w:numId w:val="7"/>
        </w:numPr>
        <w:spacing w:after="0" w:line="240" w:lineRule="auto"/>
        <w:rPr>
          <w:rFonts w:ascii="Palatino Linotype" w:hAnsi="Palatino Linotype" w:cstheme="minorHAnsi"/>
        </w:rPr>
      </w:pPr>
      <w:r w:rsidRPr="00283CF1">
        <w:rPr>
          <w:rFonts w:ascii="Palatino Linotype" w:hAnsi="Palatino Linotype" w:cstheme="minorHAnsi"/>
        </w:rPr>
        <w:t>Describe the factors (including barriers and facilitators) historically influencing telehealth use in six medical specialties in the U.S., including three “lower-using” specialties and three “higher-using” specialties.</w:t>
      </w:r>
    </w:p>
    <w:p w:rsidR="00311378" w:rsidRPr="00283CF1" w:rsidRDefault="00311378" w:rsidP="00283CF1">
      <w:pPr>
        <w:pStyle w:val="ListParagraph"/>
        <w:numPr>
          <w:ilvl w:val="0"/>
          <w:numId w:val="7"/>
        </w:numPr>
        <w:spacing w:after="0" w:line="240" w:lineRule="auto"/>
        <w:rPr>
          <w:rFonts w:ascii="Palatino Linotype" w:hAnsi="Palatino Linotype" w:cstheme="minorHAnsi"/>
        </w:rPr>
      </w:pPr>
      <w:r w:rsidRPr="00283CF1">
        <w:rPr>
          <w:rFonts w:ascii="Palatino Linotype" w:hAnsi="Palatino Linotype" w:cstheme="minorHAnsi"/>
        </w:rPr>
        <w:t>Identify strategies for reducing variation in telehealth use across medical specialties in a post-pandemic era.</w:t>
      </w:r>
    </w:p>
    <w:p w:rsidR="00311378" w:rsidRPr="00283CF1" w:rsidRDefault="00311378" w:rsidP="00283CF1">
      <w:pPr>
        <w:pStyle w:val="ListParagraph"/>
        <w:numPr>
          <w:ilvl w:val="0"/>
          <w:numId w:val="7"/>
        </w:numPr>
        <w:spacing w:after="0" w:line="240" w:lineRule="auto"/>
        <w:rPr>
          <w:rFonts w:ascii="Palatino Linotype" w:hAnsi="Palatino Linotype" w:cstheme="minorHAnsi"/>
        </w:rPr>
      </w:pPr>
      <w:r w:rsidRPr="00283CF1">
        <w:rPr>
          <w:rFonts w:ascii="Palatino Linotype" w:hAnsi="Palatino Linotype" w:cstheme="minorHAnsi"/>
        </w:rPr>
        <w:t>Discuss implications for ensuring widespread, sustainable telehealth use across medical specialties, in a post-pandemic era.</w:t>
      </w:r>
    </w:p>
    <w:p w:rsidR="00AF0C45" w:rsidRPr="00283CF1" w:rsidRDefault="00AF0C45" w:rsidP="00283CF1">
      <w:pPr>
        <w:spacing w:after="0" w:line="240" w:lineRule="auto"/>
        <w:rPr>
          <w:rFonts w:ascii="Palatino Linotype" w:hAnsi="Palatino Linotype" w:cstheme="minorHAnsi"/>
          <w:b/>
          <w:sz w:val="24"/>
          <w:szCs w:val="24"/>
        </w:rPr>
      </w:pPr>
    </w:p>
    <w:p w:rsidR="00FD7C4F" w:rsidRPr="00283CF1" w:rsidRDefault="00FD7C4F" w:rsidP="00283CF1">
      <w:pPr>
        <w:spacing w:after="0" w:line="240" w:lineRule="auto"/>
        <w:rPr>
          <w:rFonts w:ascii="Palatino Linotype" w:hAnsi="Palatino Linotype" w:cstheme="minorHAnsi"/>
          <w:b/>
          <w:sz w:val="24"/>
          <w:szCs w:val="24"/>
        </w:rPr>
      </w:pPr>
      <w:r w:rsidRPr="00283CF1">
        <w:rPr>
          <w:rFonts w:ascii="Palatino Linotype" w:hAnsi="Palatino Linotype" w:cstheme="minorHAnsi"/>
          <w:b/>
          <w:sz w:val="24"/>
          <w:szCs w:val="24"/>
        </w:rPr>
        <w:t>Methodology</w:t>
      </w:r>
    </w:p>
    <w:p w:rsidR="00FD7C4F" w:rsidRPr="00283CF1" w:rsidRDefault="00FD7C4F" w:rsidP="00283CF1">
      <w:pPr>
        <w:spacing w:after="0" w:line="240" w:lineRule="auto"/>
        <w:rPr>
          <w:rFonts w:ascii="Palatino Linotype" w:eastAsia="Times New Roman" w:hAnsi="Palatino Linotype" w:cstheme="minorHAnsi"/>
          <w:u w:val="single"/>
        </w:rPr>
      </w:pPr>
      <w:r w:rsidRPr="00283CF1">
        <w:rPr>
          <w:rFonts w:ascii="Palatino Linotype" w:eastAsia="Times New Roman" w:hAnsi="Palatino Linotype" w:cstheme="minorHAnsi"/>
          <w:u w:val="single"/>
        </w:rPr>
        <w:t>Design</w:t>
      </w:r>
    </w:p>
    <w:p w:rsidR="00311378" w:rsidRPr="00283CF1" w:rsidRDefault="00311378" w:rsidP="00283CF1">
      <w:p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We conducted a systematic review and narrative synthesis of the literature, using the guidance developed by </w:t>
      </w:r>
      <w:proofErr w:type="spellStart"/>
      <w:r w:rsidRPr="00283CF1">
        <w:rPr>
          <w:rFonts w:ascii="Palatino Linotype" w:eastAsia="Times New Roman" w:hAnsi="Palatino Linotype" w:cstheme="minorHAnsi"/>
        </w:rPr>
        <w:t>Popay</w:t>
      </w:r>
      <w:proofErr w:type="spellEnd"/>
      <w:r w:rsidRPr="00283CF1">
        <w:rPr>
          <w:rFonts w:ascii="Palatino Linotype" w:eastAsia="Times New Roman" w:hAnsi="Palatino Linotype" w:cstheme="minorHAnsi"/>
        </w:rPr>
        <w:t xml:space="preserve"> et al (2006), to examine factors historically influencing telehealth use across medical specialties. Narrative synthesis refers to ‘</w:t>
      </w:r>
      <w:r w:rsidRPr="00283CF1">
        <w:rPr>
          <w:rFonts w:ascii="Palatino Linotype" w:eastAsia="Times New Roman" w:hAnsi="Palatino Linotype" w:cstheme="minorHAnsi"/>
          <w:i/>
        </w:rPr>
        <w:t>an approach to the systematic review and synthesis of findings from multiple sources and relies primarily on the use of words and text to summarize and explain the findings of the synthesis</w:t>
      </w:r>
      <w:r w:rsidRPr="00283CF1">
        <w:rPr>
          <w:rFonts w:ascii="Palatino Linotype" w:eastAsia="Times New Roman" w:hAnsi="Palatino Linotype" w:cstheme="minorHAnsi"/>
        </w:rPr>
        <w:t xml:space="preserve">.’ It is used when statistical meta-analysis or another specialized form of synthesis (e.g., meta-ethnography for qualitative studies) is not feasible, due to high degrees of breadth and heterogeneity in the literature. Given our broad topic of interest, our literature of interest was also broad, including peer-reviewed original studies, reviews, and </w:t>
      </w:r>
      <w:r w:rsidRPr="00283CF1">
        <w:rPr>
          <w:rFonts w:ascii="Palatino Linotype" w:eastAsia="Times New Roman" w:hAnsi="Palatino Linotype" w:cstheme="minorHAnsi"/>
        </w:rPr>
        <w:lastRenderedPageBreak/>
        <w:t xml:space="preserve">specialty-society workgroup reports &amp; position statements. Our focus was to review all forms of peer-reviewed literature that helped to understand the factors that historically influenced telehealth use in each specialty.  </w:t>
      </w:r>
    </w:p>
    <w:p w:rsidR="00283CF1" w:rsidRDefault="00283CF1" w:rsidP="00283CF1">
      <w:pPr>
        <w:spacing w:after="0" w:line="240" w:lineRule="auto"/>
        <w:rPr>
          <w:rFonts w:ascii="Palatino Linotype" w:eastAsia="Times New Roman" w:hAnsi="Palatino Linotype" w:cstheme="minorHAnsi"/>
          <w:u w:val="single"/>
        </w:rPr>
      </w:pPr>
    </w:p>
    <w:p w:rsidR="00FD7C4F" w:rsidRPr="00283CF1" w:rsidRDefault="00FD7C4F" w:rsidP="00283CF1">
      <w:pPr>
        <w:spacing w:after="0" w:line="240" w:lineRule="auto"/>
        <w:rPr>
          <w:rFonts w:ascii="Palatino Linotype" w:eastAsia="Times New Roman" w:hAnsi="Palatino Linotype" w:cstheme="minorHAnsi"/>
          <w:u w:val="single"/>
        </w:rPr>
      </w:pPr>
      <w:r w:rsidRPr="00283CF1">
        <w:rPr>
          <w:rFonts w:ascii="Palatino Linotype" w:eastAsia="Times New Roman" w:hAnsi="Palatino Linotype" w:cstheme="minorHAnsi"/>
          <w:u w:val="single"/>
        </w:rPr>
        <w:t>Data sources</w:t>
      </w:r>
    </w:p>
    <w:p w:rsidR="00311378" w:rsidRPr="00283CF1" w:rsidRDefault="00311378" w:rsidP="00283CF1">
      <w:p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Article searches were conducted on the PUBMED database. </w:t>
      </w:r>
      <w:r w:rsidRPr="00283CF1">
        <w:rPr>
          <w:rFonts w:ascii="Palatino Linotype" w:eastAsia="Times New Roman" w:hAnsi="Palatino Linotype" w:cstheme="minorHAnsi"/>
          <w:b/>
        </w:rPr>
        <w:t>Table 1</w:t>
      </w:r>
      <w:r w:rsidRPr="00283CF1">
        <w:rPr>
          <w:rFonts w:ascii="Palatino Linotype" w:eastAsia="Times New Roman" w:hAnsi="Palatino Linotype" w:cstheme="minorHAnsi"/>
        </w:rPr>
        <w:t xml:space="preserve"> summarizes our search strategy. As indicated in the table, our initial database search entailed using key search terms (“Telehealth,” “&lt;Specialty Name&gt;,” “Barriers,” “Facilitators”) and closely-related terms informed by our conceptual framework (</w:t>
      </w:r>
      <w:r w:rsidRPr="00283CF1">
        <w:rPr>
          <w:rFonts w:ascii="Palatino Linotype" w:eastAsia="Times New Roman" w:hAnsi="Palatino Linotype" w:cstheme="minorHAnsi"/>
          <w:b/>
        </w:rPr>
        <w:t>Figure 1</w:t>
      </w:r>
      <w:r w:rsidRPr="00283CF1">
        <w:rPr>
          <w:rFonts w:ascii="Palatino Linotype" w:eastAsia="Times New Roman" w:hAnsi="Palatino Linotype" w:cstheme="minorHAnsi"/>
        </w:rPr>
        <w:t xml:space="preserve">). PRISMA guidelines were used to inform the process of article selection based on study inclusion criteria (outlined below). The PRISMA checklist is included in </w:t>
      </w:r>
      <w:r w:rsidRPr="00283CF1">
        <w:rPr>
          <w:rFonts w:ascii="Palatino Linotype" w:eastAsia="Times New Roman" w:hAnsi="Palatino Linotype" w:cstheme="minorHAnsi"/>
          <w:b/>
        </w:rPr>
        <w:t>Appendix 1</w:t>
      </w:r>
      <w:r w:rsidRPr="00283CF1">
        <w:rPr>
          <w:rFonts w:ascii="Palatino Linotype" w:eastAsia="Times New Roman" w:hAnsi="Palatino Linotype" w:cstheme="minorHAnsi"/>
        </w:rPr>
        <w:t>.</w:t>
      </w:r>
    </w:p>
    <w:p w:rsidR="00283CF1" w:rsidRDefault="00283CF1" w:rsidP="00283CF1">
      <w:pPr>
        <w:spacing w:after="0" w:line="240" w:lineRule="auto"/>
        <w:rPr>
          <w:rFonts w:ascii="Palatino Linotype" w:eastAsia="Times New Roman" w:hAnsi="Palatino Linotype" w:cstheme="minorHAnsi"/>
          <w:b/>
        </w:rPr>
      </w:pPr>
    </w:p>
    <w:p w:rsidR="00595963" w:rsidRPr="00283CF1" w:rsidRDefault="00595963" w:rsidP="00283CF1">
      <w:pPr>
        <w:spacing w:after="0" w:line="240" w:lineRule="auto"/>
        <w:rPr>
          <w:rFonts w:ascii="Palatino Linotype" w:eastAsia="Times New Roman" w:hAnsi="Palatino Linotype" w:cstheme="minorHAnsi"/>
          <w:b/>
        </w:rPr>
      </w:pPr>
      <w:r w:rsidRPr="00283CF1">
        <w:rPr>
          <w:rFonts w:ascii="Palatino Linotype" w:eastAsia="Times New Roman" w:hAnsi="Palatino Linotype" w:cstheme="minorHAnsi"/>
          <w:b/>
        </w:rPr>
        <w:t>Table 1: Database Search Strategy</w:t>
      </w:r>
    </w:p>
    <w:p w:rsidR="00595963" w:rsidRPr="00283CF1" w:rsidRDefault="00595963" w:rsidP="00283CF1">
      <w:pPr>
        <w:spacing w:after="0" w:line="240" w:lineRule="auto"/>
        <w:rPr>
          <w:rFonts w:ascii="Palatino Linotype" w:eastAsia="Times New Roman" w:hAnsi="Palatino Linotype" w:cstheme="minorHAnsi"/>
          <w:b/>
        </w:rPr>
      </w:pPr>
    </w:p>
    <w:tbl>
      <w:tblPr>
        <w:tblStyle w:val="TableGrid"/>
        <w:tblW w:w="0" w:type="auto"/>
        <w:tblLook w:val="04A0" w:firstRow="1" w:lastRow="0" w:firstColumn="1" w:lastColumn="0" w:noHBand="0" w:noVBand="1"/>
      </w:tblPr>
      <w:tblGrid>
        <w:gridCol w:w="4675"/>
        <w:gridCol w:w="4675"/>
      </w:tblGrid>
      <w:tr w:rsidR="00595963" w:rsidRPr="00283CF1" w:rsidTr="00DA772D">
        <w:tc>
          <w:tcPr>
            <w:tcW w:w="4675" w:type="dxa"/>
          </w:tcPr>
          <w:p w:rsidR="00595963" w:rsidRPr="00283CF1" w:rsidRDefault="00283CF1" w:rsidP="00283CF1">
            <w:pPr>
              <w:rPr>
                <w:rFonts w:ascii="Palatino Linotype" w:eastAsia="Times New Roman" w:hAnsi="Palatino Linotype" w:cstheme="minorHAnsi"/>
                <w:b/>
              </w:rPr>
            </w:pPr>
            <w:r>
              <w:rPr>
                <w:rFonts w:ascii="Palatino Linotype" w:eastAsia="Times New Roman" w:hAnsi="Palatino Linotype" w:cstheme="minorHAnsi"/>
                <w:b/>
              </w:rPr>
              <w:t>Key</w:t>
            </w:r>
            <w:r w:rsidR="00595963" w:rsidRPr="00283CF1">
              <w:rPr>
                <w:rFonts w:ascii="Palatino Linotype" w:eastAsia="Times New Roman" w:hAnsi="Palatino Linotype" w:cstheme="minorHAnsi"/>
                <w:b/>
              </w:rPr>
              <w:t xml:space="preserve"> search terms</w:t>
            </w:r>
          </w:p>
        </w:tc>
        <w:tc>
          <w:tcPr>
            <w:tcW w:w="4675" w:type="dxa"/>
          </w:tcPr>
          <w:p w:rsidR="00595963" w:rsidRPr="00283CF1" w:rsidRDefault="00595963" w:rsidP="00283CF1">
            <w:pPr>
              <w:rPr>
                <w:rFonts w:ascii="Palatino Linotype" w:eastAsia="Times New Roman" w:hAnsi="Palatino Linotype" w:cstheme="minorHAnsi"/>
                <w:b/>
              </w:rPr>
            </w:pPr>
            <w:r w:rsidRPr="00283CF1">
              <w:rPr>
                <w:rFonts w:ascii="Palatino Linotype" w:eastAsia="Times New Roman" w:hAnsi="Palatino Linotype" w:cstheme="minorHAnsi"/>
                <w:b/>
              </w:rPr>
              <w:t>Closely-related terms</w:t>
            </w:r>
          </w:p>
        </w:tc>
      </w:tr>
      <w:tr w:rsidR="00595963" w:rsidRPr="00283CF1" w:rsidTr="00DA772D">
        <w:tc>
          <w:tcPr>
            <w:tcW w:w="4675" w:type="dxa"/>
          </w:tcPr>
          <w:p w:rsidR="00595963" w:rsidRPr="00283CF1" w:rsidRDefault="00595963" w:rsidP="00283CF1">
            <w:pPr>
              <w:rPr>
                <w:rFonts w:ascii="Palatino Linotype" w:eastAsia="Times New Roman" w:hAnsi="Palatino Linotype" w:cstheme="minorHAnsi"/>
              </w:rPr>
            </w:pPr>
            <w:r w:rsidRPr="00283CF1">
              <w:rPr>
                <w:rFonts w:ascii="Palatino Linotype" w:eastAsia="Times New Roman" w:hAnsi="Palatino Linotype" w:cstheme="minorHAnsi"/>
              </w:rPr>
              <w:t>Telehealth</w:t>
            </w:r>
          </w:p>
        </w:tc>
        <w:tc>
          <w:tcPr>
            <w:tcW w:w="4675" w:type="dxa"/>
          </w:tcPr>
          <w:p w:rsidR="00595963" w:rsidRPr="00283CF1" w:rsidRDefault="00595963" w:rsidP="00283CF1">
            <w:pPr>
              <w:rPr>
                <w:rFonts w:ascii="Palatino Linotype" w:eastAsia="Times New Roman" w:hAnsi="Palatino Linotype" w:cstheme="minorHAnsi"/>
              </w:rPr>
            </w:pPr>
            <w:r w:rsidRPr="00283CF1">
              <w:rPr>
                <w:rFonts w:ascii="Palatino Linotype" w:eastAsia="Times New Roman" w:hAnsi="Palatino Linotype" w:cstheme="minorHAnsi"/>
              </w:rPr>
              <w:t>Telemedicine</w:t>
            </w:r>
          </w:p>
          <w:p w:rsidR="00595963" w:rsidRPr="00283CF1" w:rsidRDefault="00595963" w:rsidP="00283CF1">
            <w:pPr>
              <w:rPr>
                <w:rFonts w:ascii="Palatino Linotype" w:eastAsia="Times New Roman" w:hAnsi="Palatino Linotype" w:cstheme="minorHAnsi"/>
              </w:rPr>
            </w:pPr>
          </w:p>
        </w:tc>
      </w:tr>
      <w:tr w:rsidR="00595963" w:rsidRPr="00283CF1" w:rsidTr="00DA772D">
        <w:tc>
          <w:tcPr>
            <w:tcW w:w="4675" w:type="dxa"/>
          </w:tcPr>
          <w:p w:rsidR="00595963" w:rsidRPr="00283CF1" w:rsidRDefault="00595963" w:rsidP="00283CF1">
            <w:pPr>
              <w:rPr>
                <w:rFonts w:ascii="Palatino Linotype" w:eastAsia="Times New Roman" w:hAnsi="Palatino Linotype" w:cstheme="minorHAnsi"/>
              </w:rPr>
            </w:pPr>
            <w:r w:rsidRPr="00283CF1">
              <w:rPr>
                <w:rFonts w:ascii="Palatino Linotype" w:eastAsia="Times New Roman" w:hAnsi="Palatino Linotype" w:cstheme="minorHAnsi"/>
              </w:rPr>
              <w:t>Barriers, Facilitators</w:t>
            </w:r>
          </w:p>
        </w:tc>
        <w:tc>
          <w:tcPr>
            <w:tcW w:w="4675" w:type="dxa"/>
          </w:tcPr>
          <w:p w:rsidR="00595963" w:rsidRPr="00283CF1" w:rsidRDefault="00595963" w:rsidP="00283CF1">
            <w:pPr>
              <w:rPr>
                <w:rFonts w:ascii="Palatino Linotype" w:eastAsia="Times New Roman" w:hAnsi="Palatino Linotype" w:cstheme="minorHAnsi"/>
              </w:rPr>
            </w:pPr>
            <w:r w:rsidRPr="00283CF1">
              <w:rPr>
                <w:rFonts w:ascii="Palatino Linotype" w:eastAsia="Times New Roman" w:hAnsi="Palatino Linotype" w:cstheme="minorHAnsi"/>
              </w:rPr>
              <w:t xml:space="preserve">Influencing factors, including </w:t>
            </w:r>
            <w:r w:rsidRPr="00283CF1">
              <w:rPr>
                <w:rFonts w:ascii="Palatino Linotype" w:eastAsia="Times New Roman" w:hAnsi="Palatino Linotype" w:cstheme="minorHAnsi"/>
                <w:i/>
              </w:rPr>
              <w:t>macro</w:t>
            </w:r>
            <w:r w:rsidRPr="00283CF1">
              <w:rPr>
                <w:rFonts w:ascii="Palatino Linotype" w:eastAsia="Times New Roman" w:hAnsi="Palatino Linotype" w:cstheme="minorHAnsi"/>
              </w:rPr>
              <w:t xml:space="preserve"> (policy-level) factors, </w:t>
            </w:r>
            <w:proofErr w:type="spellStart"/>
            <w:r w:rsidRPr="00283CF1">
              <w:rPr>
                <w:rFonts w:ascii="Palatino Linotype" w:eastAsia="Times New Roman" w:hAnsi="Palatino Linotype" w:cstheme="minorHAnsi"/>
                <w:i/>
              </w:rPr>
              <w:t>meso</w:t>
            </w:r>
            <w:proofErr w:type="spellEnd"/>
            <w:r w:rsidRPr="00283CF1">
              <w:rPr>
                <w:rFonts w:ascii="Palatino Linotype" w:eastAsia="Times New Roman" w:hAnsi="Palatino Linotype" w:cstheme="minorHAnsi"/>
              </w:rPr>
              <w:t xml:space="preserve"> (organizational-level) factors; and </w:t>
            </w:r>
            <w:r w:rsidRPr="00283CF1">
              <w:rPr>
                <w:rFonts w:ascii="Palatino Linotype" w:eastAsia="Times New Roman" w:hAnsi="Palatino Linotype" w:cstheme="minorHAnsi"/>
                <w:i/>
              </w:rPr>
              <w:t>micro</w:t>
            </w:r>
            <w:r w:rsidRPr="00283CF1">
              <w:rPr>
                <w:rFonts w:ascii="Palatino Linotype" w:eastAsia="Times New Roman" w:hAnsi="Palatino Linotype" w:cstheme="minorHAnsi"/>
              </w:rPr>
              <w:t xml:space="preserve"> (individual-level) factors.</w:t>
            </w:r>
          </w:p>
          <w:p w:rsidR="00595963" w:rsidRPr="00283CF1" w:rsidRDefault="00595963" w:rsidP="00283CF1">
            <w:pPr>
              <w:rPr>
                <w:rFonts w:ascii="Palatino Linotype" w:eastAsia="Times New Roman" w:hAnsi="Palatino Linotype" w:cstheme="minorHAnsi"/>
              </w:rPr>
            </w:pPr>
          </w:p>
        </w:tc>
      </w:tr>
      <w:tr w:rsidR="00595963" w:rsidRPr="00283CF1" w:rsidTr="00DA772D">
        <w:tc>
          <w:tcPr>
            <w:tcW w:w="4675" w:type="dxa"/>
          </w:tcPr>
          <w:p w:rsidR="00595963" w:rsidRPr="00283CF1" w:rsidRDefault="00595963" w:rsidP="00283CF1">
            <w:pPr>
              <w:rPr>
                <w:rFonts w:ascii="Palatino Linotype" w:eastAsia="Times New Roman" w:hAnsi="Palatino Linotype" w:cstheme="minorHAnsi"/>
              </w:rPr>
            </w:pPr>
            <w:r w:rsidRPr="00283CF1">
              <w:rPr>
                <w:rFonts w:ascii="Palatino Linotype" w:eastAsia="Times New Roman" w:hAnsi="Palatino Linotype" w:cstheme="minorHAnsi"/>
              </w:rPr>
              <w:t xml:space="preserve">Specialty Name: </w:t>
            </w:r>
            <w:r w:rsidRPr="00283CF1">
              <w:rPr>
                <w:rFonts w:ascii="Palatino Linotype" w:eastAsia="Times New Roman" w:hAnsi="Palatino Linotype" w:cstheme="minorHAnsi"/>
                <w:i/>
              </w:rPr>
              <w:t>Allergy-Immunology, Gastroenterology, Family Medicine, Cardiology, Psychiatry, Radiology</w:t>
            </w:r>
            <w:r w:rsidRPr="00283CF1">
              <w:rPr>
                <w:rFonts w:ascii="Palatino Linotype" w:eastAsia="Times New Roman" w:hAnsi="Palatino Linotype" w:cstheme="minorHAnsi"/>
              </w:rPr>
              <w:t>.</w:t>
            </w:r>
          </w:p>
          <w:p w:rsidR="00595963" w:rsidRPr="00283CF1" w:rsidRDefault="00595963" w:rsidP="00283CF1">
            <w:pPr>
              <w:rPr>
                <w:rFonts w:ascii="Palatino Linotype" w:eastAsia="Times New Roman" w:hAnsi="Palatino Linotype" w:cstheme="minorHAnsi"/>
              </w:rPr>
            </w:pPr>
          </w:p>
        </w:tc>
        <w:tc>
          <w:tcPr>
            <w:tcW w:w="4675" w:type="dxa"/>
          </w:tcPr>
          <w:p w:rsidR="00595963" w:rsidRPr="00283CF1" w:rsidRDefault="00595963" w:rsidP="00283CF1">
            <w:pPr>
              <w:rPr>
                <w:rFonts w:ascii="Palatino Linotype" w:eastAsia="Times New Roman" w:hAnsi="Palatino Linotype" w:cstheme="minorHAnsi"/>
                <w:i/>
              </w:rPr>
            </w:pPr>
            <w:r w:rsidRPr="00283CF1">
              <w:rPr>
                <w:rFonts w:ascii="Palatino Linotype" w:eastAsia="Times New Roman" w:hAnsi="Palatino Linotype" w:cstheme="minorHAnsi"/>
              </w:rPr>
              <w:t xml:space="preserve">Specialty Name: </w:t>
            </w:r>
            <w:r w:rsidRPr="00283CF1">
              <w:rPr>
                <w:rFonts w:ascii="Palatino Linotype" w:eastAsia="Times New Roman" w:hAnsi="Palatino Linotype" w:cstheme="minorHAnsi"/>
                <w:i/>
              </w:rPr>
              <w:t>Asthma,</w:t>
            </w:r>
            <w:r w:rsidRPr="00283CF1">
              <w:rPr>
                <w:rFonts w:ascii="Palatino Linotype" w:eastAsia="Times New Roman" w:hAnsi="Palatino Linotype" w:cstheme="minorHAnsi"/>
              </w:rPr>
              <w:t xml:space="preserve"> </w:t>
            </w:r>
            <w:r w:rsidRPr="00283CF1">
              <w:rPr>
                <w:rFonts w:ascii="Palatino Linotype" w:eastAsia="Times New Roman" w:hAnsi="Palatino Linotype" w:cstheme="minorHAnsi"/>
                <w:i/>
              </w:rPr>
              <w:t xml:space="preserve">Allergy, </w:t>
            </w:r>
            <w:proofErr w:type="spellStart"/>
            <w:r w:rsidRPr="00283CF1">
              <w:rPr>
                <w:rFonts w:ascii="Palatino Linotype" w:eastAsia="Times New Roman" w:hAnsi="Palatino Linotype" w:cstheme="minorHAnsi"/>
                <w:i/>
              </w:rPr>
              <w:t>Hepatology</w:t>
            </w:r>
            <w:proofErr w:type="spellEnd"/>
            <w:r w:rsidRPr="00283CF1">
              <w:rPr>
                <w:rFonts w:ascii="Palatino Linotype" w:eastAsia="Times New Roman" w:hAnsi="Palatino Linotype" w:cstheme="minorHAnsi"/>
                <w:i/>
              </w:rPr>
              <w:t>, Primary Care, Cardiovascular, Behavioral Health, Mental Health, Imaging.</w:t>
            </w:r>
          </w:p>
          <w:p w:rsidR="00595963" w:rsidRPr="00283CF1" w:rsidRDefault="00595963" w:rsidP="00283CF1">
            <w:pPr>
              <w:rPr>
                <w:rFonts w:ascii="Palatino Linotype" w:eastAsia="Times New Roman" w:hAnsi="Palatino Linotype" w:cstheme="minorHAnsi"/>
                <w:i/>
              </w:rPr>
            </w:pPr>
          </w:p>
        </w:tc>
      </w:tr>
    </w:tbl>
    <w:p w:rsidR="002E59DC" w:rsidRPr="00283CF1" w:rsidRDefault="002E59DC" w:rsidP="00283CF1">
      <w:pPr>
        <w:spacing w:after="0" w:line="240" w:lineRule="auto"/>
        <w:rPr>
          <w:rFonts w:ascii="Palatino Linotype" w:eastAsia="Times New Roman" w:hAnsi="Palatino Linotype" w:cstheme="minorHAnsi"/>
          <w:u w:val="single"/>
        </w:rPr>
      </w:pPr>
    </w:p>
    <w:p w:rsidR="00FD7C4F" w:rsidRPr="00283CF1" w:rsidRDefault="00FD7C4F" w:rsidP="00283CF1">
      <w:pPr>
        <w:spacing w:after="0" w:line="240" w:lineRule="auto"/>
        <w:rPr>
          <w:rFonts w:ascii="Palatino Linotype" w:eastAsia="Times New Roman" w:hAnsi="Palatino Linotype" w:cstheme="minorHAnsi"/>
          <w:u w:val="single"/>
        </w:rPr>
      </w:pPr>
      <w:r w:rsidRPr="00283CF1">
        <w:rPr>
          <w:rFonts w:ascii="Palatino Linotype" w:eastAsia="Times New Roman" w:hAnsi="Palatino Linotype" w:cstheme="minorHAnsi"/>
          <w:u w:val="single"/>
        </w:rPr>
        <w:t>Developing a narrative synthesis</w:t>
      </w:r>
    </w:p>
    <w:p w:rsidR="00821940" w:rsidRPr="00283CF1" w:rsidRDefault="00821940" w:rsidP="00283CF1">
      <w:p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We followed the steps delineated by </w:t>
      </w:r>
      <w:proofErr w:type="spellStart"/>
      <w:r w:rsidRPr="00283CF1">
        <w:rPr>
          <w:rFonts w:ascii="Palatino Linotype" w:eastAsia="Times New Roman" w:hAnsi="Palatino Linotype" w:cstheme="minorHAnsi"/>
        </w:rPr>
        <w:t>Popay</w:t>
      </w:r>
      <w:proofErr w:type="spellEnd"/>
      <w:r w:rsidRPr="00283CF1">
        <w:rPr>
          <w:rFonts w:ascii="Palatino Linotype" w:eastAsia="Times New Roman" w:hAnsi="Palatino Linotype" w:cstheme="minorHAnsi"/>
        </w:rPr>
        <w:t xml:space="preserve"> et al (2006), namely (1) Identifying a conceptual framework, (2) developing a preliminary synthesis (which included identifying inclusion &amp; exclusion criteria), (3) exploring themes in the data, and (4) assessing robustness of final synthesis [28]. We used the </w:t>
      </w:r>
      <w:r w:rsidRPr="00283CF1">
        <w:rPr>
          <w:rFonts w:ascii="Palatino Linotype" w:eastAsia="Times New Roman" w:hAnsi="Palatino Linotype" w:cstheme="minorHAnsi"/>
          <w:i/>
        </w:rPr>
        <w:t>macro-</w:t>
      </w:r>
      <w:proofErr w:type="spellStart"/>
      <w:r w:rsidRPr="00283CF1">
        <w:rPr>
          <w:rFonts w:ascii="Palatino Linotype" w:eastAsia="Times New Roman" w:hAnsi="Palatino Linotype" w:cstheme="minorHAnsi"/>
          <w:i/>
        </w:rPr>
        <w:t>meso</w:t>
      </w:r>
      <w:proofErr w:type="spellEnd"/>
      <w:r w:rsidRPr="00283CF1">
        <w:rPr>
          <w:rFonts w:ascii="Palatino Linotype" w:eastAsia="Times New Roman" w:hAnsi="Palatino Linotype" w:cstheme="minorHAnsi"/>
          <w:i/>
        </w:rPr>
        <w:t>-micro</w:t>
      </w:r>
      <w:r w:rsidRPr="00283CF1">
        <w:rPr>
          <w:rFonts w:ascii="Palatino Linotype" w:eastAsia="Times New Roman" w:hAnsi="Palatino Linotype" w:cstheme="minorHAnsi"/>
        </w:rPr>
        <w:t xml:space="preserve"> three-layer framework </w:t>
      </w:r>
      <w:r w:rsidRPr="00283CF1">
        <w:rPr>
          <w:rFonts w:ascii="Palatino Linotype" w:hAnsi="Palatino Linotype" w:cstheme="minorHAnsi"/>
        </w:rPr>
        <w:t xml:space="preserve">(available since the beginnings of social science research), </w:t>
      </w:r>
      <w:r w:rsidRPr="00283CF1">
        <w:rPr>
          <w:rFonts w:ascii="Palatino Linotype" w:eastAsia="Times New Roman" w:hAnsi="Palatino Linotype" w:cstheme="minorHAnsi"/>
        </w:rPr>
        <w:t>to guide our review. This framework (</w:t>
      </w:r>
      <w:r w:rsidRPr="00283CF1">
        <w:rPr>
          <w:rFonts w:ascii="Palatino Linotype" w:eastAsia="Times New Roman" w:hAnsi="Palatino Linotype" w:cstheme="minorHAnsi"/>
          <w:b/>
        </w:rPr>
        <w:t>Figure 1</w:t>
      </w:r>
      <w:r w:rsidRPr="00283CF1">
        <w:rPr>
          <w:rFonts w:ascii="Palatino Linotype" w:eastAsia="Times New Roman" w:hAnsi="Palatino Linotype" w:cstheme="minorHAnsi"/>
        </w:rPr>
        <w:t>)</w:t>
      </w:r>
      <w:r w:rsidRPr="00283CF1">
        <w:rPr>
          <w:rFonts w:ascii="Palatino Linotype" w:hAnsi="Palatino Linotype" w:cstheme="minorHAnsi"/>
        </w:rPr>
        <w:t>,</w:t>
      </w:r>
      <w:r w:rsidRPr="00283CF1">
        <w:rPr>
          <w:rFonts w:ascii="Palatino Linotype" w:eastAsia="Times New Roman" w:hAnsi="Palatino Linotype" w:cstheme="minorHAnsi"/>
        </w:rPr>
        <w:t xml:space="preserve"> represents three layers of factors influencing behavior (e.g., telehealth use in a medical specialty). The </w:t>
      </w:r>
      <w:r w:rsidRPr="00283CF1">
        <w:rPr>
          <w:rFonts w:ascii="Palatino Linotype" w:eastAsia="Times New Roman" w:hAnsi="Palatino Linotype" w:cstheme="minorHAnsi"/>
          <w:i/>
        </w:rPr>
        <w:t>macro</w:t>
      </w:r>
      <w:r w:rsidRPr="00283CF1">
        <w:rPr>
          <w:rFonts w:ascii="Palatino Linotype" w:eastAsia="Times New Roman" w:hAnsi="Palatino Linotype" w:cstheme="minorHAnsi"/>
        </w:rPr>
        <w:t xml:space="preserve"> layer represents factors at the societal level (e.g., </w:t>
      </w:r>
      <w:r w:rsidRPr="00283CF1">
        <w:rPr>
          <w:rFonts w:ascii="Palatino Linotype" w:eastAsia="Times New Roman" w:hAnsi="Palatino Linotype" w:cstheme="minorHAnsi"/>
          <w:i/>
        </w:rPr>
        <w:t>policy</w:t>
      </w:r>
      <w:r w:rsidRPr="00283CF1">
        <w:rPr>
          <w:rFonts w:ascii="Palatino Linotype" w:eastAsia="Times New Roman" w:hAnsi="Palatino Linotype" w:cstheme="minorHAnsi"/>
        </w:rPr>
        <w:t xml:space="preserve"> or </w:t>
      </w:r>
      <w:r w:rsidRPr="00283CF1">
        <w:rPr>
          <w:rFonts w:ascii="Palatino Linotype" w:eastAsia="Times New Roman" w:hAnsi="Palatino Linotype" w:cstheme="minorHAnsi"/>
          <w:i/>
        </w:rPr>
        <w:t>structural</w:t>
      </w:r>
      <w:r w:rsidRPr="00283CF1">
        <w:rPr>
          <w:rFonts w:ascii="Palatino Linotype" w:eastAsia="Times New Roman" w:hAnsi="Palatino Linotype" w:cstheme="minorHAnsi"/>
        </w:rPr>
        <w:t xml:space="preserve"> factors); the </w:t>
      </w:r>
      <w:proofErr w:type="spellStart"/>
      <w:r w:rsidRPr="00283CF1">
        <w:rPr>
          <w:rFonts w:ascii="Palatino Linotype" w:eastAsia="Times New Roman" w:hAnsi="Palatino Linotype" w:cstheme="minorHAnsi"/>
          <w:i/>
        </w:rPr>
        <w:t>meso</w:t>
      </w:r>
      <w:proofErr w:type="spellEnd"/>
      <w:r w:rsidRPr="00283CF1">
        <w:rPr>
          <w:rFonts w:ascii="Palatino Linotype" w:eastAsia="Times New Roman" w:hAnsi="Palatino Linotype" w:cstheme="minorHAnsi"/>
        </w:rPr>
        <w:t xml:space="preserve"> layer represents factors at a group level (e.g., </w:t>
      </w:r>
      <w:r w:rsidRPr="00283CF1">
        <w:rPr>
          <w:rFonts w:ascii="Palatino Linotype" w:eastAsia="Times New Roman" w:hAnsi="Palatino Linotype" w:cstheme="minorHAnsi"/>
          <w:i/>
        </w:rPr>
        <w:t>organizational</w:t>
      </w:r>
      <w:r w:rsidRPr="00283CF1">
        <w:rPr>
          <w:rFonts w:ascii="Palatino Linotype" w:eastAsia="Times New Roman" w:hAnsi="Palatino Linotype" w:cstheme="minorHAnsi"/>
        </w:rPr>
        <w:t xml:space="preserve"> factors in a given medical specialty), and the </w:t>
      </w:r>
      <w:r w:rsidRPr="00283CF1">
        <w:rPr>
          <w:rFonts w:ascii="Palatino Linotype" w:eastAsia="Times New Roman" w:hAnsi="Palatino Linotype" w:cstheme="minorHAnsi"/>
          <w:i/>
        </w:rPr>
        <w:t xml:space="preserve">micro </w:t>
      </w:r>
      <w:r w:rsidRPr="00283CF1">
        <w:rPr>
          <w:rFonts w:ascii="Palatino Linotype" w:eastAsia="Times New Roman" w:hAnsi="Palatino Linotype" w:cstheme="minorHAnsi"/>
        </w:rPr>
        <w:t xml:space="preserve">layer represents factors at the individual level (e.g., </w:t>
      </w:r>
      <w:r w:rsidRPr="00283CF1">
        <w:rPr>
          <w:rFonts w:ascii="Palatino Linotype" w:eastAsia="Times New Roman" w:hAnsi="Palatino Linotype" w:cstheme="minorHAnsi"/>
          <w:i/>
        </w:rPr>
        <w:t>provider-</w:t>
      </w:r>
      <w:r w:rsidRPr="00283CF1">
        <w:rPr>
          <w:rFonts w:ascii="Palatino Linotype" w:eastAsia="Times New Roman" w:hAnsi="Palatino Linotype" w:cstheme="minorHAnsi"/>
        </w:rPr>
        <w:t xml:space="preserve"> or </w:t>
      </w:r>
      <w:r w:rsidRPr="00283CF1">
        <w:rPr>
          <w:rFonts w:ascii="Palatino Linotype" w:eastAsia="Times New Roman" w:hAnsi="Palatino Linotype" w:cstheme="minorHAnsi"/>
          <w:i/>
        </w:rPr>
        <w:t>patient-level</w:t>
      </w:r>
      <w:r w:rsidRPr="00283CF1">
        <w:rPr>
          <w:rFonts w:ascii="Palatino Linotype" w:eastAsia="Times New Roman" w:hAnsi="Palatino Linotype" w:cstheme="minorHAnsi"/>
        </w:rPr>
        <w:t xml:space="preserve"> factors).The framework aims to capture three layers of factors as well as the interrelationships among those layers in influencing behavior. It also highlights the role of context in shaping interrelationships across the three layers, to ultimately influence behavior. </w:t>
      </w:r>
    </w:p>
    <w:p w:rsidR="00283CF1" w:rsidRDefault="00283CF1" w:rsidP="00283CF1">
      <w:pPr>
        <w:spacing w:after="0" w:line="240" w:lineRule="auto"/>
        <w:rPr>
          <w:rFonts w:ascii="Palatino Linotype" w:hAnsi="Palatino Linotype" w:cstheme="minorHAnsi"/>
          <w:u w:val="single"/>
        </w:rPr>
      </w:pPr>
    </w:p>
    <w:p w:rsidR="003034B6" w:rsidRDefault="003034B6">
      <w:pPr>
        <w:rPr>
          <w:rFonts w:ascii="Palatino Linotype" w:hAnsi="Palatino Linotype" w:cstheme="minorHAnsi"/>
          <w:u w:val="single"/>
        </w:rPr>
      </w:pPr>
      <w:r>
        <w:rPr>
          <w:rFonts w:ascii="Palatino Linotype" w:hAnsi="Palatino Linotype" w:cstheme="minorHAnsi"/>
          <w:u w:val="single"/>
        </w:rPr>
        <w:br w:type="page"/>
      </w:r>
    </w:p>
    <w:p w:rsidR="00FD7C4F" w:rsidRPr="00283CF1" w:rsidRDefault="00FD7C4F" w:rsidP="00283CF1">
      <w:pPr>
        <w:spacing w:after="0" w:line="240" w:lineRule="auto"/>
        <w:rPr>
          <w:rFonts w:ascii="Palatino Linotype" w:hAnsi="Palatino Linotype" w:cstheme="minorHAnsi"/>
          <w:u w:val="single"/>
        </w:rPr>
      </w:pPr>
      <w:r w:rsidRPr="00283CF1">
        <w:rPr>
          <w:rFonts w:ascii="Palatino Linotype" w:hAnsi="Palatino Linotype" w:cstheme="minorHAnsi"/>
          <w:u w:val="single"/>
        </w:rPr>
        <w:lastRenderedPageBreak/>
        <w:t>Conceptual Framework</w:t>
      </w:r>
    </w:p>
    <w:p w:rsidR="00AF0C45" w:rsidRPr="00283CF1" w:rsidRDefault="00FD7C4F" w:rsidP="00283CF1">
      <w:pPr>
        <w:spacing w:after="0" w:line="240" w:lineRule="auto"/>
        <w:rPr>
          <w:rFonts w:ascii="Palatino Linotype" w:hAnsi="Palatino Linotype" w:cstheme="minorHAnsi"/>
        </w:rPr>
      </w:pPr>
      <w:r w:rsidRPr="00283CF1">
        <w:rPr>
          <w:rFonts w:ascii="Palatino Linotype" w:hAnsi="Palatino Linotype" w:cstheme="minorHAnsi"/>
        </w:rPr>
        <w:t xml:space="preserve">As discussed in the </w:t>
      </w:r>
      <w:r w:rsidR="00821940" w:rsidRPr="00283CF1">
        <w:rPr>
          <w:rFonts w:ascii="Palatino Linotype" w:hAnsi="Palatino Linotype" w:cstheme="minorHAnsi"/>
        </w:rPr>
        <w:t>Background</w:t>
      </w:r>
      <w:r w:rsidRPr="00283CF1">
        <w:rPr>
          <w:rFonts w:ascii="Palatino Linotype" w:hAnsi="Palatino Linotype" w:cstheme="minorHAnsi"/>
        </w:rPr>
        <w:t xml:space="preserve">, the telehealth literature points to key macro-layer factors (e.g., policy-level factors like telehealth reimbursement) in influencing telehealth use across all specialties. Logically therefore, it would be essential to also identify key </w:t>
      </w:r>
      <w:proofErr w:type="spellStart"/>
      <w:r w:rsidRPr="00283CF1">
        <w:rPr>
          <w:rFonts w:ascii="Palatino Linotype" w:hAnsi="Palatino Linotype" w:cstheme="minorHAnsi"/>
        </w:rPr>
        <w:t>meso</w:t>
      </w:r>
      <w:proofErr w:type="spellEnd"/>
      <w:r w:rsidRPr="00283CF1">
        <w:rPr>
          <w:rFonts w:ascii="Palatino Linotype" w:hAnsi="Palatino Linotype" w:cstheme="minorHAnsi"/>
        </w:rPr>
        <w:t xml:space="preserve">-layer factors (e.g., organizational or specialty-level factors) and key micro-layer factors (e.g., individual provider and patient-level factors) influencing telehealth use, to arrive at a comprehensive set of factors historically influencing telehealth use in higher- and lower-using specialties. </w:t>
      </w:r>
    </w:p>
    <w:p w:rsidR="00821940" w:rsidRPr="00283CF1" w:rsidRDefault="00821940" w:rsidP="00283CF1">
      <w:pPr>
        <w:spacing w:after="0" w:line="240" w:lineRule="auto"/>
        <w:ind w:firstLine="360"/>
        <w:rPr>
          <w:rFonts w:ascii="Palatino Linotype" w:hAnsi="Palatino Linotype" w:cstheme="minorHAnsi"/>
          <w:b/>
        </w:rPr>
      </w:pPr>
      <w:r w:rsidRPr="00283CF1">
        <w:rPr>
          <w:rFonts w:ascii="Palatino Linotype" w:hAnsi="Palatino Linotype" w:cstheme="minorHAnsi"/>
        </w:rPr>
        <w:t xml:space="preserve">Ly et al (2017) used the </w:t>
      </w:r>
      <w:r w:rsidRPr="00283CF1">
        <w:rPr>
          <w:rFonts w:ascii="Palatino Linotype" w:hAnsi="Palatino Linotype" w:cstheme="minorHAnsi"/>
          <w:i/>
        </w:rPr>
        <w:t>macro-</w:t>
      </w:r>
      <w:proofErr w:type="spellStart"/>
      <w:r w:rsidRPr="00283CF1">
        <w:rPr>
          <w:rFonts w:ascii="Palatino Linotype" w:hAnsi="Palatino Linotype" w:cstheme="minorHAnsi"/>
          <w:i/>
        </w:rPr>
        <w:t>meso</w:t>
      </w:r>
      <w:proofErr w:type="spellEnd"/>
      <w:r w:rsidRPr="00283CF1">
        <w:rPr>
          <w:rFonts w:ascii="Palatino Linotype" w:hAnsi="Palatino Linotype" w:cstheme="minorHAnsi"/>
          <w:i/>
        </w:rPr>
        <w:t>-micro</w:t>
      </w:r>
      <w:r w:rsidRPr="00283CF1">
        <w:rPr>
          <w:rFonts w:ascii="Palatino Linotype" w:hAnsi="Palatino Linotype" w:cstheme="minorHAnsi"/>
        </w:rPr>
        <w:t xml:space="preserve"> framework to characterize the factors influencing telemedicine use in Senegal. In their framework, the </w:t>
      </w:r>
      <w:r w:rsidRPr="00283CF1">
        <w:rPr>
          <w:rFonts w:ascii="Palatino Linotype" w:hAnsi="Palatino Linotype" w:cstheme="minorHAnsi"/>
          <w:i/>
        </w:rPr>
        <w:t xml:space="preserve">macro </w:t>
      </w:r>
      <w:r w:rsidRPr="00283CF1">
        <w:rPr>
          <w:rFonts w:ascii="Palatino Linotype" w:hAnsi="Palatino Linotype" w:cstheme="minorHAnsi"/>
        </w:rPr>
        <w:t xml:space="preserve">layer included political, financial, legal, and ethical, factors; the </w:t>
      </w:r>
      <w:proofErr w:type="spellStart"/>
      <w:r w:rsidRPr="00283CF1">
        <w:rPr>
          <w:rFonts w:ascii="Palatino Linotype" w:hAnsi="Palatino Linotype" w:cstheme="minorHAnsi"/>
          <w:i/>
        </w:rPr>
        <w:t>meso</w:t>
      </w:r>
      <w:proofErr w:type="spellEnd"/>
      <w:r w:rsidRPr="00283CF1">
        <w:rPr>
          <w:rFonts w:ascii="Palatino Linotype" w:hAnsi="Palatino Linotype" w:cstheme="minorHAnsi"/>
        </w:rPr>
        <w:t xml:space="preserve"> layer included organizational and technical factors; while the </w:t>
      </w:r>
      <w:r w:rsidRPr="00283CF1">
        <w:rPr>
          <w:rFonts w:ascii="Palatino Linotype" w:hAnsi="Palatino Linotype" w:cstheme="minorHAnsi"/>
          <w:i/>
        </w:rPr>
        <w:t>micro</w:t>
      </w:r>
      <w:r w:rsidRPr="00283CF1">
        <w:rPr>
          <w:rFonts w:ascii="Palatino Linotype" w:hAnsi="Palatino Linotype" w:cstheme="minorHAnsi"/>
        </w:rPr>
        <w:t xml:space="preserve"> layer included individual intention to use telemedicine. This framework provided a starting point for a preliminary synthesis of the literature, which in turn enabled further refinement of the framework in regard to specialty-level factors of relevance to this review. The final conceptual framework (</w:t>
      </w:r>
      <w:r w:rsidRPr="00283CF1">
        <w:rPr>
          <w:rFonts w:ascii="Palatino Linotype" w:hAnsi="Palatino Linotype" w:cstheme="minorHAnsi"/>
          <w:b/>
        </w:rPr>
        <w:t>Figure 1</w:t>
      </w:r>
      <w:r w:rsidRPr="00283CF1">
        <w:rPr>
          <w:rFonts w:ascii="Palatino Linotype" w:hAnsi="Palatino Linotype" w:cstheme="minorHAnsi"/>
        </w:rPr>
        <w:t xml:space="preserve">) used to inform the narrative synthesis comprised of a total of 12 factors across the three layers. </w:t>
      </w:r>
    </w:p>
    <w:p w:rsidR="00FD7C4F" w:rsidRPr="00283CF1" w:rsidRDefault="00FD7C4F" w:rsidP="00283CF1">
      <w:pPr>
        <w:pStyle w:val="ListParagraph"/>
        <w:numPr>
          <w:ilvl w:val="0"/>
          <w:numId w:val="6"/>
        </w:numPr>
        <w:spacing w:after="0" w:line="240" w:lineRule="auto"/>
        <w:rPr>
          <w:rFonts w:ascii="Palatino Linotype" w:hAnsi="Palatino Linotype" w:cstheme="minorHAnsi"/>
        </w:rPr>
      </w:pPr>
      <w:r w:rsidRPr="00283CF1">
        <w:rPr>
          <w:rFonts w:ascii="Palatino Linotype" w:hAnsi="Palatino Linotype" w:cstheme="minorHAnsi"/>
        </w:rPr>
        <w:t>The</w:t>
      </w:r>
      <w:r w:rsidRPr="00283CF1">
        <w:rPr>
          <w:rFonts w:ascii="Palatino Linotype" w:hAnsi="Palatino Linotype" w:cstheme="minorHAnsi"/>
          <w:i/>
        </w:rPr>
        <w:t xml:space="preserve"> macro </w:t>
      </w:r>
      <w:r w:rsidRPr="00283CF1">
        <w:rPr>
          <w:rFonts w:ascii="Palatino Linotype" w:hAnsi="Palatino Linotype" w:cstheme="minorHAnsi"/>
        </w:rPr>
        <w:t>layer include</w:t>
      </w:r>
      <w:r w:rsidR="009165CF" w:rsidRPr="00283CF1">
        <w:rPr>
          <w:rFonts w:ascii="Palatino Linotype" w:hAnsi="Palatino Linotype" w:cstheme="minorHAnsi"/>
        </w:rPr>
        <w:t>d</w:t>
      </w:r>
      <w:r w:rsidRPr="00283CF1">
        <w:rPr>
          <w:rFonts w:ascii="Palatino Linotype" w:hAnsi="Palatino Linotype" w:cstheme="minorHAnsi"/>
        </w:rPr>
        <w:t xml:space="preserve"> 3 structural factors (policy, legal, and </w:t>
      </w:r>
      <w:r w:rsidR="009165CF" w:rsidRPr="00283CF1">
        <w:rPr>
          <w:rFonts w:ascii="Palatino Linotype" w:hAnsi="Palatino Linotype" w:cstheme="minorHAnsi"/>
        </w:rPr>
        <w:t>other structural</w:t>
      </w:r>
      <w:r w:rsidRPr="00283CF1">
        <w:rPr>
          <w:rFonts w:ascii="Palatino Linotype" w:hAnsi="Palatino Linotype" w:cstheme="minorHAnsi"/>
        </w:rPr>
        <w:t xml:space="preserve"> factors).</w:t>
      </w:r>
    </w:p>
    <w:p w:rsidR="00FD7C4F" w:rsidRPr="00283CF1" w:rsidRDefault="00FD7C4F" w:rsidP="00283CF1">
      <w:pPr>
        <w:pStyle w:val="ListParagraph"/>
        <w:numPr>
          <w:ilvl w:val="0"/>
          <w:numId w:val="6"/>
        </w:numPr>
        <w:spacing w:after="0" w:line="240" w:lineRule="auto"/>
        <w:rPr>
          <w:rFonts w:ascii="Palatino Linotype" w:hAnsi="Palatino Linotype" w:cstheme="minorHAnsi"/>
        </w:rPr>
      </w:pPr>
      <w:r w:rsidRPr="00283CF1">
        <w:rPr>
          <w:rFonts w:ascii="Palatino Linotype" w:hAnsi="Palatino Linotype" w:cstheme="minorHAnsi"/>
        </w:rPr>
        <w:t>The</w:t>
      </w:r>
      <w:r w:rsidRPr="00283CF1">
        <w:rPr>
          <w:rFonts w:ascii="Palatino Linotype" w:hAnsi="Palatino Linotype" w:cstheme="minorHAnsi"/>
          <w:i/>
        </w:rPr>
        <w:t xml:space="preserve"> </w:t>
      </w:r>
      <w:proofErr w:type="spellStart"/>
      <w:r w:rsidRPr="00283CF1">
        <w:rPr>
          <w:rFonts w:ascii="Palatino Linotype" w:hAnsi="Palatino Linotype" w:cstheme="minorHAnsi"/>
          <w:i/>
        </w:rPr>
        <w:t>meso</w:t>
      </w:r>
      <w:proofErr w:type="spellEnd"/>
      <w:r w:rsidRPr="00283CF1">
        <w:rPr>
          <w:rFonts w:ascii="Palatino Linotype" w:hAnsi="Palatino Linotype" w:cstheme="minorHAnsi"/>
          <w:i/>
        </w:rPr>
        <w:t xml:space="preserve"> </w:t>
      </w:r>
      <w:r w:rsidRPr="00283CF1">
        <w:rPr>
          <w:rFonts w:ascii="Palatino Linotype" w:hAnsi="Palatino Linotype" w:cstheme="minorHAnsi"/>
        </w:rPr>
        <w:t>layer include</w:t>
      </w:r>
      <w:r w:rsidR="009165CF" w:rsidRPr="00283CF1">
        <w:rPr>
          <w:rFonts w:ascii="Palatino Linotype" w:hAnsi="Palatino Linotype" w:cstheme="minorHAnsi"/>
        </w:rPr>
        <w:t>d</w:t>
      </w:r>
      <w:r w:rsidRPr="00283CF1">
        <w:rPr>
          <w:rFonts w:ascii="Palatino Linotype" w:hAnsi="Palatino Linotype" w:cstheme="minorHAnsi"/>
        </w:rPr>
        <w:t xml:space="preserve"> 7 organizational or specialty-level factors </w:t>
      </w:r>
      <w:r w:rsidR="009165CF" w:rsidRPr="00283CF1">
        <w:rPr>
          <w:rFonts w:ascii="Palatino Linotype" w:hAnsi="Palatino Linotype" w:cstheme="minorHAnsi"/>
        </w:rPr>
        <w:t>(</w:t>
      </w:r>
      <w:r w:rsidRPr="00283CF1">
        <w:rPr>
          <w:rFonts w:ascii="Palatino Linotype" w:hAnsi="Palatino Linotype" w:cstheme="minorHAnsi"/>
        </w:rPr>
        <w:t>historical orientation to telehealth, hospital-organizational, professional-society, telehealth outcomes-research, cultural, treatment, and technological factors).</w:t>
      </w:r>
    </w:p>
    <w:p w:rsidR="00FD7C4F" w:rsidRPr="00283CF1" w:rsidRDefault="00FD7C4F" w:rsidP="00283CF1">
      <w:pPr>
        <w:pStyle w:val="ListParagraph"/>
        <w:numPr>
          <w:ilvl w:val="0"/>
          <w:numId w:val="6"/>
        </w:numPr>
        <w:spacing w:after="0" w:line="240" w:lineRule="auto"/>
        <w:rPr>
          <w:rFonts w:ascii="Palatino Linotype" w:hAnsi="Palatino Linotype" w:cstheme="minorHAnsi"/>
        </w:rPr>
      </w:pPr>
      <w:r w:rsidRPr="00283CF1">
        <w:rPr>
          <w:rFonts w:ascii="Palatino Linotype" w:hAnsi="Palatino Linotype" w:cstheme="minorHAnsi"/>
        </w:rPr>
        <w:t>The</w:t>
      </w:r>
      <w:r w:rsidRPr="00283CF1">
        <w:rPr>
          <w:rFonts w:ascii="Palatino Linotype" w:hAnsi="Palatino Linotype" w:cstheme="minorHAnsi"/>
          <w:i/>
        </w:rPr>
        <w:t xml:space="preserve"> micro</w:t>
      </w:r>
      <w:r w:rsidRPr="00283CF1">
        <w:rPr>
          <w:rFonts w:ascii="Palatino Linotype" w:hAnsi="Palatino Linotype" w:cstheme="minorHAnsi"/>
        </w:rPr>
        <w:t xml:space="preserve"> layer include</w:t>
      </w:r>
      <w:r w:rsidR="009165CF" w:rsidRPr="00283CF1">
        <w:rPr>
          <w:rFonts w:ascii="Palatino Linotype" w:hAnsi="Palatino Linotype" w:cstheme="minorHAnsi"/>
        </w:rPr>
        <w:t>d</w:t>
      </w:r>
      <w:r w:rsidRPr="00283CF1">
        <w:rPr>
          <w:rFonts w:ascii="Palatino Linotype" w:hAnsi="Palatino Linotype" w:cstheme="minorHAnsi"/>
        </w:rPr>
        <w:t xml:space="preserve"> 2 individual-level factors (provider- and patient-level factors).</w:t>
      </w:r>
    </w:p>
    <w:p w:rsidR="00E374A9" w:rsidRPr="00283CF1" w:rsidRDefault="00E374A9" w:rsidP="00283CF1">
      <w:pPr>
        <w:spacing w:after="0" w:line="240" w:lineRule="auto"/>
        <w:rPr>
          <w:rFonts w:ascii="Palatino Linotype" w:hAnsi="Palatino Linotype" w:cstheme="minorHAnsi"/>
          <w:b/>
        </w:rPr>
      </w:pPr>
    </w:p>
    <w:p w:rsidR="00FD7C4F" w:rsidRPr="00283CF1" w:rsidRDefault="00FD7C4F" w:rsidP="00283CF1">
      <w:pPr>
        <w:spacing w:after="0" w:line="240" w:lineRule="auto"/>
        <w:rPr>
          <w:rFonts w:ascii="Palatino Linotype" w:hAnsi="Palatino Linotype"/>
          <w:noProof/>
        </w:rPr>
      </w:pPr>
      <w:r w:rsidRPr="00283CF1">
        <w:rPr>
          <w:rFonts w:ascii="Palatino Linotype" w:hAnsi="Palatino Linotype" w:cstheme="minorHAnsi"/>
          <w:b/>
        </w:rPr>
        <w:t>Figure 1: Conceptual Framework</w:t>
      </w:r>
    </w:p>
    <w:p w:rsidR="00FD7C4F" w:rsidRPr="00283CF1" w:rsidRDefault="00FD7C4F" w:rsidP="00283CF1">
      <w:pPr>
        <w:spacing w:after="0" w:line="240" w:lineRule="auto"/>
        <w:jc w:val="center"/>
        <w:rPr>
          <w:rFonts w:ascii="Palatino Linotype" w:hAnsi="Palatino Linotype" w:cstheme="minorHAnsi"/>
          <w:b/>
        </w:rPr>
      </w:pPr>
      <w:r w:rsidRPr="00283CF1">
        <w:rPr>
          <w:rFonts w:ascii="Palatino Linotype" w:hAnsi="Palatino Linotype"/>
          <w:noProof/>
        </w:rPr>
        <w:drawing>
          <wp:inline distT="0" distB="0" distL="0" distR="0" wp14:anchorId="5D525FE7" wp14:editId="3C36022D">
            <wp:extent cx="4720661" cy="29736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4397" cy="2994863"/>
                    </a:xfrm>
                    <a:prstGeom prst="rect">
                      <a:avLst/>
                    </a:prstGeom>
                  </pic:spPr>
                </pic:pic>
              </a:graphicData>
            </a:graphic>
          </wp:inline>
        </w:drawing>
      </w:r>
    </w:p>
    <w:p w:rsidR="00283CF1" w:rsidRDefault="00283CF1" w:rsidP="00283CF1">
      <w:pPr>
        <w:spacing w:after="0" w:line="240" w:lineRule="auto"/>
        <w:rPr>
          <w:rFonts w:ascii="Palatino Linotype" w:hAnsi="Palatino Linotype" w:cstheme="minorHAnsi"/>
          <w:u w:val="single"/>
        </w:rPr>
      </w:pPr>
    </w:p>
    <w:p w:rsidR="00FD7C4F" w:rsidRPr="00283CF1" w:rsidRDefault="003034B6" w:rsidP="003034B6">
      <w:pPr>
        <w:rPr>
          <w:rFonts w:ascii="Palatino Linotype" w:hAnsi="Palatino Linotype" w:cstheme="minorHAnsi"/>
          <w:u w:val="single"/>
        </w:rPr>
      </w:pPr>
      <w:r>
        <w:rPr>
          <w:rFonts w:ascii="Palatino Linotype" w:hAnsi="Palatino Linotype" w:cstheme="minorHAnsi"/>
          <w:u w:val="single"/>
        </w:rPr>
        <w:t>P</w:t>
      </w:r>
      <w:r w:rsidR="00FD7C4F" w:rsidRPr="00283CF1">
        <w:rPr>
          <w:rFonts w:ascii="Palatino Linotype" w:hAnsi="Palatino Linotype" w:cstheme="minorHAnsi"/>
          <w:u w:val="single"/>
        </w:rPr>
        <w:t>reliminary Synthesis (Inclusion &amp; Exclusion Criteria)</w:t>
      </w:r>
    </w:p>
    <w:p w:rsidR="00FD7C4F" w:rsidRPr="00283CF1" w:rsidRDefault="00FD7C4F" w:rsidP="00283CF1">
      <w:p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The initial version of the conceptual framework (adapted from Ly et al, 2</w:t>
      </w:r>
      <w:r w:rsidR="00610015" w:rsidRPr="00283CF1">
        <w:rPr>
          <w:rFonts w:ascii="Palatino Linotype" w:eastAsia="Times New Roman" w:hAnsi="Palatino Linotype" w:cstheme="minorHAnsi"/>
        </w:rPr>
        <w:t xml:space="preserve">017) was used to screen articles </w:t>
      </w:r>
      <w:r w:rsidRPr="00283CF1">
        <w:rPr>
          <w:rFonts w:ascii="Palatino Linotype" w:eastAsia="Times New Roman" w:hAnsi="Palatino Linotype" w:cstheme="minorHAnsi"/>
        </w:rPr>
        <w:t>and conduct a preliminary synthesis of articles resulting from the PUBMED database</w:t>
      </w:r>
      <w:r w:rsidR="00610015" w:rsidRPr="00283CF1">
        <w:rPr>
          <w:rFonts w:ascii="Palatino Linotype" w:eastAsia="Times New Roman" w:hAnsi="Palatino Linotype" w:cstheme="minorHAnsi"/>
        </w:rPr>
        <w:t xml:space="preserve"> search</w:t>
      </w:r>
      <w:r w:rsidRPr="00283CF1">
        <w:rPr>
          <w:rFonts w:ascii="Palatino Linotype" w:eastAsia="Times New Roman" w:hAnsi="Palatino Linotype" w:cstheme="minorHAnsi"/>
        </w:rPr>
        <w:t xml:space="preserve">. As indicated in </w:t>
      </w:r>
      <w:r w:rsidRPr="00283CF1">
        <w:rPr>
          <w:rFonts w:ascii="Palatino Linotype" w:eastAsia="Times New Roman" w:hAnsi="Palatino Linotype" w:cstheme="minorHAnsi"/>
          <w:b/>
        </w:rPr>
        <w:t>Figure 1</w:t>
      </w:r>
      <w:r w:rsidRPr="00283CF1">
        <w:rPr>
          <w:rFonts w:ascii="Palatino Linotype" w:eastAsia="Times New Roman" w:hAnsi="Palatino Linotype" w:cstheme="minorHAnsi"/>
        </w:rPr>
        <w:t>, this process helped to e</w:t>
      </w:r>
      <w:r w:rsidR="0000629B" w:rsidRPr="00283CF1">
        <w:rPr>
          <w:rFonts w:ascii="Palatino Linotype" w:eastAsia="Times New Roman" w:hAnsi="Palatino Linotype" w:cstheme="minorHAnsi"/>
        </w:rPr>
        <w:t xml:space="preserve">xpand upon the listing of </w:t>
      </w:r>
      <w:proofErr w:type="spellStart"/>
      <w:r w:rsidR="0000629B" w:rsidRPr="00283CF1">
        <w:rPr>
          <w:rFonts w:ascii="Palatino Linotype" w:eastAsia="Times New Roman" w:hAnsi="Palatino Linotype" w:cstheme="minorHAnsi"/>
        </w:rPr>
        <w:t>meso</w:t>
      </w:r>
      <w:proofErr w:type="spellEnd"/>
      <w:r w:rsidRPr="00283CF1">
        <w:rPr>
          <w:rFonts w:ascii="Palatino Linotype" w:eastAsia="Times New Roman" w:hAnsi="Palatino Linotype" w:cstheme="minorHAnsi"/>
        </w:rPr>
        <w:t xml:space="preserve"> </w:t>
      </w:r>
      <w:r w:rsidRPr="00283CF1">
        <w:rPr>
          <w:rFonts w:ascii="Palatino Linotype" w:eastAsia="Times New Roman" w:hAnsi="Palatino Linotype" w:cstheme="minorHAnsi"/>
        </w:rPr>
        <w:lastRenderedPageBreak/>
        <w:t xml:space="preserve">(specialty-level) factors, from 2 factors </w:t>
      </w:r>
      <w:r w:rsidR="0000629B" w:rsidRPr="00283CF1">
        <w:rPr>
          <w:rFonts w:ascii="Palatino Linotype" w:eastAsia="Times New Roman" w:hAnsi="Palatino Linotype" w:cstheme="minorHAnsi"/>
        </w:rPr>
        <w:t>(</w:t>
      </w:r>
      <w:r w:rsidRPr="00283CF1">
        <w:rPr>
          <w:rFonts w:ascii="Palatino Linotype" w:eastAsia="Times New Roman" w:hAnsi="Palatino Linotype" w:cstheme="minorHAnsi"/>
        </w:rPr>
        <w:t>in the initial framework</w:t>
      </w:r>
      <w:r w:rsidR="0000629B" w:rsidRPr="00283CF1">
        <w:rPr>
          <w:rFonts w:ascii="Palatino Linotype" w:eastAsia="Times New Roman" w:hAnsi="Palatino Linotype" w:cstheme="minorHAnsi"/>
        </w:rPr>
        <w:t>)</w:t>
      </w:r>
      <w:r w:rsidRPr="00283CF1">
        <w:rPr>
          <w:rFonts w:ascii="Palatino Linotype" w:eastAsia="Times New Roman" w:hAnsi="Palatino Linotype" w:cstheme="minorHAnsi"/>
        </w:rPr>
        <w:t xml:space="preserve">, to </w:t>
      </w:r>
      <w:r w:rsidR="0000629B" w:rsidRPr="00283CF1">
        <w:rPr>
          <w:rFonts w:ascii="Palatino Linotype" w:eastAsia="Times New Roman" w:hAnsi="Palatino Linotype" w:cstheme="minorHAnsi"/>
        </w:rPr>
        <w:t>the following</w:t>
      </w:r>
      <w:r w:rsidRPr="00283CF1">
        <w:rPr>
          <w:rFonts w:ascii="Palatino Linotype" w:eastAsia="Times New Roman" w:hAnsi="Palatino Linotype" w:cstheme="minorHAnsi"/>
        </w:rPr>
        <w:t xml:space="preserve"> 7 factors in the final </w:t>
      </w:r>
      <w:r w:rsidR="0000629B" w:rsidRPr="00283CF1">
        <w:rPr>
          <w:rFonts w:ascii="Palatino Linotype" w:eastAsia="Times New Roman" w:hAnsi="Palatino Linotype" w:cstheme="minorHAnsi"/>
        </w:rPr>
        <w:t>conceptual framework, which provided the basis for narrative synthesis.</w:t>
      </w:r>
      <w:r w:rsidRPr="00283CF1">
        <w:rPr>
          <w:rFonts w:ascii="Palatino Linotype" w:eastAsia="Times New Roman" w:hAnsi="Palatino Linotype" w:cstheme="minorHAnsi"/>
        </w:rPr>
        <w:t xml:space="preserve"> </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Specialty-level historical rationale for telehealth </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Specialty-level hospital-organizational factors</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 xml:space="preserve">Specialty-level professional-society factors </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Specialty-level telehealth implementation &amp; outcomes-research factors</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Specialty-level cultural factors</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Specialty-level treatment factors</w:t>
      </w:r>
    </w:p>
    <w:p w:rsidR="00FD7C4F" w:rsidRPr="00283CF1" w:rsidRDefault="00FD7C4F" w:rsidP="00283CF1">
      <w:pPr>
        <w:pStyle w:val="ListParagraph"/>
        <w:numPr>
          <w:ilvl w:val="0"/>
          <w:numId w:val="10"/>
        </w:numPr>
        <w:spacing w:after="0" w:line="240" w:lineRule="auto"/>
        <w:rPr>
          <w:rFonts w:ascii="Palatino Linotype" w:eastAsia="Times New Roman" w:hAnsi="Palatino Linotype" w:cstheme="minorHAnsi"/>
        </w:rPr>
      </w:pPr>
      <w:r w:rsidRPr="00283CF1">
        <w:rPr>
          <w:rFonts w:ascii="Palatino Linotype" w:eastAsia="Times New Roman" w:hAnsi="Palatino Linotype" w:cstheme="minorHAnsi"/>
        </w:rPr>
        <w:t>Specialty-level technological factors</w:t>
      </w:r>
    </w:p>
    <w:p w:rsidR="00FD7C4F" w:rsidRPr="00283CF1" w:rsidRDefault="00FD7C4F" w:rsidP="00283CF1">
      <w:pPr>
        <w:spacing w:after="0" w:line="240" w:lineRule="auto"/>
        <w:rPr>
          <w:rFonts w:ascii="Palatino Linotype" w:eastAsia="Times New Roman" w:hAnsi="Palatino Linotype" w:cstheme="minorHAnsi"/>
        </w:rPr>
      </w:pPr>
    </w:p>
    <w:p w:rsidR="00FD7C4F" w:rsidRPr="00283CF1" w:rsidRDefault="00FD7C4F" w:rsidP="00283CF1">
      <w:pPr>
        <w:spacing w:after="0" w:line="240" w:lineRule="auto"/>
        <w:ind w:firstLine="360"/>
        <w:rPr>
          <w:rFonts w:ascii="Palatino Linotype" w:eastAsia="Times New Roman" w:hAnsi="Palatino Linotype" w:cstheme="minorHAnsi"/>
        </w:rPr>
      </w:pPr>
      <w:r w:rsidRPr="00283CF1">
        <w:rPr>
          <w:rFonts w:ascii="Palatino Linotype" w:eastAsia="Times New Roman" w:hAnsi="Palatino Linotype" w:cstheme="minorHAnsi"/>
        </w:rPr>
        <w:t>In addition to refining the conceptual framework, the preliminary synthesis helped to determine inclusion/exclusion criteria for the narrative synthesis.</w:t>
      </w:r>
      <w:r w:rsidR="0000629B" w:rsidRPr="00283CF1">
        <w:rPr>
          <w:rFonts w:ascii="Palatino Linotype" w:eastAsia="Times New Roman" w:hAnsi="Palatino Linotype" w:cstheme="minorHAnsi"/>
        </w:rPr>
        <w:t xml:space="preserve"> </w:t>
      </w:r>
      <w:r w:rsidR="0000629B" w:rsidRPr="00283CF1">
        <w:rPr>
          <w:rFonts w:ascii="Palatino Linotype" w:eastAsia="Times New Roman" w:hAnsi="Palatino Linotype" w:cstheme="minorHAnsi"/>
        </w:rPr>
        <w:t xml:space="preserve">At the outset, abstracts of articles resulting from the PUBMED database search were screened by the three authors (reviewers), after removal of duplicates, to assess eligibility. As mentioned earlier, all forms of peer-reviewed literature that helped to address the two research questions (e.g., original studies, reviews, and specialty-society workgroup reports &amp; position statements), were included. Since the interest was in understanding factors </w:t>
      </w:r>
      <w:r w:rsidR="0000629B" w:rsidRPr="00283CF1">
        <w:rPr>
          <w:rFonts w:ascii="Palatino Linotype" w:eastAsia="Times New Roman" w:hAnsi="Palatino Linotype" w:cstheme="minorHAnsi"/>
          <w:i/>
        </w:rPr>
        <w:t>historically</w:t>
      </w:r>
      <w:r w:rsidR="0000629B" w:rsidRPr="00283CF1">
        <w:rPr>
          <w:rFonts w:ascii="Palatino Linotype" w:eastAsia="Times New Roman" w:hAnsi="Palatino Linotype" w:cstheme="minorHAnsi"/>
        </w:rPr>
        <w:t xml:space="preserve"> influencing telehealth use across medical specialties, the search was not restricted by date.  On the other hand, in keeping with the scope of the review (within the U.S.), articles that did not originate in the U.S., were excluded. Additionally, articles with a narrow focus were excluded, for example, if they described specific results of telehealth-related outcomes research, e.g., for special populations or specific modalities. To clarify, since the primary research question was broad—to gain an understanding of factors historically influencing telehealth use across specialties, it was more relevant to understand </w:t>
      </w:r>
      <w:r w:rsidR="0000629B" w:rsidRPr="00283CF1">
        <w:rPr>
          <w:rFonts w:ascii="Palatino Linotype" w:eastAsia="Times New Roman" w:hAnsi="Palatino Linotype" w:cstheme="minorHAnsi"/>
          <w:i/>
        </w:rPr>
        <w:t>how many</w:t>
      </w:r>
      <w:r w:rsidR="0000629B" w:rsidRPr="00283CF1">
        <w:rPr>
          <w:rFonts w:ascii="Palatino Linotype" w:eastAsia="Times New Roman" w:hAnsi="Palatino Linotype" w:cstheme="minorHAnsi"/>
        </w:rPr>
        <w:t xml:space="preserve"> such studies (telehealth-related clinical trials) existed in a given specialty over a 10-year period preceding COVID-19 and to understand the state of telehealth-related outcomes research in that specialty, rather than to know the specific results of such studies. The above exclusion criterion helped to add ‘research factors’ to our conceptual framework at the </w:t>
      </w:r>
      <w:proofErr w:type="spellStart"/>
      <w:r w:rsidR="0000629B" w:rsidRPr="00283CF1">
        <w:rPr>
          <w:rFonts w:ascii="Palatino Linotype" w:eastAsia="Times New Roman" w:hAnsi="Palatino Linotype" w:cstheme="minorHAnsi"/>
        </w:rPr>
        <w:t>meso</w:t>
      </w:r>
      <w:proofErr w:type="spellEnd"/>
      <w:r w:rsidR="0000629B" w:rsidRPr="00283CF1">
        <w:rPr>
          <w:rFonts w:ascii="Palatino Linotype" w:eastAsia="Times New Roman" w:hAnsi="Palatino Linotype" w:cstheme="minorHAnsi"/>
        </w:rPr>
        <w:t xml:space="preserve"> (specialty) level. Lastly, articles were excluded if they did not shed light on either research question, or if they duplicated the insights already gained. </w:t>
      </w:r>
    </w:p>
    <w:p w:rsidR="00FD7C4F" w:rsidRPr="00283CF1" w:rsidRDefault="00FD7C4F" w:rsidP="00283CF1">
      <w:pPr>
        <w:spacing w:after="0" w:line="240" w:lineRule="auto"/>
        <w:ind w:firstLine="360"/>
        <w:rPr>
          <w:rFonts w:ascii="Palatino Linotype" w:eastAsia="Times New Roman" w:hAnsi="Palatino Linotype" w:cstheme="minorHAnsi"/>
        </w:rPr>
      </w:pPr>
      <w:r w:rsidRPr="00283CF1">
        <w:rPr>
          <w:rFonts w:ascii="Palatino Linotype" w:eastAsia="Times New Roman" w:hAnsi="Palatino Linotype" w:cstheme="minorHAnsi"/>
        </w:rPr>
        <w:t xml:space="preserve">Moving beyond refinement of the conceptual framework and </w:t>
      </w:r>
      <w:r w:rsidR="008E6874" w:rsidRPr="00283CF1">
        <w:rPr>
          <w:rFonts w:ascii="Palatino Linotype" w:eastAsia="Times New Roman" w:hAnsi="Palatino Linotype" w:cstheme="minorHAnsi"/>
        </w:rPr>
        <w:t>identification</w:t>
      </w:r>
      <w:r w:rsidRPr="00283CF1">
        <w:rPr>
          <w:rFonts w:ascii="Palatino Linotype" w:eastAsia="Times New Roman" w:hAnsi="Palatino Linotype" w:cstheme="minorHAnsi"/>
        </w:rPr>
        <w:t xml:space="preserve"> of inclusion &amp; exclusion</w:t>
      </w:r>
      <w:r w:rsidR="0000629B" w:rsidRPr="00283CF1">
        <w:rPr>
          <w:rFonts w:ascii="Palatino Linotype" w:eastAsia="Times New Roman" w:hAnsi="Palatino Linotype" w:cstheme="minorHAnsi"/>
        </w:rPr>
        <w:t xml:space="preserve"> </w:t>
      </w:r>
      <w:r w:rsidR="008E6874" w:rsidRPr="00283CF1">
        <w:rPr>
          <w:rFonts w:ascii="Palatino Linotype" w:eastAsia="Times New Roman" w:hAnsi="Palatino Linotype" w:cstheme="minorHAnsi"/>
        </w:rPr>
        <w:t xml:space="preserve">criteria, the </w:t>
      </w:r>
      <w:r w:rsidRPr="00283CF1">
        <w:rPr>
          <w:rFonts w:ascii="Palatino Linotype" w:eastAsia="Times New Roman" w:hAnsi="Palatino Linotype" w:cstheme="minorHAnsi"/>
        </w:rPr>
        <w:t>preliminary synthesis entailed completion of two steps: 1) extracting key article characteristics to develop a descriptive summary of articles</w:t>
      </w:r>
      <w:r w:rsidR="00115CC1" w:rsidRPr="00283CF1">
        <w:rPr>
          <w:rFonts w:ascii="Palatino Linotype" w:eastAsia="Times New Roman" w:hAnsi="Palatino Linotype" w:cstheme="minorHAnsi"/>
        </w:rPr>
        <w:t xml:space="preserve"> reviewed</w:t>
      </w:r>
      <w:r w:rsidRPr="00283CF1">
        <w:rPr>
          <w:rFonts w:ascii="Palatino Linotype" w:eastAsia="Times New Roman" w:hAnsi="Palatino Linotype" w:cstheme="minorHAnsi"/>
        </w:rPr>
        <w:t>; and 2) generat</w:t>
      </w:r>
      <w:r w:rsidR="00432973" w:rsidRPr="00283CF1">
        <w:rPr>
          <w:rFonts w:ascii="Palatino Linotype" w:eastAsia="Times New Roman" w:hAnsi="Palatino Linotype" w:cstheme="minorHAnsi"/>
        </w:rPr>
        <w:t>ing</w:t>
      </w:r>
      <w:r w:rsidRPr="00283CF1">
        <w:rPr>
          <w:rFonts w:ascii="Palatino Linotype" w:eastAsia="Times New Roman" w:hAnsi="Palatino Linotype" w:cstheme="minorHAnsi"/>
        </w:rPr>
        <w:t xml:space="preserve"> a textual summary of the articles (</w:t>
      </w:r>
      <w:r w:rsidR="00432973" w:rsidRPr="00283CF1">
        <w:rPr>
          <w:rFonts w:ascii="Palatino Linotype" w:eastAsia="Times New Roman" w:hAnsi="Palatino Linotype" w:cstheme="minorHAnsi"/>
        </w:rPr>
        <w:t>using the conceptual framework</w:t>
      </w:r>
      <w:r w:rsidRPr="00283CF1">
        <w:rPr>
          <w:rFonts w:ascii="Palatino Linotype" w:eastAsia="Times New Roman" w:hAnsi="Palatino Linotype" w:cstheme="minorHAnsi"/>
        </w:rPr>
        <w:t xml:space="preserve">), to enable </w:t>
      </w:r>
      <w:r w:rsidR="00D34DAC" w:rsidRPr="00283CF1">
        <w:rPr>
          <w:rFonts w:ascii="Palatino Linotype" w:eastAsia="Times New Roman" w:hAnsi="Palatino Linotype" w:cstheme="minorHAnsi"/>
        </w:rPr>
        <w:t>exploration of themes to address</w:t>
      </w:r>
      <w:r w:rsidRPr="00283CF1">
        <w:rPr>
          <w:rFonts w:ascii="Palatino Linotype" w:eastAsia="Times New Roman" w:hAnsi="Palatino Linotype" w:cstheme="minorHAnsi"/>
        </w:rPr>
        <w:t xml:space="preserve"> the two research questions. The former helped to develop a template for describing articles reviewed in the final narrative synthesis </w:t>
      </w:r>
      <w:r w:rsidR="00D34DAC" w:rsidRPr="00283CF1">
        <w:rPr>
          <w:rFonts w:ascii="Palatino Linotype" w:eastAsia="Times New Roman" w:hAnsi="Palatino Linotype" w:cstheme="minorHAnsi"/>
        </w:rPr>
        <w:t>while the latter</w:t>
      </w:r>
      <w:r w:rsidRPr="00283CF1">
        <w:rPr>
          <w:rFonts w:ascii="Palatino Linotype" w:eastAsia="Times New Roman" w:hAnsi="Palatino Linotype" w:cstheme="minorHAnsi"/>
        </w:rPr>
        <w:t xml:space="preserve"> helped to develop </w:t>
      </w:r>
      <w:r w:rsidRPr="00283CF1">
        <w:rPr>
          <w:rFonts w:ascii="Palatino Linotype" w:eastAsia="Times New Roman" w:hAnsi="Palatino Linotype" w:cstheme="minorHAnsi"/>
          <w:i/>
        </w:rPr>
        <w:t>rules</w:t>
      </w:r>
      <w:r w:rsidRPr="00283CF1">
        <w:rPr>
          <w:rFonts w:ascii="Palatino Linotype" w:eastAsia="Times New Roman" w:hAnsi="Palatino Linotype" w:cstheme="minorHAnsi"/>
        </w:rPr>
        <w:t xml:space="preserve"> for: 1) exploration of </w:t>
      </w:r>
      <w:r w:rsidR="00D34DAC" w:rsidRPr="00283CF1">
        <w:rPr>
          <w:rFonts w:ascii="Palatino Linotype" w:eastAsia="Times New Roman" w:hAnsi="Palatino Linotype" w:cstheme="minorHAnsi"/>
        </w:rPr>
        <w:t>themes among</w:t>
      </w:r>
      <w:r w:rsidRPr="00283CF1">
        <w:rPr>
          <w:rFonts w:ascii="Palatino Linotype" w:eastAsia="Times New Roman" w:hAnsi="Palatino Linotype" w:cstheme="minorHAnsi"/>
        </w:rPr>
        <w:t xml:space="preserve"> articles </w:t>
      </w:r>
      <w:r w:rsidR="00D34DAC" w:rsidRPr="00283CF1">
        <w:rPr>
          <w:rFonts w:ascii="Palatino Linotype" w:eastAsia="Times New Roman" w:hAnsi="Palatino Linotype" w:cstheme="minorHAnsi"/>
        </w:rPr>
        <w:t xml:space="preserve">within and across specialties and 2) </w:t>
      </w:r>
      <w:r w:rsidRPr="00283CF1">
        <w:rPr>
          <w:rFonts w:ascii="Palatino Linotype" w:eastAsia="Times New Roman" w:hAnsi="Palatino Linotype" w:cstheme="minorHAnsi"/>
        </w:rPr>
        <w:t>assessment of robustness of the final narrative synthesis.</w:t>
      </w:r>
    </w:p>
    <w:p w:rsidR="00283CF1" w:rsidRDefault="00283CF1" w:rsidP="00283CF1">
      <w:pPr>
        <w:spacing w:after="0" w:line="240" w:lineRule="auto"/>
        <w:rPr>
          <w:rFonts w:ascii="Palatino Linotype" w:hAnsi="Palatino Linotype" w:cstheme="minorHAnsi"/>
          <w:u w:val="single"/>
        </w:rPr>
      </w:pPr>
    </w:p>
    <w:p w:rsidR="00FD7C4F" w:rsidRPr="00283CF1" w:rsidRDefault="00FD7C4F" w:rsidP="00283CF1">
      <w:pPr>
        <w:spacing w:after="0" w:line="240" w:lineRule="auto"/>
        <w:rPr>
          <w:rFonts w:ascii="Palatino Linotype" w:hAnsi="Palatino Linotype" w:cstheme="minorHAnsi"/>
          <w:u w:val="single"/>
        </w:rPr>
      </w:pPr>
      <w:r w:rsidRPr="00283CF1">
        <w:rPr>
          <w:rFonts w:ascii="Palatino Linotype" w:hAnsi="Palatino Linotype" w:cstheme="minorHAnsi"/>
          <w:u w:val="single"/>
        </w:rPr>
        <w:t xml:space="preserve">Data Extraction and Exploration of </w:t>
      </w:r>
      <w:r w:rsidR="00DB09AB" w:rsidRPr="00283CF1">
        <w:rPr>
          <w:rFonts w:ascii="Palatino Linotype" w:hAnsi="Palatino Linotype" w:cstheme="minorHAnsi"/>
          <w:u w:val="single"/>
        </w:rPr>
        <w:t>Themes</w:t>
      </w:r>
      <w:r w:rsidRPr="00283CF1">
        <w:rPr>
          <w:rFonts w:ascii="Palatino Linotype" w:hAnsi="Palatino Linotype" w:cstheme="minorHAnsi"/>
          <w:u w:val="single"/>
        </w:rPr>
        <w:t xml:space="preserve"> </w:t>
      </w:r>
    </w:p>
    <w:p w:rsidR="00FD7C4F" w:rsidRPr="00283CF1" w:rsidRDefault="00FD7C4F" w:rsidP="00283CF1">
      <w:pPr>
        <w:spacing w:after="0" w:line="240" w:lineRule="auto"/>
        <w:rPr>
          <w:rFonts w:ascii="Palatino Linotype" w:hAnsi="Palatino Linotype" w:cstheme="minorHAnsi"/>
        </w:rPr>
      </w:pPr>
      <w:r w:rsidRPr="00283CF1">
        <w:rPr>
          <w:rFonts w:ascii="Palatino Linotype" w:hAnsi="Palatino Linotype" w:cstheme="minorHAnsi"/>
        </w:rPr>
        <w:t>As mentioned earlier, preliminary synthesis involved completing two steps: 1) extracting article characteristics to develop a descriptive summary of articles</w:t>
      </w:r>
      <w:r w:rsidR="00115CC1" w:rsidRPr="00283CF1">
        <w:rPr>
          <w:rFonts w:ascii="Palatino Linotype" w:hAnsi="Palatino Linotype" w:cstheme="minorHAnsi"/>
        </w:rPr>
        <w:t xml:space="preserve"> reviewed</w:t>
      </w:r>
      <w:r w:rsidRPr="00283CF1">
        <w:rPr>
          <w:rFonts w:ascii="Palatino Linotype" w:hAnsi="Palatino Linotype" w:cstheme="minorHAnsi"/>
        </w:rPr>
        <w:t xml:space="preserve">; and 2) </w:t>
      </w:r>
      <w:r w:rsidR="00432973" w:rsidRPr="00283CF1">
        <w:rPr>
          <w:rFonts w:ascii="Palatino Linotype" w:eastAsia="Times New Roman" w:hAnsi="Palatino Linotype" w:cstheme="minorHAnsi"/>
        </w:rPr>
        <w:t>generating</w:t>
      </w:r>
      <w:r w:rsidR="00DB09AB" w:rsidRPr="00283CF1">
        <w:rPr>
          <w:rFonts w:ascii="Palatino Linotype" w:eastAsia="Times New Roman" w:hAnsi="Palatino Linotype" w:cstheme="minorHAnsi"/>
        </w:rPr>
        <w:t xml:space="preserve"> a textual summary of the articles</w:t>
      </w:r>
      <w:r w:rsidR="00DB09AB" w:rsidRPr="00283CF1">
        <w:rPr>
          <w:rFonts w:ascii="Palatino Linotype" w:eastAsia="Times New Roman" w:hAnsi="Palatino Linotype" w:cstheme="minorHAnsi"/>
        </w:rPr>
        <w:t xml:space="preserve"> for exploration of themes</w:t>
      </w:r>
      <w:r w:rsidRPr="00283CF1">
        <w:rPr>
          <w:rFonts w:ascii="Palatino Linotype" w:hAnsi="Palatino Linotype" w:cstheme="minorHAnsi"/>
        </w:rPr>
        <w:t>.</w:t>
      </w:r>
    </w:p>
    <w:p w:rsidR="00FD7C4F" w:rsidRPr="00283CF1" w:rsidRDefault="00FD7C4F" w:rsidP="00283CF1">
      <w:pPr>
        <w:spacing w:after="0" w:line="240" w:lineRule="auto"/>
        <w:ind w:firstLine="720"/>
        <w:rPr>
          <w:rFonts w:ascii="Palatino Linotype" w:hAnsi="Palatino Linotype" w:cstheme="minorHAnsi"/>
        </w:rPr>
      </w:pPr>
      <w:r w:rsidRPr="00283CF1">
        <w:rPr>
          <w:rFonts w:ascii="Palatino Linotype" w:hAnsi="Palatino Linotype" w:cstheme="minorHAnsi"/>
          <w:i/>
        </w:rPr>
        <w:lastRenderedPageBreak/>
        <w:t>Extraction of article (descriptive) characteristics</w:t>
      </w:r>
      <w:r w:rsidRPr="00283CF1">
        <w:rPr>
          <w:rFonts w:ascii="Palatino Linotype" w:hAnsi="Palatino Linotype" w:cstheme="minorHAnsi"/>
        </w:rPr>
        <w:t xml:space="preserve">: </w:t>
      </w:r>
      <w:r w:rsidR="00DB09AB" w:rsidRPr="00283CF1">
        <w:rPr>
          <w:rFonts w:ascii="Palatino Linotype" w:hAnsi="Palatino Linotype" w:cstheme="minorHAnsi"/>
        </w:rPr>
        <w:t>The</w:t>
      </w:r>
      <w:r w:rsidRPr="00283CF1">
        <w:rPr>
          <w:rFonts w:ascii="Palatino Linotype" w:hAnsi="Palatino Linotype" w:cstheme="minorHAnsi"/>
        </w:rPr>
        <w:t xml:space="preserve"> following information was extracted from articles reviewed p</w:t>
      </w:r>
      <w:r w:rsidR="00DB09AB" w:rsidRPr="00283CF1">
        <w:rPr>
          <w:rFonts w:ascii="Palatino Linotype" w:hAnsi="Palatino Linotype" w:cstheme="minorHAnsi"/>
        </w:rPr>
        <w:t xml:space="preserve">er specialty </w:t>
      </w:r>
      <w:r w:rsidRPr="00283CF1">
        <w:rPr>
          <w:rFonts w:ascii="Palatino Linotype" w:hAnsi="Palatino Linotype" w:cstheme="minorHAnsi"/>
        </w:rPr>
        <w:t xml:space="preserve"> (1) publication citation; 2) type of article; 3) layer of emphasis (macro, </w:t>
      </w:r>
      <w:proofErr w:type="spellStart"/>
      <w:r w:rsidRPr="00283CF1">
        <w:rPr>
          <w:rFonts w:ascii="Palatino Linotype" w:hAnsi="Palatino Linotype" w:cstheme="minorHAnsi"/>
        </w:rPr>
        <w:t>meso</w:t>
      </w:r>
      <w:proofErr w:type="spellEnd"/>
      <w:r w:rsidRPr="00283CF1">
        <w:rPr>
          <w:rFonts w:ascii="Palatino Linotype" w:hAnsi="Palatino Linotype" w:cstheme="minorHAnsi"/>
        </w:rPr>
        <w:t xml:space="preserve">, or micro); 4) research question addressed; 5) descriptive summary of article.  This provided a template for descriptive summaries of articles reviewed for the final narrative synthesis. Extracted data was reviewed by all authors for disparities or inconsistencies. As a next step, a textual summary of articles was generated, to </w:t>
      </w:r>
      <w:r w:rsidR="00DB09AB" w:rsidRPr="00283CF1">
        <w:rPr>
          <w:rFonts w:ascii="Palatino Linotype" w:hAnsi="Palatino Linotype" w:cstheme="minorHAnsi"/>
        </w:rPr>
        <w:t>enable exploration of themes in regard to</w:t>
      </w:r>
      <w:r w:rsidRPr="00283CF1">
        <w:rPr>
          <w:rFonts w:ascii="Palatino Linotype" w:hAnsi="Palatino Linotype" w:cstheme="minorHAnsi"/>
        </w:rPr>
        <w:t xml:space="preserve"> factors historically influencing telehealth use</w:t>
      </w:r>
      <w:r w:rsidR="00DB09AB" w:rsidRPr="00283CF1">
        <w:rPr>
          <w:rFonts w:ascii="Palatino Linotype" w:hAnsi="Palatino Linotype" w:cstheme="minorHAnsi"/>
        </w:rPr>
        <w:t>, both</w:t>
      </w:r>
      <w:r w:rsidRPr="00283CF1">
        <w:rPr>
          <w:rFonts w:ascii="Palatino Linotype" w:hAnsi="Palatino Linotype" w:cstheme="minorHAnsi"/>
        </w:rPr>
        <w:t xml:space="preserve"> </w:t>
      </w:r>
      <w:r w:rsidR="00DB09AB" w:rsidRPr="00283CF1">
        <w:rPr>
          <w:rFonts w:ascii="Palatino Linotype" w:hAnsi="Palatino Linotype" w:cstheme="minorHAnsi"/>
        </w:rPr>
        <w:t>within and across specialties</w:t>
      </w:r>
      <w:r w:rsidRPr="00283CF1">
        <w:rPr>
          <w:rFonts w:ascii="Palatino Linotype" w:hAnsi="Palatino Linotype" w:cstheme="minorHAnsi"/>
        </w:rPr>
        <w:t>. This process in turn, helped to develop rules for assessing the robustness of final narrative synthesis.</w:t>
      </w:r>
    </w:p>
    <w:p w:rsidR="00FD7C4F" w:rsidRPr="00283CF1" w:rsidRDefault="00FD7C4F" w:rsidP="00283CF1">
      <w:pPr>
        <w:spacing w:after="0" w:line="240" w:lineRule="auto"/>
        <w:ind w:firstLine="720"/>
        <w:rPr>
          <w:rFonts w:ascii="Palatino Linotype" w:hAnsi="Palatino Linotype" w:cstheme="minorHAnsi"/>
        </w:rPr>
      </w:pPr>
      <w:r w:rsidRPr="00283CF1">
        <w:rPr>
          <w:rFonts w:ascii="Palatino Linotype" w:hAnsi="Palatino Linotype" w:cstheme="minorHAnsi"/>
          <w:i/>
        </w:rPr>
        <w:t xml:space="preserve">Generation of textual summary for thematic analysis: </w:t>
      </w:r>
      <w:r w:rsidR="001E4CBD" w:rsidRPr="00283CF1">
        <w:rPr>
          <w:rFonts w:ascii="Palatino Linotype" w:hAnsi="Palatino Linotype" w:cstheme="minorHAnsi"/>
        </w:rPr>
        <w:t xml:space="preserve">Next, the conceptual framework was used as a basis for exploring themes among articles within and across specialties, to address the two research questions. Articles within each specialty were reviewed for information pertaining to any of the 12 factors encompassed in the macro, </w:t>
      </w:r>
      <w:proofErr w:type="spellStart"/>
      <w:r w:rsidR="001E4CBD" w:rsidRPr="00283CF1">
        <w:rPr>
          <w:rFonts w:ascii="Palatino Linotype" w:hAnsi="Palatino Linotype" w:cstheme="minorHAnsi"/>
        </w:rPr>
        <w:t>meso</w:t>
      </w:r>
      <w:proofErr w:type="spellEnd"/>
      <w:r w:rsidR="001E4CBD" w:rsidRPr="00283CF1">
        <w:rPr>
          <w:rFonts w:ascii="Palatino Linotype" w:hAnsi="Palatino Linotype" w:cstheme="minorHAnsi"/>
        </w:rPr>
        <w:t>, and micro layers. This process helped to generate a textual summary of articles within each specialty (for each of the 12 factors), which in turn, enabled exploration of themes within and across specialties.</w:t>
      </w:r>
      <w:r w:rsidRPr="00283CF1">
        <w:rPr>
          <w:rFonts w:ascii="Palatino Linotype" w:hAnsi="Palatino Linotype" w:cstheme="minorHAnsi"/>
        </w:rPr>
        <w:t xml:space="preserve"> </w:t>
      </w:r>
      <w:r w:rsidRPr="00283CF1">
        <w:rPr>
          <w:rFonts w:ascii="Palatino Linotype" w:hAnsi="Palatino Linotype" w:cstheme="minorHAnsi"/>
          <w:b/>
        </w:rPr>
        <w:t>For example</w:t>
      </w:r>
      <w:r w:rsidRPr="00283CF1">
        <w:rPr>
          <w:rFonts w:ascii="Palatino Linotype" w:hAnsi="Palatino Linotype" w:cstheme="minorHAnsi"/>
        </w:rPr>
        <w:t xml:space="preserve">, with respect to the “specialty-level historical orientation towards telehealth” in the </w:t>
      </w:r>
      <w:proofErr w:type="spellStart"/>
      <w:r w:rsidRPr="00283CF1">
        <w:rPr>
          <w:rFonts w:ascii="Palatino Linotype" w:hAnsi="Palatino Linotype" w:cstheme="minorHAnsi"/>
        </w:rPr>
        <w:t>meso</w:t>
      </w:r>
      <w:proofErr w:type="spellEnd"/>
      <w:r w:rsidRPr="00283CF1">
        <w:rPr>
          <w:rFonts w:ascii="Palatino Linotype" w:hAnsi="Palatino Linotype" w:cstheme="minorHAnsi"/>
        </w:rPr>
        <w:t xml:space="preserve"> layer, several articles within the </w:t>
      </w:r>
      <w:r w:rsidRPr="00283CF1">
        <w:rPr>
          <w:rFonts w:ascii="Palatino Linotype" w:hAnsi="Palatino Linotype" w:cstheme="minorHAnsi"/>
          <w:i/>
        </w:rPr>
        <w:t>Allergy-Immunology</w:t>
      </w:r>
      <w:r w:rsidRPr="00283CF1">
        <w:rPr>
          <w:rFonts w:ascii="Palatino Linotype" w:hAnsi="Palatino Linotype" w:cstheme="minorHAnsi"/>
        </w:rPr>
        <w:t xml:space="preserve"> specialty (a </w:t>
      </w:r>
      <w:r w:rsidR="001E4CBD" w:rsidRPr="00283CF1">
        <w:rPr>
          <w:rFonts w:ascii="Palatino Linotype" w:hAnsi="Palatino Linotype" w:cstheme="minorHAnsi"/>
        </w:rPr>
        <w:t>“</w:t>
      </w:r>
      <w:r w:rsidRPr="00283CF1">
        <w:rPr>
          <w:rFonts w:ascii="Palatino Linotype" w:hAnsi="Palatino Linotype" w:cstheme="minorHAnsi"/>
        </w:rPr>
        <w:t>lower-using</w:t>
      </w:r>
      <w:r w:rsidR="001E4CBD" w:rsidRPr="00283CF1">
        <w:rPr>
          <w:rFonts w:ascii="Palatino Linotype" w:hAnsi="Palatino Linotype" w:cstheme="minorHAnsi"/>
        </w:rPr>
        <w:t>”</w:t>
      </w:r>
      <w:r w:rsidRPr="00283CF1">
        <w:rPr>
          <w:rFonts w:ascii="Palatino Linotype" w:hAnsi="Palatino Linotype" w:cstheme="minorHAnsi"/>
        </w:rPr>
        <w:t xml:space="preserve"> specialty) indicated that the </w:t>
      </w:r>
      <w:r w:rsidR="0071232D" w:rsidRPr="00283CF1">
        <w:rPr>
          <w:rFonts w:ascii="Palatino Linotype" w:hAnsi="Palatino Linotype" w:cstheme="minorHAnsi"/>
        </w:rPr>
        <w:t>historical</w:t>
      </w:r>
      <w:r w:rsidRPr="00283CF1">
        <w:rPr>
          <w:rFonts w:ascii="Palatino Linotype" w:hAnsi="Palatino Linotype" w:cstheme="minorHAnsi"/>
        </w:rPr>
        <w:t xml:space="preserve"> rationale for telemedicine use in this specialty has been to improve “access to care” for poor, elderly, and disabled. This in turn, conveyed a limited view of telehealth as being applicable only to a certain segment of population to address access-to-care issues. By comparison, several articles in </w:t>
      </w:r>
      <w:r w:rsidRPr="00283CF1">
        <w:rPr>
          <w:rFonts w:ascii="Palatino Linotype" w:hAnsi="Palatino Linotype" w:cstheme="minorHAnsi"/>
          <w:i/>
        </w:rPr>
        <w:t>Cardiology</w:t>
      </w:r>
      <w:r w:rsidRPr="00283CF1">
        <w:rPr>
          <w:rFonts w:ascii="Palatino Linotype" w:hAnsi="Palatino Linotype" w:cstheme="minorHAnsi"/>
        </w:rPr>
        <w:t xml:space="preserve"> (a </w:t>
      </w:r>
      <w:r w:rsidR="0071232D" w:rsidRPr="00283CF1">
        <w:rPr>
          <w:rFonts w:ascii="Palatino Linotype" w:hAnsi="Palatino Linotype" w:cstheme="minorHAnsi"/>
        </w:rPr>
        <w:t>“</w:t>
      </w:r>
      <w:r w:rsidRPr="00283CF1">
        <w:rPr>
          <w:rFonts w:ascii="Palatino Linotype" w:hAnsi="Palatino Linotype" w:cstheme="minorHAnsi"/>
        </w:rPr>
        <w:t>higher-using</w:t>
      </w:r>
      <w:r w:rsidR="0071232D" w:rsidRPr="00283CF1">
        <w:rPr>
          <w:rFonts w:ascii="Palatino Linotype" w:hAnsi="Palatino Linotype" w:cstheme="minorHAnsi"/>
        </w:rPr>
        <w:t>”</w:t>
      </w:r>
      <w:r w:rsidRPr="00283CF1">
        <w:rPr>
          <w:rFonts w:ascii="Palatino Linotype" w:hAnsi="Palatino Linotype" w:cstheme="minorHAnsi"/>
        </w:rPr>
        <w:t xml:space="preserve"> specialty), indicated that </w:t>
      </w:r>
      <w:r w:rsidR="0071232D" w:rsidRPr="00283CF1">
        <w:rPr>
          <w:rFonts w:ascii="Palatino Linotype" w:hAnsi="Palatino Linotype" w:cstheme="minorHAnsi"/>
        </w:rPr>
        <w:t>telehealth has historically been used in this specialty to improve quality of care</w:t>
      </w:r>
      <w:r w:rsidRPr="00283CF1">
        <w:rPr>
          <w:rFonts w:ascii="Palatino Linotype" w:hAnsi="Palatino Linotype" w:cstheme="minorHAnsi"/>
        </w:rPr>
        <w:t>, including improv</w:t>
      </w:r>
      <w:r w:rsidR="0012184E" w:rsidRPr="00283CF1">
        <w:rPr>
          <w:rFonts w:ascii="Palatino Linotype" w:hAnsi="Palatino Linotype" w:cstheme="minorHAnsi"/>
        </w:rPr>
        <w:t>ing</w:t>
      </w:r>
      <w:r w:rsidRPr="00283CF1">
        <w:rPr>
          <w:rFonts w:ascii="Palatino Linotype" w:hAnsi="Palatino Linotype" w:cstheme="minorHAnsi"/>
        </w:rPr>
        <w:t xml:space="preserve"> patient </w:t>
      </w:r>
      <w:r w:rsidR="0012184E" w:rsidRPr="00283CF1">
        <w:rPr>
          <w:rFonts w:ascii="Palatino Linotype" w:hAnsi="Palatino Linotype" w:cstheme="minorHAnsi"/>
        </w:rPr>
        <w:t xml:space="preserve">outcomes &amp; </w:t>
      </w:r>
      <w:r w:rsidRPr="00283CF1">
        <w:rPr>
          <w:rFonts w:ascii="Palatino Linotype" w:hAnsi="Palatino Linotype" w:cstheme="minorHAnsi"/>
        </w:rPr>
        <w:t>experience through disease management</w:t>
      </w:r>
      <w:r w:rsidR="0012184E" w:rsidRPr="00283CF1">
        <w:rPr>
          <w:rFonts w:ascii="Palatino Linotype" w:hAnsi="Palatino Linotype" w:cstheme="minorHAnsi"/>
        </w:rPr>
        <w:t xml:space="preserve"> and reduction of hospitalizations for heart failure</w:t>
      </w:r>
      <w:r w:rsidRPr="00283CF1">
        <w:rPr>
          <w:rFonts w:ascii="Palatino Linotype" w:hAnsi="Palatino Linotype" w:cstheme="minorHAnsi"/>
        </w:rPr>
        <w:t xml:space="preserve">. Additionally, </w:t>
      </w:r>
      <w:r w:rsidR="0012184E" w:rsidRPr="00283CF1">
        <w:rPr>
          <w:rFonts w:ascii="Palatino Linotype" w:hAnsi="Palatino Linotype" w:cstheme="minorHAnsi"/>
        </w:rPr>
        <w:t>the</w:t>
      </w:r>
      <w:r w:rsidRPr="00283CF1">
        <w:rPr>
          <w:rFonts w:ascii="Palatino Linotype" w:hAnsi="Palatino Linotype" w:cstheme="minorHAnsi"/>
        </w:rPr>
        <w:t xml:space="preserve"> </w:t>
      </w:r>
      <w:r w:rsidRPr="00283CF1">
        <w:rPr>
          <w:rFonts w:ascii="Palatino Linotype" w:hAnsi="Palatino Linotype" w:cstheme="minorHAnsi"/>
          <w:i/>
        </w:rPr>
        <w:t>Cardiology</w:t>
      </w:r>
      <w:r w:rsidRPr="00283CF1">
        <w:rPr>
          <w:rFonts w:ascii="Palatino Linotype" w:hAnsi="Palatino Linotype" w:cstheme="minorHAnsi"/>
        </w:rPr>
        <w:t xml:space="preserve"> </w:t>
      </w:r>
      <w:r w:rsidR="0012184E" w:rsidRPr="00283CF1">
        <w:rPr>
          <w:rFonts w:ascii="Palatino Linotype" w:hAnsi="Palatino Linotype" w:cstheme="minorHAnsi"/>
        </w:rPr>
        <w:t xml:space="preserve">literature </w:t>
      </w:r>
      <w:r w:rsidRPr="00283CF1">
        <w:rPr>
          <w:rFonts w:ascii="Palatino Linotype" w:hAnsi="Palatino Linotype" w:cstheme="minorHAnsi"/>
        </w:rPr>
        <w:t>revealed that over the past two decades</w:t>
      </w:r>
      <w:r w:rsidR="0012184E" w:rsidRPr="00283CF1">
        <w:rPr>
          <w:rFonts w:ascii="Palatino Linotype" w:hAnsi="Palatino Linotype" w:cstheme="minorHAnsi"/>
        </w:rPr>
        <w:t>,</w:t>
      </w:r>
      <w:r w:rsidRPr="00283CF1">
        <w:rPr>
          <w:rFonts w:ascii="Palatino Linotype" w:hAnsi="Palatino Linotype" w:cstheme="minorHAnsi"/>
        </w:rPr>
        <w:t xml:space="preserve"> hospital organizations have favored telehealth use in this specialty, as a result of federal initiatives towards public reporting and pay-for-quality, </w:t>
      </w:r>
      <w:r w:rsidR="0012184E" w:rsidRPr="00283CF1">
        <w:rPr>
          <w:rFonts w:ascii="Palatino Linotype" w:hAnsi="Palatino Linotype" w:cstheme="minorHAnsi"/>
        </w:rPr>
        <w:t xml:space="preserve">spurred by legislation such as the Affordable Care Act (ACA) of 2009 and the Medicare </w:t>
      </w:r>
      <w:r w:rsidRPr="00283CF1">
        <w:rPr>
          <w:rFonts w:ascii="Palatino Linotype" w:hAnsi="Palatino Linotype" w:cstheme="minorHAnsi"/>
        </w:rPr>
        <w:t>Access and CHIP Reauthorization Act (MACRA)</w:t>
      </w:r>
      <w:r w:rsidR="0012184E" w:rsidRPr="00283CF1">
        <w:rPr>
          <w:rFonts w:ascii="Palatino Linotype" w:hAnsi="Palatino Linotype" w:cstheme="minorHAnsi"/>
        </w:rPr>
        <w:t xml:space="preserve"> of 2015</w:t>
      </w:r>
      <w:r w:rsidRPr="00283CF1">
        <w:rPr>
          <w:rFonts w:ascii="Palatino Linotype" w:hAnsi="Palatino Linotype" w:cstheme="minorHAnsi"/>
        </w:rPr>
        <w:t xml:space="preserve">, which created </w:t>
      </w:r>
      <w:r w:rsidR="0012184E" w:rsidRPr="00283CF1">
        <w:rPr>
          <w:rFonts w:ascii="Palatino Linotype" w:hAnsi="Palatino Linotype" w:cstheme="minorHAnsi"/>
        </w:rPr>
        <w:t xml:space="preserve">strong </w:t>
      </w:r>
      <w:r w:rsidRPr="00283CF1">
        <w:rPr>
          <w:rFonts w:ascii="Palatino Linotype" w:hAnsi="Palatino Linotype" w:cstheme="minorHAnsi"/>
        </w:rPr>
        <w:t xml:space="preserve">incentives </w:t>
      </w:r>
      <w:r w:rsidR="0012184E" w:rsidRPr="00283CF1">
        <w:rPr>
          <w:rFonts w:ascii="Palatino Linotype" w:hAnsi="Palatino Linotype" w:cstheme="minorHAnsi"/>
        </w:rPr>
        <w:t>for using</w:t>
      </w:r>
      <w:r w:rsidRPr="00283CF1">
        <w:rPr>
          <w:rFonts w:ascii="Palatino Linotype" w:hAnsi="Palatino Linotype" w:cstheme="minorHAnsi"/>
        </w:rPr>
        <w:t xml:space="preserve"> telehealth to improve </w:t>
      </w:r>
      <w:r w:rsidR="0012184E" w:rsidRPr="00283CF1">
        <w:rPr>
          <w:rFonts w:ascii="Palatino Linotype" w:hAnsi="Palatino Linotype" w:cstheme="minorHAnsi"/>
        </w:rPr>
        <w:t>patient</w:t>
      </w:r>
      <w:r w:rsidRPr="00283CF1">
        <w:rPr>
          <w:rFonts w:ascii="Palatino Linotype" w:hAnsi="Palatino Linotype" w:cstheme="minorHAnsi"/>
        </w:rPr>
        <w:t xml:space="preserve"> outcomes (e.g., reduc</w:t>
      </w:r>
      <w:r w:rsidR="0012184E" w:rsidRPr="00283CF1">
        <w:rPr>
          <w:rFonts w:ascii="Palatino Linotype" w:hAnsi="Palatino Linotype" w:cstheme="minorHAnsi"/>
        </w:rPr>
        <w:t xml:space="preserve">ing </w:t>
      </w:r>
      <w:r w:rsidRPr="00283CF1">
        <w:rPr>
          <w:rFonts w:ascii="Palatino Linotype" w:hAnsi="Palatino Linotype" w:cstheme="minorHAnsi"/>
        </w:rPr>
        <w:t xml:space="preserve">readmissions for heart failure). The latter in turn, served a dual purpose of improving quality and reducing costs, thereby creating a business case for hospitals to use telehealth in </w:t>
      </w:r>
      <w:r w:rsidRPr="00283CF1">
        <w:rPr>
          <w:rFonts w:ascii="Palatino Linotype" w:hAnsi="Palatino Linotype" w:cstheme="minorHAnsi"/>
          <w:i/>
        </w:rPr>
        <w:t>Cardiology</w:t>
      </w:r>
      <w:r w:rsidRPr="00283CF1">
        <w:rPr>
          <w:rFonts w:ascii="Palatino Linotype" w:hAnsi="Palatino Linotype" w:cstheme="minorHAnsi"/>
        </w:rPr>
        <w:t xml:space="preserve">.  In summary, the literature revealed that providers and organizations in the </w:t>
      </w:r>
      <w:r w:rsidRPr="00283CF1">
        <w:rPr>
          <w:rFonts w:ascii="Palatino Linotype" w:hAnsi="Palatino Linotype" w:cstheme="minorHAnsi"/>
          <w:i/>
        </w:rPr>
        <w:t xml:space="preserve">Cardiology </w:t>
      </w:r>
      <w:r w:rsidRPr="00283CF1">
        <w:rPr>
          <w:rFonts w:ascii="Palatino Linotype" w:hAnsi="Palatino Linotype" w:cstheme="minorHAnsi"/>
        </w:rPr>
        <w:t xml:space="preserve">specialty recognized early on, that telehealth had the potential to improve quality, improve patient experience (promote patient satisfaction), and reduce costs. </w:t>
      </w:r>
    </w:p>
    <w:p w:rsidR="00FD7C4F" w:rsidRPr="00283CF1" w:rsidRDefault="00FD7C4F" w:rsidP="00283CF1">
      <w:pPr>
        <w:spacing w:after="0" w:line="240" w:lineRule="auto"/>
        <w:ind w:firstLine="720"/>
        <w:rPr>
          <w:rFonts w:ascii="Palatino Linotype" w:hAnsi="Palatino Linotype" w:cstheme="minorHAnsi"/>
        </w:rPr>
      </w:pPr>
      <w:r w:rsidRPr="00283CF1">
        <w:rPr>
          <w:rFonts w:ascii="Palatino Linotype" w:hAnsi="Palatino Linotype" w:cstheme="minorHAnsi"/>
        </w:rPr>
        <w:t xml:space="preserve">The above is an example of how the themes of “access to care,” “quality improvement,” and “cost reduction” were identified under the </w:t>
      </w:r>
      <w:proofErr w:type="spellStart"/>
      <w:r w:rsidRPr="00283CF1">
        <w:rPr>
          <w:rFonts w:ascii="Palatino Linotype" w:hAnsi="Palatino Linotype" w:cstheme="minorHAnsi"/>
        </w:rPr>
        <w:t>meso</w:t>
      </w:r>
      <w:proofErr w:type="spellEnd"/>
      <w:r w:rsidRPr="00283CF1">
        <w:rPr>
          <w:rFonts w:ascii="Palatino Linotype" w:hAnsi="Palatino Linotype" w:cstheme="minorHAnsi"/>
        </w:rPr>
        <w:t xml:space="preserve"> layer factor of “specialty-level historical orientation to telehealth.</w:t>
      </w:r>
      <w:r w:rsidR="00F44F6F" w:rsidRPr="00283CF1">
        <w:rPr>
          <w:rFonts w:ascii="Palatino Linotype" w:hAnsi="Palatino Linotype" w:cstheme="minorHAnsi"/>
        </w:rPr>
        <w:t>”</w:t>
      </w:r>
      <w:r w:rsidRPr="00283CF1">
        <w:rPr>
          <w:rFonts w:ascii="Palatino Linotype" w:hAnsi="Palatino Linotype" w:cstheme="minorHAnsi"/>
        </w:rPr>
        <w:t xml:space="preserve"> The above example also serves to illustrate how themes were identified based on exploration of relationships among articles within and across specialties, for each factor in the conceptual framework. For example, the theme of “access to care” was repeated in three or more articles </w:t>
      </w:r>
      <w:r w:rsidRPr="00283CF1">
        <w:rPr>
          <w:rFonts w:ascii="Palatino Linotype" w:hAnsi="Palatino Linotype" w:cstheme="minorHAnsi"/>
          <w:u w:val="single"/>
        </w:rPr>
        <w:t>within</w:t>
      </w:r>
      <w:r w:rsidRPr="00283CF1">
        <w:rPr>
          <w:rFonts w:ascii="Palatino Linotype" w:hAnsi="Palatino Linotype" w:cstheme="minorHAnsi"/>
        </w:rPr>
        <w:t xml:space="preserve"> the </w:t>
      </w:r>
      <w:r w:rsidRPr="00283CF1">
        <w:rPr>
          <w:rFonts w:ascii="Palatino Linotype" w:hAnsi="Palatino Linotype" w:cstheme="minorHAnsi"/>
          <w:i/>
        </w:rPr>
        <w:t>Allergy-Immunology</w:t>
      </w:r>
      <w:r w:rsidRPr="00283CF1">
        <w:rPr>
          <w:rFonts w:ascii="Palatino Linotype" w:hAnsi="Palatino Linotype" w:cstheme="minorHAnsi"/>
        </w:rPr>
        <w:t xml:space="preserve"> specialty, while the themes of “quality improvement” and “cost reduction” were repeated in three or more articles </w:t>
      </w:r>
      <w:r w:rsidRPr="00283CF1">
        <w:rPr>
          <w:rFonts w:ascii="Palatino Linotype" w:hAnsi="Palatino Linotype" w:cstheme="minorHAnsi"/>
          <w:u w:val="single"/>
        </w:rPr>
        <w:t>within</w:t>
      </w:r>
      <w:r w:rsidRPr="00283CF1">
        <w:rPr>
          <w:rFonts w:ascii="Palatino Linotype" w:hAnsi="Palatino Linotype" w:cstheme="minorHAnsi"/>
        </w:rPr>
        <w:t xml:space="preserve"> the Cardiology specialty. This in turn, helped to consolidate our understanding of differences in “specialty-level historical orientation to telehealth” </w:t>
      </w:r>
      <w:r w:rsidRPr="00283CF1">
        <w:rPr>
          <w:rFonts w:ascii="Palatino Linotype" w:hAnsi="Palatino Linotype" w:cstheme="minorHAnsi"/>
          <w:u w:val="single"/>
        </w:rPr>
        <w:t xml:space="preserve">across </w:t>
      </w:r>
      <w:r w:rsidRPr="00283CF1">
        <w:rPr>
          <w:rFonts w:ascii="Palatino Linotype" w:hAnsi="Palatino Linotype" w:cstheme="minorHAnsi"/>
        </w:rPr>
        <w:t xml:space="preserve">two subspecialties of Internal Medicine, i.e., </w:t>
      </w:r>
      <w:r w:rsidRPr="00283CF1">
        <w:rPr>
          <w:rFonts w:ascii="Palatino Linotype" w:hAnsi="Palatino Linotype" w:cstheme="minorHAnsi"/>
          <w:i/>
        </w:rPr>
        <w:t>Allergy-Immunology</w:t>
      </w:r>
      <w:r w:rsidRPr="00283CF1">
        <w:rPr>
          <w:rFonts w:ascii="Palatino Linotype" w:hAnsi="Palatino Linotype" w:cstheme="minorHAnsi"/>
        </w:rPr>
        <w:t xml:space="preserve"> (a </w:t>
      </w:r>
      <w:r w:rsidR="00F44F6F" w:rsidRPr="00283CF1">
        <w:rPr>
          <w:rFonts w:ascii="Palatino Linotype" w:hAnsi="Palatino Linotype" w:cstheme="minorHAnsi"/>
        </w:rPr>
        <w:t>“</w:t>
      </w:r>
      <w:r w:rsidRPr="00283CF1">
        <w:rPr>
          <w:rFonts w:ascii="Palatino Linotype" w:hAnsi="Palatino Linotype" w:cstheme="minorHAnsi"/>
        </w:rPr>
        <w:t>lower-using</w:t>
      </w:r>
      <w:r w:rsidR="00F44F6F" w:rsidRPr="00283CF1">
        <w:rPr>
          <w:rFonts w:ascii="Palatino Linotype" w:hAnsi="Palatino Linotype" w:cstheme="minorHAnsi"/>
        </w:rPr>
        <w:t>”</w:t>
      </w:r>
      <w:r w:rsidRPr="00283CF1">
        <w:rPr>
          <w:rFonts w:ascii="Palatino Linotype" w:hAnsi="Palatino Linotype" w:cstheme="minorHAnsi"/>
        </w:rPr>
        <w:t xml:space="preserve"> specialty) and </w:t>
      </w:r>
      <w:r w:rsidRPr="00283CF1">
        <w:rPr>
          <w:rFonts w:ascii="Palatino Linotype" w:hAnsi="Palatino Linotype" w:cstheme="minorHAnsi"/>
          <w:i/>
        </w:rPr>
        <w:t>Cardiology</w:t>
      </w:r>
      <w:r w:rsidRPr="00283CF1">
        <w:rPr>
          <w:rFonts w:ascii="Palatino Linotype" w:hAnsi="Palatino Linotype" w:cstheme="minorHAnsi"/>
        </w:rPr>
        <w:t xml:space="preserve"> (a </w:t>
      </w:r>
      <w:r w:rsidR="00F44F6F" w:rsidRPr="00283CF1">
        <w:rPr>
          <w:rFonts w:ascii="Palatino Linotype" w:hAnsi="Palatino Linotype" w:cstheme="minorHAnsi"/>
        </w:rPr>
        <w:t>“</w:t>
      </w:r>
      <w:r w:rsidRPr="00283CF1">
        <w:rPr>
          <w:rFonts w:ascii="Palatino Linotype" w:hAnsi="Palatino Linotype" w:cstheme="minorHAnsi"/>
        </w:rPr>
        <w:t>higher-using</w:t>
      </w:r>
      <w:r w:rsidR="00F44F6F" w:rsidRPr="00283CF1">
        <w:rPr>
          <w:rFonts w:ascii="Palatino Linotype" w:hAnsi="Palatino Linotype" w:cstheme="minorHAnsi"/>
        </w:rPr>
        <w:t>”</w:t>
      </w:r>
      <w:r w:rsidRPr="00283CF1">
        <w:rPr>
          <w:rFonts w:ascii="Palatino Linotype" w:hAnsi="Palatino Linotype" w:cstheme="minorHAnsi"/>
        </w:rPr>
        <w:t xml:space="preserve"> </w:t>
      </w:r>
      <w:r w:rsidRPr="00283CF1">
        <w:rPr>
          <w:rFonts w:ascii="Palatino Linotype" w:hAnsi="Palatino Linotype" w:cstheme="minorHAnsi"/>
        </w:rPr>
        <w:lastRenderedPageBreak/>
        <w:t>specialty). Importantly, this process helped to develop rules for assessing the robustness of final narrative synthesis.</w:t>
      </w:r>
    </w:p>
    <w:p w:rsidR="00283CF1" w:rsidRDefault="00283CF1" w:rsidP="00283CF1">
      <w:pPr>
        <w:spacing w:after="0" w:line="240" w:lineRule="auto"/>
        <w:rPr>
          <w:rFonts w:ascii="Palatino Linotype" w:hAnsi="Palatino Linotype" w:cstheme="minorHAnsi"/>
          <w:u w:val="single"/>
        </w:rPr>
      </w:pPr>
    </w:p>
    <w:p w:rsidR="00FD7C4F" w:rsidRPr="00283CF1" w:rsidRDefault="00FD7C4F" w:rsidP="00283CF1">
      <w:pPr>
        <w:spacing w:after="0" w:line="240" w:lineRule="auto"/>
        <w:rPr>
          <w:rFonts w:ascii="Palatino Linotype" w:hAnsi="Palatino Linotype" w:cstheme="minorHAnsi"/>
          <w:u w:val="single"/>
        </w:rPr>
      </w:pPr>
      <w:r w:rsidRPr="00283CF1">
        <w:rPr>
          <w:rFonts w:ascii="Palatino Linotype" w:hAnsi="Palatino Linotype" w:cstheme="minorHAnsi"/>
          <w:u w:val="single"/>
        </w:rPr>
        <w:t>Assessing the Robustness of Final Narrative Synthesis</w:t>
      </w:r>
    </w:p>
    <w:p w:rsidR="00FD7C4F" w:rsidRPr="00283CF1" w:rsidRDefault="004333B6" w:rsidP="00283CF1">
      <w:pPr>
        <w:spacing w:after="0" w:line="240" w:lineRule="auto"/>
        <w:rPr>
          <w:rFonts w:ascii="Palatino Linotype" w:hAnsi="Palatino Linotype" w:cstheme="minorHAnsi"/>
        </w:rPr>
      </w:pPr>
      <w:r w:rsidRPr="00283CF1">
        <w:rPr>
          <w:rFonts w:ascii="Palatino Linotype" w:hAnsi="Palatino Linotype" w:cstheme="minorHAnsi"/>
        </w:rPr>
        <w:t xml:space="preserve">The textual summary of articles was maintained in a Microsoft Excel workbook. Each author maintained a separate workbook. All three authors independently reviewed included articles (in all six specialties) for final synthesis. Each individual workbook included six worksheets dedicated to each specialty of interest. In keeping with the conceptual framework, each worksheet was organized by layer and factor (for a total of 12 factors under the three layers). </w:t>
      </w:r>
      <w:r w:rsidR="00FD7C4F" w:rsidRPr="00283CF1">
        <w:rPr>
          <w:rFonts w:ascii="Palatino Linotype" w:hAnsi="Palatino Linotype" w:cstheme="minorHAnsi"/>
        </w:rPr>
        <w:t xml:space="preserve">Each worksheet contained a textual summary for every factor in the cell block adjacent to the factor name. Additional data elements in each worksheet included, number of articles informing each textual summary; </w:t>
      </w:r>
      <w:r w:rsidR="008849B5" w:rsidRPr="00283CF1">
        <w:rPr>
          <w:rFonts w:ascii="Palatino Linotype" w:hAnsi="Palatino Linotype" w:cstheme="minorHAnsi"/>
        </w:rPr>
        <w:t>lead author and year of</w:t>
      </w:r>
      <w:r w:rsidR="00FD7C4F" w:rsidRPr="00283CF1">
        <w:rPr>
          <w:rFonts w:ascii="Palatino Linotype" w:hAnsi="Palatino Linotype" w:cstheme="minorHAnsi"/>
        </w:rPr>
        <w:t xml:space="preserve"> articles informing the textual summary; number of themes; t</w:t>
      </w:r>
      <w:r w:rsidR="008849B5" w:rsidRPr="00283CF1">
        <w:rPr>
          <w:rFonts w:ascii="Palatino Linotype" w:hAnsi="Palatino Linotype" w:cstheme="minorHAnsi"/>
        </w:rPr>
        <w:t>heme-</w:t>
      </w:r>
      <w:r w:rsidR="00FD7C4F" w:rsidRPr="00283CF1">
        <w:rPr>
          <w:rFonts w:ascii="Palatino Linotype" w:hAnsi="Palatino Linotype" w:cstheme="minorHAnsi"/>
        </w:rPr>
        <w:t>headings</w:t>
      </w:r>
      <w:r w:rsidR="008849B5" w:rsidRPr="00283CF1">
        <w:rPr>
          <w:rFonts w:ascii="Palatino Linotype" w:hAnsi="Palatino Linotype" w:cstheme="minorHAnsi"/>
        </w:rPr>
        <w:t xml:space="preserve"> </w:t>
      </w:r>
      <w:r w:rsidR="008849B5" w:rsidRPr="00283CF1">
        <w:rPr>
          <w:rFonts w:ascii="Palatino Linotype" w:hAnsi="Palatino Linotype" w:cstheme="minorHAnsi"/>
        </w:rPr>
        <w:t>identified in the textual summary</w:t>
      </w:r>
      <w:r w:rsidR="00FD7C4F" w:rsidRPr="00283CF1">
        <w:rPr>
          <w:rFonts w:ascii="Palatino Linotype" w:hAnsi="Palatino Linotype" w:cstheme="minorHAnsi"/>
        </w:rPr>
        <w:t>;  and author</w:t>
      </w:r>
      <w:r w:rsidRPr="00283CF1">
        <w:rPr>
          <w:rFonts w:ascii="Palatino Linotype" w:hAnsi="Palatino Linotype" w:cstheme="minorHAnsi"/>
        </w:rPr>
        <w:t xml:space="preserve"> (reviewer)</w:t>
      </w:r>
      <w:r w:rsidR="00FD7C4F" w:rsidRPr="00283CF1">
        <w:rPr>
          <w:rFonts w:ascii="Palatino Linotype" w:hAnsi="Palatino Linotype" w:cstheme="minorHAnsi"/>
        </w:rPr>
        <w:t xml:space="preserve"> initials. As indicated earlier, a theme was confirmed if it was repeated in three or more articles within each specialty.</w:t>
      </w:r>
    </w:p>
    <w:p w:rsidR="00867227" w:rsidRPr="00283CF1" w:rsidRDefault="00FD7C4F" w:rsidP="00283CF1">
      <w:pPr>
        <w:spacing w:after="0" w:line="240" w:lineRule="auto"/>
        <w:ind w:firstLine="720"/>
        <w:rPr>
          <w:rFonts w:ascii="Palatino Linotype" w:hAnsi="Palatino Linotype" w:cstheme="minorHAnsi"/>
        </w:rPr>
      </w:pPr>
      <w:r w:rsidRPr="00283CF1">
        <w:rPr>
          <w:rFonts w:ascii="Palatino Linotype" w:hAnsi="Palatino Linotype" w:cstheme="minorHAnsi"/>
        </w:rPr>
        <w:t xml:space="preserve">The robustness of </w:t>
      </w:r>
      <w:r w:rsidR="00D100E0" w:rsidRPr="00283CF1">
        <w:rPr>
          <w:rFonts w:ascii="Palatino Linotype" w:hAnsi="Palatino Linotype" w:cstheme="minorHAnsi"/>
        </w:rPr>
        <w:t xml:space="preserve">final </w:t>
      </w:r>
      <w:r w:rsidRPr="00283CF1">
        <w:rPr>
          <w:rFonts w:ascii="Palatino Linotype" w:hAnsi="Palatino Linotype" w:cstheme="minorHAnsi"/>
        </w:rPr>
        <w:t>synthesis was assessed in three stages. In Stage 1, all three authors (</w:t>
      </w:r>
      <w:r w:rsidRPr="00283CF1">
        <w:rPr>
          <w:rFonts w:ascii="Palatino Linotype" w:hAnsi="Palatino Linotype" w:cstheme="minorHAnsi"/>
          <w:i/>
        </w:rPr>
        <w:t xml:space="preserve">Author-1, Author-2, </w:t>
      </w:r>
      <w:r w:rsidRPr="00283CF1">
        <w:rPr>
          <w:rFonts w:ascii="Palatino Linotype" w:hAnsi="Palatino Linotype" w:cstheme="minorHAnsi"/>
        </w:rPr>
        <w:t xml:space="preserve">and </w:t>
      </w:r>
      <w:r w:rsidRPr="00283CF1">
        <w:rPr>
          <w:rFonts w:ascii="Palatino Linotype" w:hAnsi="Palatino Linotype" w:cstheme="minorHAnsi"/>
          <w:i/>
        </w:rPr>
        <w:t>Author-3</w:t>
      </w:r>
      <w:r w:rsidRPr="00283CF1">
        <w:rPr>
          <w:rFonts w:ascii="Palatino Linotype" w:hAnsi="Palatino Linotype" w:cstheme="minorHAnsi"/>
        </w:rPr>
        <w:t>) independently reviewed all articles in each of the six specialties to develop textual summaries for each factor in each specialty worksheet and complete the remainder of each worksheet. In Stage 2, the three authors met several times to discuss their respective textual summaries for every factor within each specialty. The purpose of these discussions was to identify the number of themes that were overlapping and the number of themes that were distinct for each textual summary (cell block) in each specialty worksheet, across each</w:t>
      </w:r>
      <w:r w:rsidR="006E1441" w:rsidRPr="00283CF1">
        <w:rPr>
          <w:rFonts w:ascii="Palatino Linotype" w:hAnsi="Palatino Linotype" w:cstheme="minorHAnsi"/>
        </w:rPr>
        <w:t xml:space="preserve"> of the three author-</w:t>
      </w:r>
      <w:r w:rsidRPr="00283CF1">
        <w:rPr>
          <w:rFonts w:ascii="Palatino Linotype" w:hAnsi="Palatino Linotype" w:cstheme="minorHAnsi"/>
        </w:rPr>
        <w:t>pairs (</w:t>
      </w:r>
      <w:r w:rsidRPr="00283CF1">
        <w:rPr>
          <w:rFonts w:ascii="Palatino Linotype" w:hAnsi="Palatino Linotype" w:cstheme="minorHAnsi"/>
          <w:i/>
        </w:rPr>
        <w:t>Author-1 &amp; Author-2; Author-1 &amp; Author-3; Author-2 &amp; Author-3</w:t>
      </w:r>
      <w:r w:rsidRPr="00283CF1">
        <w:rPr>
          <w:rFonts w:ascii="Palatino Linotype" w:hAnsi="Palatino Linotype" w:cstheme="minorHAnsi"/>
        </w:rPr>
        <w:t xml:space="preserve">). During the course of these discussions, all overlapping themes were acknowledged, and distinct themes were verified through re-review of relevant articles. This process was repeated for all textual summaries in the six worksheets. </w:t>
      </w:r>
      <w:r w:rsidR="006E1441" w:rsidRPr="00283CF1">
        <w:rPr>
          <w:rFonts w:ascii="Palatino Linotype" w:hAnsi="Palatino Linotype" w:cstheme="minorHAnsi"/>
          <w:b/>
        </w:rPr>
        <w:t>For</w:t>
      </w:r>
      <w:r w:rsidRPr="00283CF1">
        <w:rPr>
          <w:rFonts w:ascii="Palatino Linotype" w:hAnsi="Palatino Linotype" w:cstheme="minorHAnsi"/>
          <w:b/>
        </w:rPr>
        <w:t xml:space="preserve"> example,</w:t>
      </w:r>
      <w:r w:rsidRPr="00283CF1">
        <w:rPr>
          <w:rFonts w:ascii="Palatino Linotype" w:hAnsi="Palatino Linotype" w:cstheme="minorHAnsi"/>
        </w:rPr>
        <w:t xml:space="preserve"> in the context </w:t>
      </w:r>
      <w:r w:rsidR="002B5BE4" w:rsidRPr="00283CF1">
        <w:rPr>
          <w:rFonts w:ascii="Palatino Linotype" w:hAnsi="Palatino Linotype" w:cstheme="minorHAnsi"/>
        </w:rPr>
        <w:t xml:space="preserve">0f </w:t>
      </w:r>
      <w:r w:rsidRPr="00283CF1">
        <w:rPr>
          <w:rFonts w:ascii="Palatino Linotype" w:hAnsi="Palatino Linotype" w:cstheme="minorHAnsi"/>
        </w:rPr>
        <w:t xml:space="preserve">“specialty-level historical orientation to telehealth” (discussed earlier) in the </w:t>
      </w:r>
      <w:proofErr w:type="spellStart"/>
      <w:r w:rsidRPr="00283CF1">
        <w:rPr>
          <w:rFonts w:ascii="Palatino Linotype" w:hAnsi="Palatino Linotype" w:cstheme="minorHAnsi"/>
        </w:rPr>
        <w:t>meso</w:t>
      </w:r>
      <w:proofErr w:type="spellEnd"/>
      <w:r w:rsidRPr="00283CF1">
        <w:rPr>
          <w:rFonts w:ascii="Palatino Linotype" w:hAnsi="Palatino Linotype" w:cstheme="minorHAnsi"/>
        </w:rPr>
        <w:t xml:space="preserve"> layer, if </w:t>
      </w:r>
      <w:r w:rsidRPr="00283CF1">
        <w:rPr>
          <w:rFonts w:ascii="Palatino Linotype" w:hAnsi="Palatino Linotype" w:cstheme="minorHAnsi"/>
          <w:i/>
        </w:rPr>
        <w:t>Author-1</w:t>
      </w:r>
      <w:r w:rsidRPr="00283CF1">
        <w:rPr>
          <w:rFonts w:ascii="Palatino Linotype" w:hAnsi="Palatino Linotype" w:cstheme="minorHAnsi"/>
        </w:rPr>
        <w:t xml:space="preserve"> &amp; </w:t>
      </w:r>
      <w:r w:rsidRPr="00283CF1">
        <w:rPr>
          <w:rFonts w:ascii="Palatino Linotype" w:hAnsi="Palatino Linotype" w:cstheme="minorHAnsi"/>
          <w:i/>
        </w:rPr>
        <w:t>Author-2</w:t>
      </w:r>
      <w:r w:rsidRPr="00283CF1">
        <w:rPr>
          <w:rFonts w:ascii="Palatino Linotype" w:hAnsi="Palatino Linotype" w:cstheme="minorHAnsi"/>
        </w:rPr>
        <w:t xml:space="preserve"> had identified the sub-theme of “access to care” the latter would be considered an overlapping theme, on the other hand, if </w:t>
      </w:r>
      <w:r w:rsidRPr="00283CF1">
        <w:rPr>
          <w:rFonts w:ascii="Palatino Linotype" w:hAnsi="Palatino Linotype" w:cstheme="minorHAnsi"/>
          <w:i/>
        </w:rPr>
        <w:t>Author-3</w:t>
      </w:r>
      <w:r w:rsidRPr="00283CF1">
        <w:rPr>
          <w:rFonts w:ascii="Palatino Linotype" w:hAnsi="Palatino Linotype" w:cstheme="minorHAnsi"/>
        </w:rPr>
        <w:t xml:space="preserve"> had identified “improving patient experience” (not identified by first two authors), the latter would be considered a distinct theme. In Stage 3, based on all Stage 2 discussions, the first author developed an integrated Excel workbook to include the worksheets from other two authors for every specialty. Additionally, the first author worksheet for every specialty was updated to include thr</w:t>
      </w:r>
      <w:r w:rsidR="00E5648A" w:rsidRPr="00283CF1">
        <w:rPr>
          <w:rFonts w:ascii="Palatino Linotype" w:hAnsi="Palatino Linotype" w:cstheme="minorHAnsi"/>
        </w:rPr>
        <w:t>ee columns (one for each author-</w:t>
      </w:r>
      <w:r w:rsidRPr="00283CF1">
        <w:rPr>
          <w:rFonts w:ascii="Palatino Linotype" w:hAnsi="Palatino Linotype" w:cstheme="minorHAnsi"/>
        </w:rPr>
        <w:t xml:space="preserve">pair), to indicate the number of overlapping and distinct themes relevant to each textual summary. </w:t>
      </w:r>
    </w:p>
    <w:p w:rsidR="00FD7C4F" w:rsidRPr="00283CF1" w:rsidRDefault="00FD7C4F" w:rsidP="00283CF1">
      <w:pPr>
        <w:spacing w:after="0" w:line="240" w:lineRule="auto"/>
        <w:ind w:firstLine="720"/>
        <w:rPr>
          <w:rFonts w:ascii="Palatino Linotype" w:hAnsi="Palatino Linotype"/>
        </w:rPr>
      </w:pPr>
      <w:r w:rsidRPr="00283CF1">
        <w:rPr>
          <w:rFonts w:ascii="Palatino Linotype" w:hAnsi="Palatino Linotype" w:cstheme="minorHAnsi"/>
        </w:rPr>
        <w:t xml:space="preserve">All aforementioned rules developed for data extraction, exploration of </w:t>
      </w:r>
      <w:r w:rsidR="00E5648A" w:rsidRPr="00283CF1">
        <w:rPr>
          <w:rFonts w:ascii="Palatino Linotype" w:hAnsi="Palatino Linotype" w:cstheme="minorHAnsi"/>
        </w:rPr>
        <w:t>themes</w:t>
      </w:r>
      <w:r w:rsidRPr="00283CF1">
        <w:rPr>
          <w:rFonts w:ascii="Palatino Linotype" w:hAnsi="Palatino Linotype" w:cstheme="minorHAnsi"/>
        </w:rPr>
        <w:t xml:space="preserve"> among articles within and across specialties, and assessment of robustness of synthesis, were applied to the final narrative synthesis of articles reviewed across six medical specialties.  </w:t>
      </w:r>
      <w:r w:rsidR="00E5648A" w:rsidRPr="00283CF1">
        <w:rPr>
          <w:rFonts w:ascii="Palatino Linotype" w:hAnsi="Palatino Linotype" w:cstheme="minorHAnsi"/>
        </w:rPr>
        <w:t>The</w:t>
      </w:r>
      <w:r w:rsidR="00E5648A" w:rsidRPr="00283CF1">
        <w:rPr>
          <w:rFonts w:ascii="Palatino Linotype" w:hAnsi="Palatino Linotype" w:cstheme="minorHAnsi"/>
        </w:rPr>
        <w:t xml:space="preserve"> integrated Excel workbook (described above) </w:t>
      </w:r>
      <w:r w:rsidR="00E5648A" w:rsidRPr="00283CF1">
        <w:rPr>
          <w:rFonts w:ascii="Palatino Linotype" w:hAnsi="Palatino Linotype" w:cstheme="minorHAnsi"/>
        </w:rPr>
        <w:t>constituted t</w:t>
      </w:r>
      <w:r w:rsidRPr="00283CF1">
        <w:rPr>
          <w:rFonts w:ascii="Palatino Linotype" w:hAnsi="Palatino Linotype" w:cstheme="minorHAnsi"/>
        </w:rPr>
        <w:t>he raw dataset for final narrative synthesis in this review</w:t>
      </w:r>
      <w:r w:rsidR="00E5648A" w:rsidRPr="00283CF1">
        <w:rPr>
          <w:rFonts w:ascii="Palatino Linotype" w:hAnsi="Palatino Linotype" w:cstheme="minorHAnsi"/>
        </w:rPr>
        <w:t>. It</w:t>
      </w:r>
      <w:r w:rsidRPr="00283CF1">
        <w:rPr>
          <w:rFonts w:ascii="Palatino Linotype" w:hAnsi="Palatino Linotype" w:cstheme="minorHAnsi"/>
        </w:rPr>
        <w:t xml:space="preserve"> contain</w:t>
      </w:r>
      <w:r w:rsidR="00E5648A" w:rsidRPr="00283CF1">
        <w:rPr>
          <w:rFonts w:ascii="Palatino Linotype" w:hAnsi="Palatino Linotype" w:cstheme="minorHAnsi"/>
        </w:rPr>
        <w:t xml:space="preserve">ed </w:t>
      </w:r>
      <w:r w:rsidRPr="00283CF1">
        <w:rPr>
          <w:rFonts w:ascii="Palatino Linotype" w:hAnsi="Palatino Linotype" w:cstheme="minorHAnsi"/>
        </w:rPr>
        <w:t>18 worksheets</w:t>
      </w:r>
      <w:r w:rsidR="00E5648A" w:rsidRPr="00283CF1">
        <w:rPr>
          <w:rFonts w:ascii="Palatino Linotype" w:hAnsi="Palatino Linotype" w:cstheme="minorHAnsi"/>
        </w:rPr>
        <w:t xml:space="preserve"> (</w:t>
      </w:r>
      <w:r w:rsidRPr="00283CF1">
        <w:rPr>
          <w:rFonts w:ascii="Palatino Linotype" w:hAnsi="Palatino Linotype" w:cstheme="minorHAnsi"/>
        </w:rPr>
        <w:t>3 for each of the 6 specialties</w:t>
      </w:r>
      <w:r w:rsidR="00E5648A" w:rsidRPr="00283CF1">
        <w:rPr>
          <w:rFonts w:ascii="Palatino Linotype" w:hAnsi="Palatino Linotype" w:cstheme="minorHAnsi"/>
        </w:rPr>
        <w:t>)</w:t>
      </w:r>
      <w:r w:rsidRPr="00283CF1">
        <w:rPr>
          <w:rFonts w:ascii="Palatino Linotype" w:hAnsi="Palatino Linotype" w:cstheme="minorHAnsi"/>
        </w:rPr>
        <w:t xml:space="preserve">, </w:t>
      </w:r>
      <w:r w:rsidR="00E5648A" w:rsidRPr="00283CF1">
        <w:rPr>
          <w:rFonts w:ascii="Palatino Linotype" w:hAnsi="Palatino Linotype" w:cstheme="minorHAnsi"/>
        </w:rPr>
        <w:t xml:space="preserve">and </w:t>
      </w:r>
      <w:r w:rsidRPr="00283CF1">
        <w:rPr>
          <w:rFonts w:ascii="Palatino Linotype" w:hAnsi="Palatino Linotype" w:cstheme="minorHAnsi"/>
        </w:rPr>
        <w:t xml:space="preserve">is included </w:t>
      </w:r>
      <w:r w:rsidR="00E5648A" w:rsidRPr="00283CF1">
        <w:rPr>
          <w:rFonts w:ascii="Palatino Linotype" w:hAnsi="Palatino Linotype" w:cstheme="minorHAnsi"/>
        </w:rPr>
        <w:t>in</w:t>
      </w:r>
      <w:r w:rsidR="00AE0F4D" w:rsidRPr="00283CF1">
        <w:rPr>
          <w:rFonts w:ascii="Palatino Linotype" w:hAnsi="Palatino Linotype" w:cstheme="minorHAnsi"/>
        </w:rPr>
        <w:t xml:space="preserve"> supplementary materials as </w:t>
      </w:r>
      <w:r w:rsidR="00AE0F4D" w:rsidRPr="00283CF1">
        <w:rPr>
          <w:rFonts w:ascii="Palatino Linotype" w:hAnsi="Palatino Linotype" w:cstheme="minorHAnsi"/>
          <w:b/>
        </w:rPr>
        <w:t>A</w:t>
      </w:r>
      <w:r w:rsidRPr="00283CF1">
        <w:rPr>
          <w:rFonts w:ascii="Palatino Linotype" w:hAnsi="Palatino Linotype" w:cstheme="minorHAnsi"/>
          <w:b/>
        </w:rPr>
        <w:t xml:space="preserve">ppendix </w:t>
      </w:r>
      <w:r w:rsidR="00E5648A" w:rsidRPr="00283CF1">
        <w:rPr>
          <w:rFonts w:ascii="Palatino Linotype" w:hAnsi="Palatino Linotype" w:cstheme="minorHAnsi"/>
          <w:b/>
        </w:rPr>
        <w:t>3</w:t>
      </w:r>
      <w:r w:rsidRPr="00283CF1">
        <w:rPr>
          <w:rFonts w:ascii="Palatino Linotype" w:hAnsi="Palatino Linotype" w:cstheme="minorHAnsi"/>
        </w:rPr>
        <w:t>.</w:t>
      </w:r>
    </w:p>
    <w:sectPr w:rsidR="00FD7C4F" w:rsidRPr="00283C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73" w:rsidRDefault="00D90673" w:rsidP="00CF0CD9">
      <w:pPr>
        <w:spacing w:after="0" w:line="240" w:lineRule="auto"/>
      </w:pPr>
      <w:r>
        <w:separator/>
      </w:r>
    </w:p>
  </w:endnote>
  <w:endnote w:type="continuationSeparator" w:id="0">
    <w:p w:rsidR="00D90673" w:rsidRDefault="00D90673" w:rsidP="00CF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45837"/>
      <w:docPartObj>
        <w:docPartGallery w:val="Page Numbers (Bottom of Page)"/>
        <w:docPartUnique/>
      </w:docPartObj>
    </w:sdtPr>
    <w:sdtEndPr>
      <w:rPr>
        <w:noProof/>
      </w:rPr>
    </w:sdtEndPr>
    <w:sdtContent>
      <w:p w:rsidR="00CF0CD9" w:rsidRDefault="00CF0CD9">
        <w:pPr>
          <w:pStyle w:val="Footer"/>
          <w:jc w:val="center"/>
        </w:pPr>
        <w:r>
          <w:fldChar w:fldCharType="begin"/>
        </w:r>
        <w:r>
          <w:instrText xml:space="preserve"> PAGE   \* MERGEFORMAT </w:instrText>
        </w:r>
        <w:r>
          <w:fldChar w:fldCharType="separate"/>
        </w:r>
        <w:r w:rsidR="00BC05DD">
          <w:rPr>
            <w:noProof/>
          </w:rPr>
          <w:t>8</w:t>
        </w:r>
        <w:r>
          <w:rPr>
            <w:noProof/>
          </w:rPr>
          <w:fldChar w:fldCharType="end"/>
        </w:r>
      </w:p>
    </w:sdtContent>
  </w:sdt>
  <w:p w:rsidR="00CF0CD9" w:rsidRDefault="00CF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73" w:rsidRDefault="00D90673" w:rsidP="00CF0CD9">
      <w:pPr>
        <w:spacing w:after="0" w:line="240" w:lineRule="auto"/>
      </w:pPr>
      <w:r>
        <w:separator/>
      </w:r>
    </w:p>
  </w:footnote>
  <w:footnote w:type="continuationSeparator" w:id="0">
    <w:p w:rsidR="00D90673" w:rsidRDefault="00D90673" w:rsidP="00CF0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925"/>
    <w:multiLevelType w:val="hybridMultilevel"/>
    <w:tmpl w:val="22B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4C09"/>
    <w:multiLevelType w:val="hybridMultilevel"/>
    <w:tmpl w:val="852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7EEB"/>
    <w:multiLevelType w:val="hybridMultilevel"/>
    <w:tmpl w:val="8590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83F"/>
    <w:multiLevelType w:val="hybridMultilevel"/>
    <w:tmpl w:val="20F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875C2"/>
    <w:multiLevelType w:val="hybridMultilevel"/>
    <w:tmpl w:val="ADF2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4436"/>
    <w:multiLevelType w:val="hybridMultilevel"/>
    <w:tmpl w:val="1D28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23673"/>
    <w:multiLevelType w:val="hybridMultilevel"/>
    <w:tmpl w:val="EB0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A40C6"/>
    <w:multiLevelType w:val="hybridMultilevel"/>
    <w:tmpl w:val="509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07BB9"/>
    <w:multiLevelType w:val="hybridMultilevel"/>
    <w:tmpl w:val="80EE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43950"/>
    <w:multiLevelType w:val="hybridMultilevel"/>
    <w:tmpl w:val="DE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A26B5"/>
    <w:multiLevelType w:val="hybridMultilevel"/>
    <w:tmpl w:val="56E8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36620"/>
    <w:multiLevelType w:val="hybridMultilevel"/>
    <w:tmpl w:val="633A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90B4F"/>
    <w:multiLevelType w:val="hybridMultilevel"/>
    <w:tmpl w:val="08D6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1EE8"/>
    <w:multiLevelType w:val="hybridMultilevel"/>
    <w:tmpl w:val="265CDE5E"/>
    <w:lvl w:ilvl="0" w:tplc="F6D4A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43F7A"/>
    <w:multiLevelType w:val="hybridMultilevel"/>
    <w:tmpl w:val="E1E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57985"/>
    <w:multiLevelType w:val="hybridMultilevel"/>
    <w:tmpl w:val="4EE4F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3E3B0C"/>
    <w:multiLevelType w:val="hybridMultilevel"/>
    <w:tmpl w:val="57861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10DE6"/>
    <w:multiLevelType w:val="hybridMultilevel"/>
    <w:tmpl w:val="BD5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31E51"/>
    <w:multiLevelType w:val="hybridMultilevel"/>
    <w:tmpl w:val="91C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921EE"/>
    <w:multiLevelType w:val="hybridMultilevel"/>
    <w:tmpl w:val="D1B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845E0"/>
    <w:multiLevelType w:val="hybridMultilevel"/>
    <w:tmpl w:val="C2E8E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CA6956"/>
    <w:multiLevelType w:val="hybridMultilevel"/>
    <w:tmpl w:val="BFFC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1342"/>
    <w:multiLevelType w:val="hybridMultilevel"/>
    <w:tmpl w:val="DB8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4981"/>
    <w:multiLevelType w:val="hybridMultilevel"/>
    <w:tmpl w:val="7ADEF7DC"/>
    <w:lvl w:ilvl="0" w:tplc="04090011">
      <w:start w:val="1"/>
      <w:numFmt w:val="decimal"/>
      <w:lvlText w:val="%1)"/>
      <w:lvlJc w:val="left"/>
      <w:pPr>
        <w:ind w:left="720" w:hanging="360"/>
      </w:pPr>
      <w:rPr>
        <w:rFonts w:hint="default"/>
      </w:rPr>
    </w:lvl>
    <w:lvl w:ilvl="1" w:tplc="5CD4A2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01D20"/>
    <w:multiLevelType w:val="hybridMultilevel"/>
    <w:tmpl w:val="4D5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857B8"/>
    <w:multiLevelType w:val="hybridMultilevel"/>
    <w:tmpl w:val="EA8A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37C09"/>
    <w:multiLevelType w:val="hybridMultilevel"/>
    <w:tmpl w:val="624A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10330"/>
    <w:multiLevelType w:val="hybridMultilevel"/>
    <w:tmpl w:val="D9C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A0D81"/>
    <w:multiLevelType w:val="hybridMultilevel"/>
    <w:tmpl w:val="8B360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74430E"/>
    <w:multiLevelType w:val="hybridMultilevel"/>
    <w:tmpl w:val="3F12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84033"/>
    <w:multiLevelType w:val="hybridMultilevel"/>
    <w:tmpl w:val="537E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53C66"/>
    <w:multiLevelType w:val="hybridMultilevel"/>
    <w:tmpl w:val="EB6C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91B94"/>
    <w:multiLevelType w:val="hybridMultilevel"/>
    <w:tmpl w:val="4F7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41C8C"/>
    <w:multiLevelType w:val="hybridMultilevel"/>
    <w:tmpl w:val="A68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C4F04"/>
    <w:multiLevelType w:val="hybridMultilevel"/>
    <w:tmpl w:val="1E2E4D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410166"/>
    <w:multiLevelType w:val="hybridMultilevel"/>
    <w:tmpl w:val="BD36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0"/>
  </w:num>
  <w:num w:numId="4">
    <w:abstractNumId w:val="31"/>
  </w:num>
  <w:num w:numId="5">
    <w:abstractNumId w:val="26"/>
  </w:num>
  <w:num w:numId="6">
    <w:abstractNumId w:val="25"/>
  </w:num>
  <w:num w:numId="7">
    <w:abstractNumId w:val="34"/>
  </w:num>
  <w:num w:numId="8">
    <w:abstractNumId w:val="15"/>
  </w:num>
  <w:num w:numId="9">
    <w:abstractNumId w:val="16"/>
  </w:num>
  <w:num w:numId="10">
    <w:abstractNumId w:val="29"/>
  </w:num>
  <w:num w:numId="11">
    <w:abstractNumId w:val="10"/>
  </w:num>
  <w:num w:numId="12">
    <w:abstractNumId w:val="17"/>
  </w:num>
  <w:num w:numId="13">
    <w:abstractNumId w:val="12"/>
  </w:num>
  <w:num w:numId="14">
    <w:abstractNumId w:val="13"/>
  </w:num>
  <w:num w:numId="15">
    <w:abstractNumId w:val="1"/>
  </w:num>
  <w:num w:numId="16">
    <w:abstractNumId w:val="0"/>
  </w:num>
  <w:num w:numId="17">
    <w:abstractNumId w:val="4"/>
  </w:num>
  <w:num w:numId="18">
    <w:abstractNumId w:val="23"/>
  </w:num>
  <w:num w:numId="19">
    <w:abstractNumId w:val="2"/>
  </w:num>
  <w:num w:numId="20">
    <w:abstractNumId w:val="9"/>
  </w:num>
  <w:num w:numId="21">
    <w:abstractNumId w:val="24"/>
  </w:num>
  <w:num w:numId="22">
    <w:abstractNumId w:val="5"/>
  </w:num>
  <w:num w:numId="23">
    <w:abstractNumId w:val="7"/>
  </w:num>
  <w:num w:numId="24">
    <w:abstractNumId w:val="21"/>
  </w:num>
  <w:num w:numId="25">
    <w:abstractNumId w:val="32"/>
  </w:num>
  <w:num w:numId="26">
    <w:abstractNumId w:val="33"/>
  </w:num>
  <w:num w:numId="27">
    <w:abstractNumId w:val="30"/>
  </w:num>
  <w:num w:numId="28">
    <w:abstractNumId w:val="18"/>
  </w:num>
  <w:num w:numId="29">
    <w:abstractNumId w:val="35"/>
  </w:num>
  <w:num w:numId="30">
    <w:abstractNumId w:val="11"/>
  </w:num>
  <w:num w:numId="31">
    <w:abstractNumId w:val="6"/>
  </w:num>
  <w:num w:numId="32">
    <w:abstractNumId w:val="8"/>
  </w:num>
  <w:num w:numId="33">
    <w:abstractNumId w:val="19"/>
  </w:num>
  <w:num w:numId="34">
    <w:abstractNumId w:val="22"/>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4F"/>
    <w:rsid w:val="0000629B"/>
    <w:rsid w:val="000C02CD"/>
    <w:rsid w:val="001073AF"/>
    <w:rsid w:val="00115CC1"/>
    <w:rsid w:val="0012184E"/>
    <w:rsid w:val="001E4CBD"/>
    <w:rsid w:val="00210456"/>
    <w:rsid w:val="00283CF1"/>
    <w:rsid w:val="002B5BE4"/>
    <w:rsid w:val="002C76C5"/>
    <w:rsid w:val="002E59DC"/>
    <w:rsid w:val="002F412C"/>
    <w:rsid w:val="003034B6"/>
    <w:rsid w:val="00311378"/>
    <w:rsid w:val="00407AA8"/>
    <w:rsid w:val="00432973"/>
    <w:rsid w:val="004333B6"/>
    <w:rsid w:val="004A3C75"/>
    <w:rsid w:val="004E69FE"/>
    <w:rsid w:val="00595963"/>
    <w:rsid w:val="00610015"/>
    <w:rsid w:val="006841DC"/>
    <w:rsid w:val="006E1441"/>
    <w:rsid w:val="0071232D"/>
    <w:rsid w:val="00760849"/>
    <w:rsid w:val="007715FD"/>
    <w:rsid w:val="0078713D"/>
    <w:rsid w:val="00821940"/>
    <w:rsid w:val="008234F7"/>
    <w:rsid w:val="00867227"/>
    <w:rsid w:val="008849B5"/>
    <w:rsid w:val="008E6874"/>
    <w:rsid w:val="00912ABA"/>
    <w:rsid w:val="009165CF"/>
    <w:rsid w:val="00A62477"/>
    <w:rsid w:val="00AE0F4D"/>
    <w:rsid w:val="00AF0C45"/>
    <w:rsid w:val="00BC05DD"/>
    <w:rsid w:val="00CF0CD9"/>
    <w:rsid w:val="00D100E0"/>
    <w:rsid w:val="00D34DAC"/>
    <w:rsid w:val="00D90673"/>
    <w:rsid w:val="00DB09AB"/>
    <w:rsid w:val="00E374A9"/>
    <w:rsid w:val="00E44340"/>
    <w:rsid w:val="00E471A9"/>
    <w:rsid w:val="00E5648A"/>
    <w:rsid w:val="00ED3E0E"/>
    <w:rsid w:val="00EE599F"/>
    <w:rsid w:val="00F44F6F"/>
    <w:rsid w:val="00FD702A"/>
    <w:rsid w:val="00F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A13B"/>
  <w15:chartTrackingRefBased/>
  <w15:docId w15:val="{7E50601F-6A2B-485A-B118-1719FF4F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4F"/>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FD7C4F"/>
    <w:rPr>
      <w:rFonts w:ascii="Times New Roman" w:hAnsi="Times New Roman" w:cs="Times New Roman"/>
      <w:sz w:val="24"/>
      <w:szCs w:val="24"/>
    </w:rPr>
  </w:style>
  <w:style w:type="paragraph" w:styleId="Footer">
    <w:name w:val="footer"/>
    <w:basedOn w:val="Normal"/>
    <w:link w:val="FooterChar"/>
    <w:uiPriority w:val="99"/>
    <w:unhideWhenUsed/>
    <w:rsid w:val="00FD7C4F"/>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FD7C4F"/>
    <w:rPr>
      <w:rFonts w:ascii="Times New Roman" w:hAnsi="Times New Roman" w:cs="Times New Roman"/>
      <w:sz w:val="24"/>
      <w:szCs w:val="24"/>
    </w:rPr>
  </w:style>
  <w:style w:type="paragraph" w:styleId="ListParagraph">
    <w:name w:val="List Paragraph"/>
    <w:basedOn w:val="Normal"/>
    <w:uiPriority w:val="34"/>
    <w:qFormat/>
    <w:rsid w:val="00FD7C4F"/>
    <w:pPr>
      <w:ind w:left="720"/>
      <w:contextualSpacing/>
    </w:pPr>
  </w:style>
  <w:style w:type="paragraph" w:styleId="BalloonText">
    <w:name w:val="Balloon Text"/>
    <w:basedOn w:val="Normal"/>
    <w:link w:val="BalloonTextChar"/>
    <w:uiPriority w:val="99"/>
    <w:semiHidden/>
    <w:unhideWhenUsed/>
    <w:rsid w:val="00FD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4F"/>
    <w:rPr>
      <w:rFonts w:ascii="Segoe UI" w:hAnsi="Segoe UI" w:cs="Segoe UI"/>
      <w:sz w:val="18"/>
      <w:szCs w:val="18"/>
    </w:rPr>
  </w:style>
  <w:style w:type="table" w:styleId="TableGrid">
    <w:name w:val="Table Grid"/>
    <w:basedOn w:val="TableNormal"/>
    <w:uiPriority w:val="39"/>
    <w:rsid w:val="00FD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7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62E3-9E06-4D5B-BF23-21E24139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Rangachari, Pavani</dc:creator>
  <cp:keywords/>
  <dc:description/>
  <cp:lastModifiedBy>Rangachari, Pavani</cp:lastModifiedBy>
  <cp:revision>39</cp:revision>
  <dcterms:created xsi:type="dcterms:W3CDTF">2021-01-03T15:16:00Z</dcterms:created>
  <dcterms:modified xsi:type="dcterms:W3CDTF">2021-01-03T16:33:00Z</dcterms:modified>
</cp:coreProperties>
</file>