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64FE" w14:textId="77777777" w:rsidR="000D53D5" w:rsidRPr="000D53D5" w:rsidRDefault="000D53D5" w:rsidP="000D53D5">
      <w:pPr>
        <w:spacing w:line="480" w:lineRule="auto"/>
        <w:rPr>
          <w:rFonts w:ascii="Arial" w:hAnsi="Arial" w:cs="Arial"/>
          <w:color w:val="000000"/>
          <w:shd w:val="clear" w:color="auto" w:fill="FFFCF0"/>
        </w:rPr>
      </w:pPr>
      <w:bookmarkStart w:id="0" w:name="_Hlk60085716"/>
      <w:bookmarkStart w:id="1" w:name="_Hlk61432013"/>
      <w:bookmarkStart w:id="2" w:name="_GoBack"/>
      <w:bookmarkEnd w:id="2"/>
      <w:r w:rsidRPr="000D53D5">
        <w:rPr>
          <w:rFonts w:ascii="Arial" w:hAnsi="Arial" w:cs="Arial"/>
          <w:b/>
          <w:bCs/>
        </w:rPr>
        <w:t xml:space="preserve">Additional file 1 </w:t>
      </w:r>
      <w:r w:rsidRPr="000D53D5">
        <w:rPr>
          <w:rFonts w:ascii="Arial" w:hAnsi="Arial" w:cs="Arial"/>
          <w:color w:val="000000"/>
          <w:shd w:val="clear" w:color="auto" w:fill="FFFCF0"/>
        </w:rPr>
        <w:t>PRISMA checklist.</w:t>
      </w:r>
      <w:bookmarkEnd w:id="0"/>
    </w:p>
    <w:p w14:paraId="2F923473" w14:textId="77777777" w:rsidR="000D53D5" w:rsidRPr="000D53D5" w:rsidRDefault="000D53D5" w:rsidP="000D53D5">
      <w:pPr>
        <w:widowControl w:val="0"/>
        <w:autoSpaceDE w:val="0"/>
        <w:autoSpaceDN w:val="0"/>
        <w:adjustRightInd w:val="0"/>
        <w:spacing w:after="373" w:line="240" w:lineRule="auto"/>
        <w:ind w:left="1080"/>
        <w:rPr>
          <w:rFonts w:ascii="Lucida Sans" w:eastAsia="Times New Roman" w:hAnsi="Lucida Sans" w:cs="Times New Roman"/>
          <w:sz w:val="24"/>
          <w:szCs w:val="24"/>
          <w:lang w:val="en-CA" w:eastAsia="en-CA"/>
        </w:rPr>
      </w:pPr>
      <w:r w:rsidRPr="000D53D5">
        <w:rPr>
          <w:rFonts w:ascii="Lucida Sans" w:eastAsia="Times New Roman" w:hAnsi="Lucida Sans" w:cs="Times New Roman"/>
          <w:noProof/>
          <w:sz w:val="24"/>
          <w:szCs w:val="24"/>
          <w:lang w:val="en-US"/>
        </w:rPr>
        <w:drawing>
          <wp:anchor distT="0" distB="0" distL="114300" distR="114300" simplePos="0" relativeHeight="251708416" behindDoc="0" locked="0" layoutInCell="1" allowOverlap="1" wp14:anchorId="36BC2266" wp14:editId="6A807F84">
            <wp:simplePos x="0" y="0"/>
            <wp:positionH relativeFrom="column">
              <wp:posOffset>-32385</wp:posOffset>
            </wp:positionH>
            <wp:positionV relativeFrom="paragraph">
              <wp:posOffset>-111760</wp:posOffset>
            </wp:positionV>
            <wp:extent cx="4572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3D5">
        <w:rPr>
          <w:rFonts w:ascii="Lucida Sans" w:eastAsia="Times New Roman" w:hAnsi="Lucida Sans" w:cs="Times New Roman"/>
          <w:b/>
          <w:bCs/>
          <w:sz w:val="32"/>
          <w:szCs w:val="32"/>
          <w:lang w:val="en-CA" w:eastAsia="en-CA"/>
        </w:rPr>
        <w:t>PRISMA 2009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0D53D5" w:rsidRPr="000D53D5" w14:paraId="668DEACA" w14:textId="77777777" w:rsidTr="007D2DE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F2E0E5" w14:textId="77777777" w:rsidR="000D53D5" w:rsidRPr="000D53D5" w:rsidRDefault="000D53D5" w:rsidP="000D53D5">
            <w:pPr>
              <w:widowControl w:val="0"/>
              <w:autoSpaceDE w:val="0"/>
              <w:autoSpaceDN w:val="0"/>
              <w:adjustRightInd w:val="0"/>
              <w:spacing w:after="0" w:line="240" w:lineRule="auto"/>
              <w:rPr>
                <w:rFonts w:eastAsia="Times New Roman" w:cstheme="minorHAnsi"/>
                <w:color w:val="FFFFFF"/>
                <w:sz w:val="24"/>
                <w:szCs w:val="24"/>
                <w:lang w:val="en-CA" w:eastAsia="en-CA"/>
              </w:rPr>
            </w:pPr>
            <w:r w:rsidRPr="000D53D5">
              <w:rPr>
                <w:rFonts w:eastAsia="Times New Roman" w:cstheme="minorHAnsi"/>
                <w:b/>
                <w:bCs/>
                <w:color w:val="FFFFFF"/>
                <w:sz w:val="24"/>
                <w:szCs w:val="24"/>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EAA5EBF" w14:textId="77777777" w:rsidR="000D53D5" w:rsidRPr="000D53D5" w:rsidRDefault="000D53D5" w:rsidP="000D53D5">
            <w:pPr>
              <w:widowControl w:val="0"/>
              <w:autoSpaceDE w:val="0"/>
              <w:autoSpaceDN w:val="0"/>
              <w:adjustRightInd w:val="0"/>
              <w:spacing w:after="0" w:line="240" w:lineRule="auto"/>
              <w:jc w:val="right"/>
              <w:rPr>
                <w:rFonts w:eastAsia="Times New Roman" w:cstheme="minorHAnsi"/>
                <w:b/>
                <w:bCs/>
                <w:color w:val="FFFFFF"/>
                <w:sz w:val="24"/>
                <w:szCs w:val="24"/>
                <w:lang w:val="en-CA" w:eastAsia="en-CA"/>
              </w:rPr>
            </w:pPr>
            <w:r w:rsidRPr="000D53D5">
              <w:rPr>
                <w:rFonts w:eastAsia="Times New Roman" w:cstheme="minorHAnsi"/>
                <w:b/>
                <w:bCs/>
                <w:color w:val="FFFFFF"/>
                <w:sz w:val="24"/>
                <w:szCs w:val="24"/>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01B002" w14:textId="77777777" w:rsidR="000D53D5" w:rsidRPr="000D53D5" w:rsidRDefault="000D53D5" w:rsidP="000D53D5">
            <w:pPr>
              <w:widowControl w:val="0"/>
              <w:autoSpaceDE w:val="0"/>
              <w:autoSpaceDN w:val="0"/>
              <w:adjustRightInd w:val="0"/>
              <w:spacing w:after="0" w:line="240" w:lineRule="auto"/>
              <w:rPr>
                <w:rFonts w:eastAsia="Times New Roman" w:cstheme="minorHAnsi"/>
                <w:color w:val="FFFFFF"/>
                <w:sz w:val="24"/>
                <w:szCs w:val="24"/>
                <w:lang w:val="en-CA" w:eastAsia="en-CA"/>
              </w:rPr>
            </w:pPr>
            <w:r w:rsidRPr="000D53D5">
              <w:rPr>
                <w:rFonts w:eastAsia="Times New Roman" w:cstheme="minorHAnsi"/>
                <w:b/>
                <w:bCs/>
                <w:color w:val="FFFFFF"/>
                <w:sz w:val="24"/>
                <w:szCs w:val="24"/>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CA28DA" w14:textId="77777777" w:rsidR="000D53D5" w:rsidRPr="000D53D5" w:rsidRDefault="000D53D5" w:rsidP="000D53D5">
            <w:pPr>
              <w:widowControl w:val="0"/>
              <w:autoSpaceDE w:val="0"/>
              <w:autoSpaceDN w:val="0"/>
              <w:adjustRightInd w:val="0"/>
              <w:spacing w:after="0" w:line="240" w:lineRule="auto"/>
              <w:rPr>
                <w:rFonts w:eastAsia="Times New Roman" w:cstheme="minorHAnsi"/>
                <w:color w:val="FFFFFF"/>
                <w:sz w:val="24"/>
                <w:szCs w:val="24"/>
                <w:lang w:val="en-CA" w:eastAsia="en-CA"/>
              </w:rPr>
            </w:pPr>
            <w:r w:rsidRPr="000D53D5">
              <w:rPr>
                <w:rFonts w:eastAsia="Times New Roman" w:cstheme="minorHAnsi"/>
                <w:b/>
                <w:bCs/>
                <w:color w:val="FFFFFF"/>
                <w:sz w:val="24"/>
                <w:szCs w:val="24"/>
                <w:lang w:val="en-CA" w:eastAsia="en-CA"/>
              </w:rPr>
              <w:t xml:space="preserve">Reported on page # </w:t>
            </w:r>
          </w:p>
        </w:tc>
      </w:tr>
      <w:tr w:rsidR="000D53D5" w:rsidRPr="000D53D5" w14:paraId="1A0A2467"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753F0B"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color w:val="000000"/>
                <w:lang w:val="en-CA" w:eastAsia="en-CA"/>
              </w:rPr>
            </w:pPr>
            <w:r w:rsidRPr="000D53D5">
              <w:rPr>
                <w:rFonts w:ascii="Arial" w:eastAsia="Times New Roman" w:hAnsi="Arial" w:cs="Arial"/>
                <w:b/>
                <w:bCs/>
                <w:color w:val="000000"/>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00715F" w14:textId="77777777" w:rsidR="000D53D5" w:rsidRPr="000D53D5" w:rsidRDefault="000D53D5" w:rsidP="000D53D5">
            <w:pPr>
              <w:widowControl w:val="0"/>
              <w:autoSpaceDE w:val="0"/>
              <w:autoSpaceDN w:val="0"/>
              <w:adjustRightInd w:val="0"/>
              <w:spacing w:after="0" w:line="240" w:lineRule="auto"/>
              <w:jc w:val="right"/>
              <w:rPr>
                <w:rFonts w:ascii="Arial" w:eastAsia="Times New Roman" w:hAnsi="Arial" w:cs="Arial"/>
                <w:lang w:val="en-CA" w:eastAsia="en-CA"/>
              </w:rPr>
            </w:pPr>
          </w:p>
        </w:tc>
      </w:tr>
      <w:tr w:rsidR="000D53D5" w:rsidRPr="000D53D5" w14:paraId="417E2FC2" w14:textId="77777777" w:rsidTr="007D2DEC">
        <w:trPr>
          <w:trHeight w:val="323"/>
        </w:trPr>
        <w:tc>
          <w:tcPr>
            <w:tcW w:w="2800" w:type="dxa"/>
            <w:tcBorders>
              <w:top w:val="single" w:sz="5" w:space="0" w:color="000000"/>
              <w:left w:val="single" w:sz="5" w:space="0" w:color="000000"/>
              <w:bottom w:val="double" w:sz="2" w:space="0" w:color="FFFFCC"/>
              <w:right w:val="single" w:sz="5" w:space="0" w:color="000000"/>
            </w:tcBorders>
          </w:tcPr>
          <w:p w14:paraId="1223438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DE38B01"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4D589F32"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5BE0287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2-3</w:t>
            </w:r>
          </w:p>
        </w:tc>
      </w:tr>
      <w:tr w:rsidR="000D53D5" w:rsidRPr="000D53D5" w14:paraId="6EDF2FEE"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FAF1FB"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621EF1E" w14:textId="77777777" w:rsidR="000D53D5" w:rsidRPr="000D53D5" w:rsidRDefault="000D53D5" w:rsidP="000D53D5">
            <w:pPr>
              <w:widowControl w:val="0"/>
              <w:autoSpaceDE w:val="0"/>
              <w:autoSpaceDN w:val="0"/>
              <w:adjustRightInd w:val="0"/>
              <w:spacing w:after="0" w:line="240" w:lineRule="auto"/>
              <w:jc w:val="right"/>
              <w:rPr>
                <w:rFonts w:ascii="Arial" w:eastAsia="Times New Roman" w:hAnsi="Arial" w:cs="Arial"/>
                <w:lang w:val="en-CA" w:eastAsia="en-CA"/>
              </w:rPr>
            </w:pPr>
          </w:p>
        </w:tc>
      </w:tr>
      <w:tr w:rsidR="000D53D5" w:rsidRPr="000D53D5" w14:paraId="7DF5FA70" w14:textId="77777777" w:rsidTr="007D2DEC">
        <w:trPr>
          <w:trHeight w:val="810"/>
        </w:trPr>
        <w:tc>
          <w:tcPr>
            <w:tcW w:w="2800" w:type="dxa"/>
            <w:tcBorders>
              <w:top w:val="single" w:sz="5" w:space="0" w:color="000000"/>
              <w:left w:val="single" w:sz="5" w:space="0" w:color="000000"/>
              <w:bottom w:val="double" w:sz="2" w:space="0" w:color="FFFFCC"/>
              <w:right w:val="single" w:sz="5" w:space="0" w:color="000000"/>
            </w:tcBorders>
          </w:tcPr>
          <w:p w14:paraId="033EBC1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8C2974C"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7C330963"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4CFC1672"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21-71</w:t>
            </w:r>
          </w:p>
        </w:tc>
      </w:tr>
      <w:tr w:rsidR="000D53D5" w:rsidRPr="000D53D5" w14:paraId="4A65894C"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959186"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4FC9ED0" w14:textId="77777777" w:rsidR="000D53D5" w:rsidRPr="000D53D5" w:rsidRDefault="000D53D5" w:rsidP="000D53D5">
            <w:pPr>
              <w:widowControl w:val="0"/>
              <w:autoSpaceDE w:val="0"/>
              <w:autoSpaceDN w:val="0"/>
              <w:adjustRightInd w:val="0"/>
              <w:spacing w:after="0" w:line="240" w:lineRule="auto"/>
              <w:jc w:val="right"/>
              <w:rPr>
                <w:rFonts w:ascii="Arial" w:eastAsia="Times New Roman" w:hAnsi="Arial" w:cs="Arial"/>
                <w:lang w:val="en-CA" w:eastAsia="en-CA"/>
              </w:rPr>
            </w:pPr>
          </w:p>
        </w:tc>
      </w:tr>
      <w:tr w:rsidR="000D53D5" w:rsidRPr="000D53D5" w14:paraId="36844F08" w14:textId="77777777" w:rsidTr="007D2DEC">
        <w:trPr>
          <w:trHeight w:val="333"/>
        </w:trPr>
        <w:tc>
          <w:tcPr>
            <w:tcW w:w="2800" w:type="dxa"/>
            <w:tcBorders>
              <w:top w:val="single" w:sz="5" w:space="0" w:color="000000"/>
              <w:left w:val="single" w:sz="5" w:space="0" w:color="000000"/>
              <w:bottom w:val="single" w:sz="5" w:space="0" w:color="000000"/>
              <w:right w:val="single" w:sz="5" w:space="0" w:color="000000"/>
            </w:tcBorders>
          </w:tcPr>
          <w:p w14:paraId="34510C7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458F61F"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03E6CD8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8671B0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74-159</w:t>
            </w:r>
          </w:p>
        </w:tc>
      </w:tr>
      <w:tr w:rsidR="000D53D5" w:rsidRPr="000D53D5" w14:paraId="24649647" w14:textId="77777777" w:rsidTr="007D2DEC">
        <w:trPr>
          <w:trHeight w:val="568"/>
        </w:trPr>
        <w:tc>
          <w:tcPr>
            <w:tcW w:w="2800" w:type="dxa"/>
            <w:tcBorders>
              <w:top w:val="single" w:sz="5" w:space="0" w:color="000000"/>
              <w:left w:val="single" w:sz="5" w:space="0" w:color="000000"/>
              <w:bottom w:val="double" w:sz="2" w:space="0" w:color="FFFFCC"/>
              <w:right w:val="single" w:sz="5" w:space="0" w:color="000000"/>
            </w:tcBorders>
          </w:tcPr>
          <w:p w14:paraId="0CD8B2F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0554A2C"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130B618A"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Provide an explicit statement of questions being addressed with reference to participants, index test,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6A99FC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148-159</w:t>
            </w:r>
          </w:p>
        </w:tc>
      </w:tr>
      <w:tr w:rsidR="000D53D5" w:rsidRPr="000D53D5" w14:paraId="2B2D05F6"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5DF9C"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C037E5" w14:textId="77777777" w:rsidR="000D53D5" w:rsidRPr="000D53D5" w:rsidRDefault="000D53D5" w:rsidP="000D53D5">
            <w:pPr>
              <w:widowControl w:val="0"/>
              <w:autoSpaceDE w:val="0"/>
              <w:autoSpaceDN w:val="0"/>
              <w:adjustRightInd w:val="0"/>
              <w:spacing w:after="0" w:line="240" w:lineRule="auto"/>
              <w:jc w:val="right"/>
              <w:rPr>
                <w:rFonts w:ascii="Arial" w:eastAsia="Times New Roman" w:hAnsi="Arial" w:cs="Arial"/>
                <w:lang w:val="en-CA" w:eastAsia="en-CA"/>
              </w:rPr>
            </w:pPr>
          </w:p>
        </w:tc>
      </w:tr>
      <w:tr w:rsidR="000D53D5" w:rsidRPr="000D53D5" w14:paraId="42D49858"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794A89E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B9A47F4"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28C7230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A98612B"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180-186</w:t>
            </w:r>
          </w:p>
        </w:tc>
      </w:tr>
      <w:tr w:rsidR="000D53D5" w:rsidRPr="000D53D5" w14:paraId="5E660590"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70E54D32"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7CF6037"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59AAEAEE"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D039B3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225-241</w:t>
            </w:r>
          </w:p>
        </w:tc>
      </w:tr>
      <w:tr w:rsidR="000D53D5" w:rsidRPr="000D53D5" w14:paraId="13E820DD"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0AF03FD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DCD6BAD"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0CA8A68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D08C13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190-224</w:t>
            </w:r>
          </w:p>
        </w:tc>
      </w:tr>
      <w:tr w:rsidR="000D53D5" w:rsidRPr="000D53D5" w14:paraId="30938300"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4B416A4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796A472"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592F78E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D3E7823"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Attached</w:t>
            </w:r>
          </w:p>
        </w:tc>
      </w:tr>
      <w:tr w:rsidR="000D53D5" w:rsidRPr="000D53D5" w14:paraId="6763C95A"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261557E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BD984D8"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02CA231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1FB1144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242-246</w:t>
            </w:r>
          </w:p>
        </w:tc>
      </w:tr>
      <w:tr w:rsidR="000D53D5" w:rsidRPr="000D53D5" w14:paraId="1752CB85"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7A305F3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CC1421B"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0D11D52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02B471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248-250</w:t>
            </w:r>
          </w:p>
        </w:tc>
      </w:tr>
      <w:tr w:rsidR="000D53D5" w:rsidRPr="000D53D5" w14:paraId="40D3DC24"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5E566D7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4B1F5EE"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2A348201"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B6C325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255-264</w:t>
            </w:r>
          </w:p>
        </w:tc>
      </w:tr>
      <w:tr w:rsidR="000D53D5" w:rsidRPr="000D53D5" w14:paraId="1A30271C"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1AB1352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B521954"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37A2696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6CB295F7"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265-269</w:t>
            </w:r>
          </w:p>
        </w:tc>
      </w:tr>
      <w:tr w:rsidR="000D53D5" w:rsidRPr="000D53D5" w14:paraId="74153E8D" w14:textId="77777777" w:rsidTr="007D2DEC">
        <w:trPr>
          <w:trHeight w:val="333"/>
        </w:trPr>
        <w:tc>
          <w:tcPr>
            <w:tcW w:w="2800" w:type="dxa"/>
            <w:tcBorders>
              <w:top w:val="single" w:sz="5" w:space="0" w:color="000000"/>
              <w:left w:val="single" w:sz="5" w:space="0" w:color="000000"/>
              <w:bottom w:val="single" w:sz="5" w:space="0" w:color="000000"/>
              <w:right w:val="single" w:sz="5" w:space="0" w:color="000000"/>
            </w:tcBorders>
          </w:tcPr>
          <w:p w14:paraId="445912B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830FE5B"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7A9AC22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E17048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270-298</w:t>
            </w:r>
          </w:p>
        </w:tc>
      </w:tr>
      <w:tr w:rsidR="000D53D5" w:rsidRPr="000D53D5" w14:paraId="7A096D56" w14:textId="77777777" w:rsidTr="007D2DEC">
        <w:trPr>
          <w:trHeight w:val="580"/>
        </w:trPr>
        <w:tc>
          <w:tcPr>
            <w:tcW w:w="2800" w:type="dxa"/>
            <w:tcBorders>
              <w:top w:val="single" w:sz="5" w:space="0" w:color="000000"/>
              <w:left w:val="single" w:sz="5" w:space="0" w:color="000000"/>
              <w:bottom w:val="single" w:sz="5" w:space="0" w:color="000000"/>
              <w:right w:val="single" w:sz="5" w:space="0" w:color="000000"/>
            </w:tcBorders>
          </w:tcPr>
          <w:p w14:paraId="6E0D981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A8F8CEF"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101E6EB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Describe the methods of handling data and combining results of studies, if done, including measures of consistency (e.g., I</w:t>
            </w:r>
            <w:r w:rsidRPr="000D53D5">
              <w:rPr>
                <w:rFonts w:ascii="Arial" w:eastAsia="Times New Roman" w:hAnsi="Arial" w:cs="Arial"/>
                <w:vertAlign w:val="superscript"/>
                <w:lang w:val="en-CA" w:eastAsia="en-CA"/>
              </w:rPr>
              <w:t>2</w:t>
            </w:r>
            <w:r w:rsidRPr="000D53D5">
              <w:rPr>
                <w:rFonts w:ascii="Arial" w:eastAsia="Times New Roman" w:hAnsi="Arial" w:cs="Arial"/>
                <w:lang w:val="en-CA" w:eastAsia="en-CA"/>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7A8922D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299-326</w:t>
            </w:r>
          </w:p>
        </w:tc>
      </w:tr>
    </w:tbl>
    <w:p w14:paraId="56B46C1C" w14:textId="77777777" w:rsidR="000D53D5" w:rsidRPr="000D53D5" w:rsidRDefault="000D53D5" w:rsidP="000D53D5">
      <w:pPr>
        <w:widowControl w:val="0"/>
        <w:autoSpaceDE w:val="0"/>
        <w:autoSpaceDN w:val="0"/>
        <w:adjustRightInd w:val="0"/>
        <w:spacing w:after="0" w:line="240" w:lineRule="auto"/>
        <w:jc w:val="center"/>
        <w:rPr>
          <w:rFonts w:ascii="Arial" w:eastAsia="Times New Roman" w:hAnsi="Arial" w:cs="Arial"/>
          <w:lang w:val="en-CA" w:eastAsia="en-CA"/>
        </w:rPr>
      </w:pPr>
    </w:p>
    <w:p w14:paraId="62A44F5A" w14:textId="77777777" w:rsidR="000D53D5" w:rsidRPr="000D53D5" w:rsidRDefault="000D53D5" w:rsidP="000D53D5">
      <w:pPr>
        <w:widowControl w:val="0"/>
        <w:autoSpaceDE w:val="0"/>
        <w:autoSpaceDN w:val="0"/>
        <w:adjustRightInd w:val="0"/>
        <w:spacing w:after="0" w:line="240" w:lineRule="auto"/>
        <w:jc w:val="center"/>
        <w:rPr>
          <w:rFonts w:ascii="Arial" w:eastAsia="Times New Roman" w:hAnsi="Arial" w:cs="Arial"/>
          <w:lang w:val="en-CA" w:eastAsia="en-CA"/>
        </w:rPr>
      </w:pPr>
      <w:r w:rsidRPr="000D53D5">
        <w:rPr>
          <w:rFonts w:ascii="Arial" w:eastAsia="Times New Roman" w:hAnsi="Arial" w:cs="Arial"/>
          <w:lang w:val="en-CA" w:eastAsia="en-CA"/>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0D53D5" w:rsidRPr="000D53D5" w14:paraId="4084709D" w14:textId="77777777" w:rsidTr="007D2DEC">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852016"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2CD784" w14:textId="77777777" w:rsidR="000D53D5" w:rsidRPr="000D53D5" w:rsidRDefault="000D53D5" w:rsidP="000D53D5">
            <w:pPr>
              <w:widowControl w:val="0"/>
              <w:autoSpaceDE w:val="0"/>
              <w:autoSpaceDN w:val="0"/>
              <w:adjustRightInd w:val="0"/>
              <w:spacing w:after="0" w:line="240" w:lineRule="auto"/>
              <w:jc w:val="right"/>
              <w:rPr>
                <w:rFonts w:ascii="Arial" w:eastAsia="Times New Roman" w:hAnsi="Arial" w:cs="Arial"/>
                <w:lang w:val="en-CA" w:eastAsia="en-CA"/>
              </w:rPr>
            </w:pPr>
            <w:r w:rsidRPr="000D53D5">
              <w:rPr>
                <w:rFonts w:ascii="Arial" w:eastAsia="Times New Roman" w:hAnsi="Arial" w:cs="Arial"/>
                <w:b/>
                <w:bCs/>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54AF87"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4DEC050"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Reported on page # </w:t>
            </w:r>
          </w:p>
        </w:tc>
      </w:tr>
      <w:tr w:rsidR="000D53D5" w:rsidRPr="000D53D5" w14:paraId="2ACFBFAC" w14:textId="77777777" w:rsidTr="007D2DEC">
        <w:trPr>
          <w:trHeight w:val="575"/>
        </w:trPr>
        <w:tc>
          <w:tcPr>
            <w:tcW w:w="2800" w:type="dxa"/>
            <w:tcBorders>
              <w:top w:val="double" w:sz="5" w:space="0" w:color="000000"/>
              <w:left w:val="single" w:sz="5" w:space="0" w:color="000000"/>
              <w:bottom w:val="single" w:sz="5" w:space="0" w:color="000000"/>
              <w:right w:val="single" w:sz="5" w:space="0" w:color="000000"/>
            </w:tcBorders>
          </w:tcPr>
          <w:p w14:paraId="33E10FA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C23351D"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14:paraId="4DB98E7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29C8CBB"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382-396</w:t>
            </w:r>
          </w:p>
        </w:tc>
      </w:tr>
      <w:tr w:rsidR="000D53D5" w:rsidRPr="000D53D5" w14:paraId="17323456" w14:textId="77777777" w:rsidTr="007D2DEC">
        <w:trPr>
          <w:trHeight w:val="568"/>
        </w:trPr>
        <w:tc>
          <w:tcPr>
            <w:tcW w:w="2800" w:type="dxa"/>
            <w:tcBorders>
              <w:top w:val="single" w:sz="5" w:space="0" w:color="000000"/>
              <w:left w:val="single" w:sz="5" w:space="0" w:color="000000"/>
              <w:bottom w:val="double" w:sz="2" w:space="0" w:color="FFFFCC"/>
              <w:right w:val="single" w:sz="5" w:space="0" w:color="000000"/>
            </w:tcBorders>
          </w:tcPr>
          <w:p w14:paraId="7EF8E5E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D97ABA7"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14:paraId="2EA0E11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6CE7E467"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463-488</w:t>
            </w:r>
          </w:p>
        </w:tc>
      </w:tr>
      <w:tr w:rsidR="000D53D5" w:rsidRPr="000D53D5" w14:paraId="0C804663"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0E96E3"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6BF85E3" w14:textId="77777777" w:rsidR="000D53D5" w:rsidRPr="000D53D5" w:rsidRDefault="000D53D5" w:rsidP="000D53D5">
            <w:pPr>
              <w:widowControl w:val="0"/>
              <w:autoSpaceDE w:val="0"/>
              <w:autoSpaceDN w:val="0"/>
              <w:adjustRightInd w:val="0"/>
              <w:spacing w:after="0" w:line="240" w:lineRule="auto"/>
              <w:jc w:val="center"/>
              <w:rPr>
                <w:rFonts w:ascii="Arial" w:eastAsia="Times New Roman" w:hAnsi="Arial" w:cs="Arial"/>
                <w:lang w:val="en-CA" w:eastAsia="en-CA"/>
              </w:rPr>
            </w:pPr>
          </w:p>
        </w:tc>
      </w:tr>
      <w:tr w:rsidR="000D53D5" w:rsidRPr="000D53D5" w14:paraId="22D18767"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3018ED2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74FAD71"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14:paraId="56BD9693"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2466D07"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242-246 and 895-943</w:t>
            </w:r>
          </w:p>
        </w:tc>
      </w:tr>
      <w:tr w:rsidR="000D53D5" w:rsidRPr="000D53D5" w14:paraId="2C34D1B9"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5B44366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2E92D1E"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14:paraId="2674CE3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A17C03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255-256 and 889-894</w:t>
            </w:r>
          </w:p>
        </w:tc>
      </w:tr>
      <w:tr w:rsidR="000D53D5" w:rsidRPr="000D53D5" w14:paraId="14D9FFF4" w14:textId="77777777" w:rsidTr="007D2DEC">
        <w:trPr>
          <w:trHeight w:val="333"/>
        </w:trPr>
        <w:tc>
          <w:tcPr>
            <w:tcW w:w="2800" w:type="dxa"/>
            <w:tcBorders>
              <w:top w:val="single" w:sz="5" w:space="0" w:color="000000"/>
              <w:left w:val="single" w:sz="5" w:space="0" w:color="000000"/>
              <w:bottom w:val="single" w:sz="5" w:space="0" w:color="000000"/>
              <w:right w:val="single" w:sz="5" w:space="0" w:color="000000"/>
            </w:tcBorders>
          </w:tcPr>
          <w:p w14:paraId="015E695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DFC2538"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14:paraId="6D2C9D6C"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3A039E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265-269 and 463-488</w:t>
            </w:r>
          </w:p>
        </w:tc>
      </w:tr>
      <w:tr w:rsidR="000D53D5" w:rsidRPr="000D53D5" w14:paraId="733192A0"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0A3CED7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E6F9093"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14:paraId="790A5222"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BFDD06C"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292-452 and 998-1026</w:t>
            </w:r>
          </w:p>
        </w:tc>
      </w:tr>
      <w:tr w:rsidR="000D53D5" w:rsidRPr="000D53D5" w14:paraId="7A45E561" w14:textId="77777777" w:rsidTr="007D2DEC">
        <w:trPr>
          <w:trHeight w:val="335"/>
        </w:trPr>
        <w:tc>
          <w:tcPr>
            <w:tcW w:w="2800" w:type="dxa"/>
            <w:tcBorders>
              <w:top w:val="single" w:sz="5" w:space="0" w:color="000000"/>
              <w:left w:val="single" w:sz="5" w:space="0" w:color="000000"/>
              <w:bottom w:val="single" w:sz="5" w:space="0" w:color="000000"/>
              <w:right w:val="single" w:sz="5" w:space="0" w:color="000000"/>
            </w:tcBorders>
          </w:tcPr>
          <w:p w14:paraId="4FD30AB2"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E4E3131"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14:paraId="48C21F8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A4092A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highlight w:val="yellow"/>
                <w:lang w:val="en-CA" w:eastAsia="en-CA"/>
              </w:rPr>
            </w:pPr>
            <w:r w:rsidRPr="000D53D5">
              <w:rPr>
                <w:rFonts w:ascii="Arial" w:eastAsia="Times New Roman" w:hAnsi="Arial" w:cs="Arial"/>
                <w:lang w:val="en-CA" w:eastAsia="en-CA"/>
              </w:rPr>
              <w:t>270-298</w:t>
            </w:r>
          </w:p>
        </w:tc>
      </w:tr>
      <w:tr w:rsidR="000D53D5" w:rsidRPr="000D53D5" w14:paraId="76C6069C" w14:textId="77777777" w:rsidTr="007D2DEC">
        <w:trPr>
          <w:trHeight w:val="333"/>
        </w:trPr>
        <w:tc>
          <w:tcPr>
            <w:tcW w:w="2800" w:type="dxa"/>
            <w:tcBorders>
              <w:top w:val="single" w:sz="5" w:space="0" w:color="000000"/>
              <w:left w:val="single" w:sz="5" w:space="0" w:color="000000"/>
              <w:bottom w:val="single" w:sz="5" w:space="0" w:color="000000"/>
              <w:right w:val="single" w:sz="5" w:space="0" w:color="000000"/>
            </w:tcBorders>
          </w:tcPr>
          <w:p w14:paraId="667DB19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F13220E"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14:paraId="1C0E6D5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708699C5"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highlight w:val="yellow"/>
                <w:lang w:val="en-CA" w:eastAsia="en-CA"/>
              </w:rPr>
            </w:pPr>
            <w:r w:rsidRPr="000D53D5">
              <w:rPr>
                <w:rFonts w:ascii="Arial" w:eastAsia="Times New Roman" w:hAnsi="Arial" w:cs="Arial"/>
                <w:lang w:val="en-CA" w:eastAsia="en-CA"/>
              </w:rPr>
              <w:t>382-396</w:t>
            </w:r>
          </w:p>
        </w:tc>
      </w:tr>
      <w:tr w:rsidR="000D53D5" w:rsidRPr="000D53D5" w14:paraId="026B1A7F" w14:textId="77777777" w:rsidTr="007D2DEC">
        <w:trPr>
          <w:trHeight w:val="393"/>
        </w:trPr>
        <w:tc>
          <w:tcPr>
            <w:tcW w:w="2800" w:type="dxa"/>
            <w:tcBorders>
              <w:top w:val="single" w:sz="5" w:space="0" w:color="000000"/>
              <w:left w:val="single" w:sz="5" w:space="0" w:color="000000"/>
              <w:bottom w:val="double" w:sz="2" w:space="0" w:color="FFFFCC"/>
              <w:right w:val="single" w:sz="5" w:space="0" w:color="000000"/>
            </w:tcBorders>
          </w:tcPr>
          <w:p w14:paraId="25F88C2E"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B267DC7"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14:paraId="1EB4168F"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DD22890"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463-488</w:t>
            </w:r>
          </w:p>
        </w:tc>
      </w:tr>
      <w:tr w:rsidR="000D53D5" w:rsidRPr="000D53D5" w14:paraId="684B8BB4" w14:textId="77777777" w:rsidTr="007D2D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E4291D"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90A3979" w14:textId="77777777" w:rsidR="000D53D5" w:rsidRPr="000D53D5" w:rsidRDefault="000D53D5" w:rsidP="000D53D5">
            <w:pPr>
              <w:widowControl w:val="0"/>
              <w:autoSpaceDE w:val="0"/>
              <w:autoSpaceDN w:val="0"/>
              <w:adjustRightInd w:val="0"/>
              <w:spacing w:after="0" w:line="240" w:lineRule="auto"/>
              <w:jc w:val="center"/>
              <w:rPr>
                <w:rFonts w:ascii="Arial" w:eastAsia="Times New Roman" w:hAnsi="Arial" w:cs="Arial"/>
                <w:lang w:val="en-CA" w:eastAsia="en-CA"/>
              </w:rPr>
            </w:pPr>
          </w:p>
        </w:tc>
      </w:tr>
      <w:tr w:rsidR="000D53D5" w:rsidRPr="000D53D5" w14:paraId="7A31132C"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353B73CC"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4D6392B"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14:paraId="695BFB37"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8C14998"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487-540</w:t>
            </w:r>
          </w:p>
        </w:tc>
      </w:tr>
      <w:tr w:rsidR="000D53D5" w:rsidRPr="000D53D5" w14:paraId="03EFF8F4" w14:textId="77777777" w:rsidTr="007D2DEC">
        <w:trPr>
          <w:trHeight w:val="578"/>
        </w:trPr>
        <w:tc>
          <w:tcPr>
            <w:tcW w:w="2800" w:type="dxa"/>
            <w:tcBorders>
              <w:top w:val="single" w:sz="5" w:space="0" w:color="000000"/>
              <w:left w:val="single" w:sz="5" w:space="0" w:color="000000"/>
              <w:bottom w:val="single" w:sz="5" w:space="0" w:color="000000"/>
              <w:right w:val="single" w:sz="5" w:space="0" w:color="000000"/>
            </w:tcBorders>
          </w:tcPr>
          <w:p w14:paraId="47B97FB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265455B"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14:paraId="72227E8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05D3CBD"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541-575</w:t>
            </w:r>
          </w:p>
        </w:tc>
      </w:tr>
      <w:tr w:rsidR="000D53D5" w:rsidRPr="000D53D5" w14:paraId="566894F1" w14:textId="77777777" w:rsidTr="007D2DEC">
        <w:trPr>
          <w:trHeight w:val="420"/>
        </w:trPr>
        <w:tc>
          <w:tcPr>
            <w:tcW w:w="2800" w:type="dxa"/>
            <w:tcBorders>
              <w:top w:val="single" w:sz="5" w:space="0" w:color="000000"/>
              <w:left w:val="single" w:sz="5" w:space="0" w:color="000000"/>
              <w:bottom w:val="double" w:sz="2" w:space="0" w:color="FFFFCC"/>
              <w:right w:val="single" w:sz="5" w:space="0" w:color="000000"/>
            </w:tcBorders>
          </w:tcPr>
          <w:p w14:paraId="282E576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4DBA4B9"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14:paraId="494AF751"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5BFEBB69"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576-600</w:t>
            </w:r>
          </w:p>
        </w:tc>
      </w:tr>
      <w:tr w:rsidR="000D53D5" w:rsidRPr="000D53D5" w14:paraId="584F6FB6" w14:textId="77777777" w:rsidTr="007D2DEC">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26CDAD"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r w:rsidRPr="000D53D5">
              <w:rPr>
                <w:rFonts w:ascii="Arial" w:eastAsia="Times New Roman" w:hAnsi="Arial" w:cs="Arial"/>
                <w:b/>
                <w:bCs/>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CAD1D72" w14:textId="77777777" w:rsidR="000D53D5" w:rsidRPr="000D53D5" w:rsidRDefault="000D53D5" w:rsidP="000D53D5">
            <w:pPr>
              <w:widowControl w:val="0"/>
              <w:autoSpaceDE w:val="0"/>
              <w:autoSpaceDN w:val="0"/>
              <w:adjustRightInd w:val="0"/>
              <w:spacing w:after="0" w:line="240" w:lineRule="auto"/>
              <w:jc w:val="center"/>
              <w:rPr>
                <w:rFonts w:ascii="Arial" w:eastAsia="Times New Roman" w:hAnsi="Arial" w:cs="Arial"/>
                <w:lang w:val="en-CA" w:eastAsia="en-CA"/>
              </w:rPr>
            </w:pPr>
          </w:p>
        </w:tc>
      </w:tr>
      <w:tr w:rsidR="000D53D5" w:rsidRPr="000D53D5" w14:paraId="6928A3BC" w14:textId="77777777" w:rsidTr="007D2DEC">
        <w:trPr>
          <w:trHeight w:val="570"/>
        </w:trPr>
        <w:tc>
          <w:tcPr>
            <w:tcW w:w="2800" w:type="dxa"/>
            <w:tcBorders>
              <w:top w:val="single" w:sz="5" w:space="0" w:color="000000"/>
              <w:left w:val="single" w:sz="5" w:space="0" w:color="000000"/>
              <w:bottom w:val="double" w:sz="5" w:space="0" w:color="000000"/>
              <w:right w:val="single" w:sz="5" w:space="0" w:color="000000"/>
            </w:tcBorders>
          </w:tcPr>
          <w:p w14:paraId="7A7D7606"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3A25CD60" w14:textId="77777777" w:rsidR="000D53D5" w:rsidRPr="000D53D5" w:rsidRDefault="000D53D5" w:rsidP="000D53D5">
            <w:pPr>
              <w:widowControl w:val="0"/>
              <w:autoSpaceDE w:val="0"/>
              <w:autoSpaceDN w:val="0"/>
              <w:adjustRightInd w:val="0"/>
              <w:spacing w:before="40" w:after="40" w:line="240" w:lineRule="auto"/>
              <w:jc w:val="right"/>
              <w:rPr>
                <w:rFonts w:ascii="Arial" w:eastAsia="Times New Roman" w:hAnsi="Arial" w:cs="Arial"/>
                <w:lang w:val="en-CA" w:eastAsia="en-CA"/>
              </w:rPr>
            </w:pPr>
            <w:r w:rsidRPr="000D53D5">
              <w:rPr>
                <w:rFonts w:ascii="Arial" w:eastAsia="Times New Roman" w:hAnsi="Arial" w:cs="Arial"/>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14:paraId="5744A5D4"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F9A9A91" w14:textId="77777777" w:rsidR="000D53D5" w:rsidRPr="000D53D5" w:rsidRDefault="000D53D5" w:rsidP="000D53D5">
            <w:pPr>
              <w:widowControl w:val="0"/>
              <w:autoSpaceDE w:val="0"/>
              <w:autoSpaceDN w:val="0"/>
              <w:adjustRightInd w:val="0"/>
              <w:spacing w:before="40" w:after="40" w:line="240" w:lineRule="auto"/>
              <w:rPr>
                <w:rFonts w:ascii="Arial" w:eastAsia="Times New Roman" w:hAnsi="Arial" w:cs="Arial"/>
                <w:lang w:val="en-CA" w:eastAsia="en-CA"/>
              </w:rPr>
            </w:pPr>
            <w:r w:rsidRPr="000D53D5">
              <w:rPr>
                <w:rFonts w:ascii="Arial" w:eastAsia="Times New Roman" w:hAnsi="Arial" w:cs="Arial"/>
                <w:lang w:val="en-CA" w:eastAsia="en-CA"/>
              </w:rPr>
              <w:t>617-618</w:t>
            </w:r>
          </w:p>
        </w:tc>
      </w:tr>
    </w:tbl>
    <w:p w14:paraId="571E5543" w14:textId="77777777" w:rsidR="000D53D5" w:rsidRPr="000D53D5" w:rsidRDefault="000D53D5" w:rsidP="000D53D5">
      <w:pPr>
        <w:widowControl w:val="0"/>
        <w:autoSpaceDE w:val="0"/>
        <w:autoSpaceDN w:val="0"/>
        <w:adjustRightInd w:val="0"/>
        <w:spacing w:after="0" w:line="240" w:lineRule="auto"/>
        <w:rPr>
          <w:rFonts w:ascii="Arial" w:eastAsia="Times New Roman" w:hAnsi="Arial" w:cs="Arial"/>
          <w:lang w:val="en-CA" w:eastAsia="en-CA"/>
        </w:rPr>
      </w:pPr>
    </w:p>
    <w:p w14:paraId="41B9CFBE" w14:textId="77777777" w:rsidR="000D53D5" w:rsidRPr="000D53D5" w:rsidRDefault="000D53D5" w:rsidP="000D53D5">
      <w:pPr>
        <w:widowControl w:val="0"/>
        <w:autoSpaceDE w:val="0"/>
        <w:autoSpaceDN w:val="0"/>
        <w:adjustRightInd w:val="0"/>
        <w:spacing w:after="0" w:line="183" w:lineRule="atLeast"/>
        <w:jc w:val="both"/>
        <w:rPr>
          <w:rFonts w:ascii="Arial" w:eastAsia="Times New Roman" w:hAnsi="Arial" w:cs="Arial"/>
          <w:lang w:val="da-DK" w:eastAsia="en-CA"/>
        </w:rPr>
      </w:pPr>
      <w:r w:rsidRPr="000D53D5">
        <w:rPr>
          <w:rFonts w:ascii="Arial" w:eastAsia="Times New Roman" w:hAnsi="Arial" w:cs="Arial"/>
          <w:i/>
          <w:iCs/>
          <w:lang w:val="en-CA" w:eastAsia="en-CA"/>
        </w:rPr>
        <w:t xml:space="preserve">From: </w:t>
      </w:r>
      <w:r w:rsidRPr="000D53D5">
        <w:rPr>
          <w:rFonts w:ascii="Arial" w:eastAsia="Times New Roman" w:hAnsi="Arial" w:cs="Arial"/>
          <w:lang w:val="en-CA" w:eastAsia="en-CA"/>
        </w:rPr>
        <w:t xml:space="preserve"> Moher D, Liberati A, Tetzlaff J, Altman DG, The PRISMA Group (2009). Preferred Reporting Items for Systematic Reviews and Meta-Analyses: The PRISMA Statement. </w:t>
      </w:r>
      <w:r w:rsidRPr="000D53D5">
        <w:rPr>
          <w:rFonts w:ascii="Arial" w:eastAsia="Times New Roman" w:hAnsi="Arial" w:cs="Arial"/>
          <w:lang w:val="da-DK" w:eastAsia="en-CA"/>
        </w:rPr>
        <w:t xml:space="preserve">PLoS Med 6(6): e1000097. doi:10.1371/journal.pmed1000097 </w:t>
      </w:r>
    </w:p>
    <w:p w14:paraId="10639527" w14:textId="77777777" w:rsidR="000D53D5" w:rsidRPr="000D53D5" w:rsidRDefault="000D53D5" w:rsidP="000D53D5">
      <w:pPr>
        <w:widowControl w:val="0"/>
        <w:autoSpaceDE w:val="0"/>
        <w:autoSpaceDN w:val="0"/>
        <w:adjustRightInd w:val="0"/>
        <w:spacing w:after="130" w:line="240" w:lineRule="auto"/>
        <w:jc w:val="center"/>
        <w:rPr>
          <w:rFonts w:ascii="Arial" w:eastAsia="Times New Roman" w:hAnsi="Arial" w:cs="Arial"/>
          <w:color w:val="000000"/>
          <w:lang w:val="da-DK" w:eastAsia="en-CA"/>
        </w:rPr>
      </w:pPr>
      <w:r w:rsidRPr="000D53D5">
        <w:rPr>
          <w:rFonts w:ascii="Arial" w:eastAsia="Times New Roman" w:hAnsi="Arial" w:cs="Arial"/>
          <w:color w:val="333399"/>
          <w:lang w:val="en-CA" w:eastAsia="en-CA"/>
        </w:rPr>
        <w:t>For more information, visit:</w:t>
      </w:r>
      <w:r w:rsidRPr="000D53D5">
        <w:rPr>
          <w:rFonts w:ascii="Arial" w:eastAsia="Times New Roman" w:hAnsi="Arial" w:cs="Arial"/>
          <w:color w:val="000000"/>
          <w:lang w:val="da-DK" w:eastAsia="en-CA"/>
        </w:rPr>
        <w:t xml:space="preserve"> </w:t>
      </w:r>
      <w:r w:rsidRPr="000D53D5">
        <w:rPr>
          <w:rFonts w:ascii="Arial" w:eastAsia="Times New Roman" w:hAnsi="Arial" w:cs="Arial"/>
          <w:b/>
          <w:bCs/>
          <w:color w:val="0063FF"/>
          <w:u w:val="single"/>
          <w:lang w:val="da-DK" w:eastAsia="en-CA"/>
        </w:rPr>
        <w:t>www.prisma-statement.org</w:t>
      </w:r>
      <w:r w:rsidRPr="000D53D5">
        <w:rPr>
          <w:rFonts w:ascii="Arial" w:eastAsia="Times New Roman" w:hAnsi="Arial" w:cs="Arial"/>
          <w:color w:val="000000"/>
          <w:lang w:val="da-DK" w:eastAsia="en-CA"/>
        </w:rPr>
        <w:t xml:space="preserve">. </w:t>
      </w:r>
    </w:p>
    <w:p w14:paraId="575DA693" w14:textId="77777777" w:rsidR="000D53D5" w:rsidRPr="000D53D5" w:rsidRDefault="000D53D5" w:rsidP="000D53D5">
      <w:pPr>
        <w:widowControl w:val="0"/>
        <w:autoSpaceDE w:val="0"/>
        <w:autoSpaceDN w:val="0"/>
        <w:adjustRightInd w:val="0"/>
        <w:spacing w:after="0" w:line="183" w:lineRule="atLeast"/>
        <w:jc w:val="center"/>
        <w:rPr>
          <w:rFonts w:ascii="Arial" w:eastAsia="Times New Roman" w:hAnsi="Arial" w:cs="Arial"/>
          <w:color w:val="000000"/>
          <w:lang w:val="en-CA" w:eastAsia="en-CA"/>
        </w:rPr>
      </w:pPr>
      <w:r w:rsidRPr="000D53D5">
        <w:rPr>
          <w:rFonts w:ascii="Arial" w:eastAsia="Times New Roman" w:hAnsi="Arial" w:cs="Arial"/>
          <w:color w:val="000000"/>
          <w:lang w:val="en-CA" w:eastAsia="en-CA"/>
        </w:rPr>
        <w:t xml:space="preserve">Page 2 of 2 </w:t>
      </w:r>
    </w:p>
    <w:p w14:paraId="3ECC3217" w14:textId="77777777" w:rsidR="000D53D5" w:rsidRPr="000D53D5" w:rsidRDefault="000D53D5" w:rsidP="000D53D5">
      <w:pPr>
        <w:rPr>
          <w:rFonts w:ascii="Arial" w:hAnsi="Arial" w:cs="Arial"/>
          <w:b/>
          <w:bCs/>
        </w:rPr>
      </w:pPr>
    </w:p>
    <w:bookmarkEnd w:id="1"/>
    <w:p w14:paraId="3AAA6A48" w14:textId="77777777" w:rsidR="000D53D5" w:rsidRPr="000D53D5" w:rsidRDefault="000D53D5" w:rsidP="000D53D5">
      <w:pPr>
        <w:rPr>
          <w:rFonts w:ascii="Arial" w:hAnsi="Arial" w:cs="Arial"/>
        </w:rPr>
      </w:pPr>
    </w:p>
    <w:p w14:paraId="3D2D3082" w14:textId="77777777" w:rsidR="00FC0C13" w:rsidRDefault="00FC0C13" w:rsidP="009E1CE6">
      <w:pPr>
        <w:rPr>
          <w:b/>
          <w:bCs/>
          <w:sz w:val="24"/>
          <w:szCs w:val="24"/>
        </w:rPr>
        <w:sectPr w:rsidR="00FC0C13" w:rsidSect="00613451">
          <w:footerReference w:type="default" r:id="rId8"/>
          <w:pgSz w:w="16838" w:h="11906" w:orient="landscape"/>
          <w:pgMar w:top="1440" w:right="1440" w:bottom="1440" w:left="1440" w:header="709" w:footer="709" w:gutter="0"/>
          <w:cols w:space="708"/>
          <w:titlePg/>
          <w:docGrid w:linePitch="360"/>
        </w:sectPr>
      </w:pPr>
    </w:p>
    <w:p w14:paraId="30F1B1F2" w14:textId="77777777" w:rsidR="009E1CE6" w:rsidRPr="009E1CE6" w:rsidRDefault="009E1CE6" w:rsidP="009E1CE6">
      <w:pPr>
        <w:rPr>
          <w:b/>
          <w:bCs/>
          <w:sz w:val="24"/>
          <w:szCs w:val="24"/>
        </w:rPr>
      </w:pPr>
      <w:bookmarkStart w:id="3" w:name="_Hlk60085770"/>
      <w:r w:rsidRPr="009E1CE6">
        <w:rPr>
          <w:b/>
          <w:bCs/>
          <w:sz w:val="24"/>
          <w:szCs w:val="24"/>
        </w:rPr>
        <w:lastRenderedPageBreak/>
        <w:t>Additional file 2:</w:t>
      </w:r>
    </w:p>
    <w:p w14:paraId="43444EE1" w14:textId="77777777" w:rsidR="009E1CE6" w:rsidRPr="009E1CE6" w:rsidRDefault="009E1CE6" w:rsidP="009E1CE6">
      <w:pPr>
        <w:shd w:val="clear" w:color="auto" w:fill="FFFFFF"/>
        <w:spacing w:after="60" w:line="210" w:lineRule="atLeast"/>
        <w:rPr>
          <w:rFonts w:eastAsia="Times New Roman" w:cstheme="minorHAnsi"/>
          <w:sz w:val="24"/>
          <w:szCs w:val="24"/>
          <w:lang w:eastAsia="en-GB"/>
        </w:rPr>
      </w:pPr>
    </w:p>
    <w:p w14:paraId="2E92EFE5" w14:textId="77777777" w:rsidR="009E1CE6" w:rsidRPr="009E1CE6" w:rsidRDefault="009E1CE6" w:rsidP="009E1CE6">
      <w:pPr>
        <w:spacing w:after="0" w:line="360" w:lineRule="auto"/>
        <w:jc w:val="both"/>
        <w:rPr>
          <w:rFonts w:eastAsia="Arial" w:cstheme="minorHAnsi"/>
          <w:b/>
          <w:sz w:val="32"/>
          <w:szCs w:val="32"/>
        </w:rPr>
      </w:pPr>
      <w:r w:rsidRPr="009E1CE6">
        <w:rPr>
          <w:rFonts w:eastAsia="Arial" w:cstheme="minorHAnsi"/>
          <w:b/>
          <w:sz w:val="32"/>
          <w:szCs w:val="32"/>
        </w:rPr>
        <w:t>ADDITIONAL FILE 2: Search strategy</w:t>
      </w:r>
    </w:p>
    <w:bookmarkEnd w:id="3"/>
    <w:p w14:paraId="5609FC15" w14:textId="77777777" w:rsidR="009E1CE6" w:rsidRPr="009E1CE6" w:rsidRDefault="009E1CE6" w:rsidP="009E1CE6">
      <w:pPr>
        <w:spacing w:after="0" w:line="360" w:lineRule="auto"/>
        <w:jc w:val="both"/>
        <w:rPr>
          <w:rFonts w:eastAsia="Arial" w:cstheme="minorHAnsi"/>
          <w:b/>
          <w:sz w:val="24"/>
          <w:szCs w:val="24"/>
        </w:rPr>
      </w:pPr>
      <w:r w:rsidRPr="009E1CE6">
        <w:rPr>
          <w:rFonts w:cstheme="minorHAnsi"/>
          <w:sz w:val="24"/>
          <w:szCs w:val="24"/>
        </w:rPr>
        <w:t>The following Medline via PubMed search algorithm will be translated to EMBASE</w:t>
      </w:r>
      <w:r w:rsidRPr="009E1CE6">
        <w:rPr>
          <w:rFonts w:eastAsia="Arial" w:cstheme="minorHAnsi"/>
          <w:b/>
          <w:sz w:val="24"/>
          <w:szCs w:val="24"/>
        </w:rPr>
        <w:t>:</w:t>
      </w:r>
    </w:p>
    <w:p w14:paraId="58188DF0" w14:textId="77777777" w:rsidR="009E1CE6" w:rsidRPr="009E1CE6" w:rsidRDefault="009E1CE6" w:rsidP="009E1CE6">
      <w:pPr>
        <w:shd w:val="clear" w:color="auto" w:fill="FFFFFF"/>
        <w:spacing w:after="60" w:line="210" w:lineRule="atLeast"/>
        <w:rPr>
          <w:rFonts w:cstheme="minorHAnsi"/>
          <w:sz w:val="24"/>
          <w:szCs w:val="24"/>
        </w:rPr>
      </w:pPr>
      <w:r w:rsidRPr="009E1CE6">
        <w:rPr>
          <w:rStyle w:val="apple-converted-space"/>
          <w:rFonts w:cstheme="minorHAnsi"/>
          <w:sz w:val="24"/>
          <w:szCs w:val="24"/>
        </w:rPr>
        <w:t>1.</w:t>
      </w:r>
      <w:r w:rsidRPr="009E1CE6">
        <w:rPr>
          <w:rFonts w:cstheme="minorHAnsi"/>
          <w:sz w:val="24"/>
          <w:szCs w:val="24"/>
        </w:rPr>
        <w:t xml:space="preserve"> (</w:t>
      </w:r>
      <w:r w:rsidRPr="009E1CE6">
        <w:rPr>
          <w:rFonts w:eastAsia="Times New Roman" w:cstheme="minorHAnsi"/>
          <w:sz w:val="24"/>
          <w:szCs w:val="24"/>
          <w:lang w:eastAsia="en-GB"/>
        </w:rPr>
        <w:t>"tuberculosis"</w:t>
      </w:r>
      <w:r w:rsidRPr="009E1CE6">
        <w:rPr>
          <w:rFonts w:cstheme="minorHAnsi"/>
          <w:sz w:val="24"/>
          <w:szCs w:val="24"/>
        </w:rPr>
        <w:t xml:space="preserve">) </w:t>
      </w:r>
      <w:r w:rsidRPr="009E1CE6">
        <w:rPr>
          <w:rFonts w:eastAsia="Times New Roman" w:cstheme="minorHAnsi"/>
          <w:sz w:val="24"/>
          <w:szCs w:val="24"/>
          <w:lang w:eastAsia="en-GB"/>
        </w:rPr>
        <w:t>ti,ab </w:t>
      </w:r>
    </w:p>
    <w:p w14:paraId="410A2800" w14:textId="77777777" w:rsidR="009E1CE6" w:rsidRPr="009E1CE6" w:rsidRDefault="009E1CE6" w:rsidP="009E1CE6">
      <w:pPr>
        <w:pStyle w:val="simplepara"/>
        <w:shd w:val="clear" w:color="auto" w:fill="FFFFFF"/>
        <w:spacing w:before="0" w:beforeAutospacing="0" w:after="180" w:afterAutospacing="0" w:line="360" w:lineRule="atLeast"/>
        <w:rPr>
          <w:rFonts w:asciiTheme="minorHAnsi" w:hAnsiTheme="minorHAnsi" w:cstheme="minorHAnsi"/>
        </w:rPr>
      </w:pPr>
      <w:r w:rsidRPr="009E1CE6">
        <w:rPr>
          <w:rFonts w:asciiTheme="minorHAnsi" w:hAnsiTheme="minorHAnsi" w:cstheme="minorHAnsi"/>
        </w:rPr>
        <w:t>2. (mycobacterium tuberculosis) ti,ab </w:t>
      </w:r>
    </w:p>
    <w:p w14:paraId="3DAD4C7C"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3. (extrapulmonary tuberculosis) ti,ab </w:t>
      </w:r>
    </w:p>
    <w:p w14:paraId="3C5C0BA3"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4. (pulmonary tuberculosis) ti,ab </w:t>
      </w:r>
    </w:p>
    <w:p w14:paraId="323736D8"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5. (paediatric tuberculosis) ti,ab</w:t>
      </w:r>
    </w:p>
    <w:p w14:paraId="0B3FD304"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6. 1 OR 2 OR 3 OR 4 OR 5 </w:t>
      </w:r>
    </w:p>
    <w:p w14:paraId="2A8EEC10"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7. ("Real-time polymerase chain reaction") ti,ab</w:t>
      </w:r>
    </w:p>
    <w:p w14:paraId="4802F0B6"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 xml:space="preserve">8. (real-time pcr) ti,ab </w:t>
      </w:r>
    </w:p>
    <w:p w14:paraId="33D95A39"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9. (real-time pcr assay) ti,ab </w:t>
      </w:r>
    </w:p>
    <w:p w14:paraId="346709F6"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10. ("rt-pcr") ti,ab</w:t>
      </w:r>
    </w:p>
    <w:p w14:paraId="6FF5E041"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11. ("Nucleic Acid Amplification Test") ti,ab</w:t>
      </w:r>
    </w:p>
    <w:p w14:paraId="46A91F2A"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12. ("NAAT") ti,ab</w:t>
      </w:r>
    </w:p>
    <w:p w14:paraId="611D6A58"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13. 7 OR 8 OR 9 OR 10 OR 11 OR 12</w:t>
      </w:r>
    </w:p>
    <w:p w14:paraId="408594E0"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14. ("culture-based media") ti,ab</w:t>
      </w:r>
    </w:p>
    <w:p w14:paraId="5FAD2639"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15. (culture-based assay) ti,ab</w:t>
      </w:r>
    </w:p>
    <w:p w14:paraId="10A0322D" w14:textId="77777777" w:rsidR="009E1CE6" w:rsidRPr="009E1CE6" w:rsidRDefault="009E1CE6" w:rsidP="009E1CE6">
      <w:pPr>
        <w:pStyle w:val="simplepara"/>
        <w:shd w:val="clear" w:color="auto" w:fill="FFFFFF"/>
        <w:spacing w:before="180" w:beforeAutospacing="0" w:after="0" w:afterAutospacing="0" w:line="360" w:lineRule="atLeast"/>
        <w:rPr>
          <w:rFonts w:asciiTheme="minorHAnsi" w:hAnsiTheme="minorHAnsi" w:cstheme="minorHAnsi"/>
        </w:rPr>
      </w:pPr>
      <w:r w:rsidRPr="009E1CE6">
        <w:rPr>
          <w:rFonts w:asciiTheme="minorHAnsi" w:hAnsiTheme="minorHAnsi" w:cstheme="minorHAnsi"/>
        </w:rPr>
        <w:t>16. ("liquid media") ti,ab</w:t>
      </w:r>
    </w:p>
    <w:p w14:paraId="6CB1972D" w14:textId="77777777" w:rsidR="009E1CE6" w:rsidRPr="009E1CE6" w:rsidRDefault="009E1CE6" w:rsidP="009E1CE6">
      <w:pPr>
        <w:shd w:val="clear" w:color="auto" w:fill="FFFFFF"/>
        <w:spacing w:after="60" w:line="210" w:lineRule="atLeast"/>
        <w:rPr>
          <w:rFonts w:eastAsia="Times New Roman" w:cstheme="minorHAnsi"/>
          <w:sz w:val="24"/>
          <w:szCs w:val="24"/>
          <w:lang w:eastAsia="en-GB"/>
        </w:rPr>
      </w:pPr>
    </w:p>
    <w:p w14:paraId="74018757" w14:textId="77777777" w:rsidR="009E1CE6" w:rsidRPr="009E1CE6" w:rsidRDefault="009E1CE6" w:rsidP="009E1CE6">
      <w:pPr>
        <w:pStyle w:val="simplepara"/>
        <w:shd w:val="clear" w:color="auto" w:fill="FFFFFF"/>
        <w:spacing w:before="0" w:beforeAutospacing="0" w:after="180" w:afterAutospacing="0" w:line="360" w:lineRule="atLeast"/>
        <w:rPr>
          <w:rFonts w:asciiTheme="minorHAnsi" w:hAnsiTheme="minorHAnsi" w:cstheme="minorHAnsi"/>
        </w:rPr>
      </w:pPr>
      <w:r w:rsidRPr="009E1CE6">
        <w:rPr>
          <w:rFonts w:asciiTheme="minorHAnsi" w:hAnsiTheme="minorHAnsi" w:cstheme="minorHAnsi"/>
        </w:rPr>
        <w:t>17. ("solid media") ti,ab</w:t>
      </w:r>
    </w:p>
    <w:p w14:paraId="79B20751" w14:textId="77777777" w:rsidR="009E1CE6" w:rsidRPr="009E1CE6" w:rsidRDefault="009E1CE6" w:rsidP="009E1CE6">
      <w:pPr>
        <w:pStyle w:val="simplepara"/>
        <w:shd w:val="clear" w:color="auto" w:fill="FFFFFF"/>
        <w:spacing w:before="0" w:beforeAutospacing="0" w:after="180" w:afterAutospacing="0" w:line="360" w:lineRule="atLeast"/>
        <w:rPr>
          <w:rFonts w:asciiTheme="minorHAnsi" w:hAnsiTheme="minorHAnsi" w:cstheme="minorHAnsi"/>
        </w:rPr>
      </w:pPr>
      <w:r w:rsidRPr="009E1CE6">
        <w:rPr>
          <w:rFonts w:asciiTheme="minorHAnsi" w:hAnsiTheme="minorHAnsi" w:cstheme="minorHAnsi"/>
        </w:rPr>
        <w:t xml:space="preserve">18. 14 OR 15 OR 16 OR 17 </w:t>
      </w:r>
    </w:p>
    <w:p w14:paraId="3DCFB23A" w14:textId="77777777" w:rsidR="009E1CE6" w:rsidRPr="009E1CE6" w:rsidRDefault="009E1CE6" w:rsidP="009E1CE6">
      <w:pPr>
        <w:pStyle w:val="simplepara"/>
        <w:shd w:val="clear" w:color="auto" w:fill="FFFFFF"/>
        <w:spacing w:before="0" w:beforeAutospacing="0" w:after="180" w:afterAutospacing="0" w:line="360" w:lineRule="atLeast"/>
        <w:rPr>
          <w:rFonts w:asciiTheme="minorHAnsi" w:hAnsiTheme="minorHAnsi" w:cstheme="minorHAnsi"/>
        </w:rPr>
      </w:pPr>
      <w:r w:rsidRPr="009E1CE6">
        <w:rPr>
          <w:rFonts w:asciiTheme="minorHAnsi" w:hAnsiTheme="minorHAnsi" w:cstheme="minorHAnsi"/>
        </w:rPr>
        <w:t>19. (“paediatric”) ti,ab</w:t>
      </w:r>
    </w:p>
    <w:p w14:paraId="63F52207"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20. (“paediatrics”) ti,ab</w:t>
      </w:r>
    </w:p>
    <w:p w14:paraId="4E2740E8"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21. (“children”) ti,ab</w:t>
      </w:r>
    </w:p>
    <w:p w14:paraId="52F1E05E"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 xml:space="preserve">22. 19 OR 20 OR 21  </w:t>
      </w:r>
    </w:p>
    <w:p w14:paraId="2439590E"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lastRenderedPageBreak/>
        <w:t xml:space="preserve">23. 6 AND 13 </w:t>
      </w:r>
    </w:p>
    <w:p w14:paraId="471A3EEF"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24. 18 AND 22</w:t>
      </w:r>
    </w:p>
    <w:p w14:paraId="54ED304A"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Theme="minorHAnsi" w:hAnsiTheme="minorHAnsi" w:cstheme="minorHAnsi"/>
        </w:rPr>
        <w:t>25. 23 AND 24</w:t>
      </w:r>
    </w:p>
    <w:p w14:paraId="2A625C14"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bookmarkStart w:id="4" w:name="_Hlk60085815"/>
    </w:p>
    <w:p w14:paraId="1A7332E6"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b/>
          <w:bCs/>
        </w:rPr>
      </w:pPr>
      <w:r w:rsidRPr="009E1CE6">
        <w:rPr>
          <w:rFonts w:asciiTheme="minorHAnsi" w:hAnsiTheme="minorHAnsi" w:cstheme="minorHAnsi"/>
        </w:rPr>
        <w:t xml:space="preserve"> </w:t>
      </w:r>
      <w:r w:rsidRPr="009E1CE6">
        <w:rPr>
          <w:rFonts w:asciiTheme="minorHAnsi" w:hAnsiTheme="minorHAnsi" w:cstheme="minorHAnsi"/>
          <w:b/>
          <w:bCs/>
        </w:rPr>
        <w:t>Additional file 3:</w:t>
      </w:r>
    </w:p>
    <w:p w14:paraId="50746DE8" w14:textId="77777777" w:rsidR="009E1CE6" w:rsidRPr="009E1CE6" w:rsidRDefault="009E1CE6" w:rsidP="009E1CE6">
      <w:pPr>
        <w:keepNext/>
        <w:spacing w:before="60" w:after="60" w:line="240" w:lineRule="auto"/>
        <w:jc w:val="both"/>
        <w:rPr>
          <w:rFonts w:ascii="Arial" w:eastAsia="Arial" w:hAnsi="Arial" w:cs="Arial"/>
          <w:sz w:val="28"/>
          <w:szCs w:val="28"/>
          <w:lang w:val="en-US"/>
        </w:rPr>
      </w:pPr>
      <w:r w:rsidRPr="009E1CE6">
        <w:rPr>
          <w:rFonts w:ascii="Arial" w:eastAsia="Arial" w:hAnsi="Arial" w:cs="Arial"/>
          <w:b/>
          <w:sz w:val="28"/>
          <w:szCs w:val="28"/>
          <w:lang w:val="en-US"/>
        </w:rPr>
        <w:t>Additional file 3</w:t>
      </w:r>
      <w:r w:rsidRPr="009E1CE6">
        <w:rPr>
          <w:rFonts w:ascii="Arial" w:eastAsia="Arial" w:hAnsi="Arial" w:cs="Arial"/>
          <w:sz w:val="28"/>
          <w:szCs w:val="28"/>
          <w:lang w:val="en-US"/>
        </w:rPr>
        <w:t xml:space="preserve">: Quality assessment of diagnostic accuracy </w:t>
      </w:r>
    </w:p>
    <w:p w14:paraId="1DA93AA5" w14:textId="77777777" w:rsidR="009E1CE6" w:rsidRPr="009E1CE6" w:rsidRDefault="009E1CE6" w:rsidP="009E1CE6">
      <w:pPr>
        <w:keepNext/>
        <w:spacing w:before="60" w:after="60" w:line="240" w:lineRule="auto"/>
        <w:jc w:val="both"/>
        <w:rPr>
          <w:rFonts w:ascii="Arial" w:eastAsia="Arial" w:hAnsi="Arial" w:cs="Arial"/>
          <w:b/>
          <w:sz w:val="24"/>
          <w:szCs w:val="24"/>
          <w:lang w:val="en-US"/>
        </w:rPr>
      </w:pPr>
      <w:r w:rsidRPr="009E1CE6">
        <w:rPr>
          <w:rFonts w:ascii="Arial" w:eastAsia="Arial" w:hAnsi="Arial" w:cs="Arial"/>
          <w:sz w:val="28"/>
          <w:szCs w:val="28"/>
          <w:lang w:val="en-US"/>
        </w:rPr>
        <w:t>studies-2 tool</w:t>
      </w:r>
      <w:r w:rsidRPr="009E1CE6">
        <w:rPr>
          <w:rFonts w:ascii="Arial" w:eastAsia="Arial" w:hAnsi="Arial" w:cs="Arial"/>
          <w:b/>
          <w:sz w:val="28"/>
          <w:szCs w:val="28"/>
          <w:lang w:val="en-US"/>
        </w:rPr>
        <w:t xml:space="preserve"> </w:t>
      </w:r>
      <w:r w:rsidRPr="009E1CE6">
        <w:rPr>
          <w:rFonts w:ascii="Arial" w:eastAsia="Arial" w:hAnsi="Arial" w:cs="Arial"/>
          <w:b/>
          <w:sz w:val="24"/>
          <w:szCs w:val="24"/>
          <w:lang w:val="en-US"/>
        </w:rPr>
        <w:t xml:space="preserve"> </w:t>
      </w:r>
      <w:bookmarkEnd w:id="4"/>
    </w:p>
    <w:p w14:paraId="003B8BDC" w14:textId="77777777" w:rsidR="009E1CE6" w:rsidRPr="009E1CE6" w:rsidRDefault="009E1CE6" w:rsidP="009E1CE6">
      <w:pPr>
        <w:keepNext/>
        <w:spacing w:before="60" w:after="60" w:line="240" w:lineRule="auto"/>
        <w:jc w:val="both"/>
        <w:rPr>
          <w:rFonts w:ascii="Arial" w:eastAsia="Arial" w:hAnsi="Arial" w:cs="Arial"/>
          <w:sz w:val="24"/>
          <w:szCs w:val="24"/>
          <w:lang w:val="en-US"/>
        </w:rPr>
      </w:pPr>
    </w:p>
    <w:p w14:paraId="07712814" w14:textId="77777777" w:rsidR="009E1CE6" w:rsidRPr="009E1CE6" w:rsidRDefault="009E1CE6" w:rsidP="009E1CE6">
      <w:pPr>
        <w:keepNext/>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QUADAS-2 tool: Risk of bias and applicability judgments</w:t>
      </w:r>
    </w:p>
    <w:tbl>
      <w:tblPr>
        <w:tblW w:w="9054" w:type="dxa"/>
        <w:tblInd w:w="-149" w:type="dxa"/>
        <w:tblBorders>
          <w:top w:val="single" w:sz="8" w:space="0" w:color="004495"/>
          <w:bottom w:val="single" w:sz="8" w:space="0" w:color="004495"/>
          <w:insideH w:val="single" w:sz="8" w:space="0" w:color="004495"/>
        </w:tblBorders>
        <w:tblLayout w:type="fixed"/>
        <w:tblLook w:val="0400" w:firstRow="0" w:lastRow="0" w:firstColumn="0" w:lastColumn="0" w:noHBand="0" w:noVBand="1"/>
      </w:tblPr>
      <w:tblGrid>
        <w:gridCol w:w="6047"/>
        <w:gridCol w:w="3007"/>
      </w:tblGrid>
      <w:tr w:rsidR="009E1CE6" w:rsidRPr="009E1CE6" w14:paraId="7F8F60B9" w14:textId="77777777" w:rsidTr="00B63D1F">
        <w:tc>
          <w:tcPr>
            <w:tcW w:w="9054" w:type="dxa"/>
            <w:gridSpan w:val="2"/>
            <w:shd w:val="clear" w:color="auto" w:fill="004495"/>
          </w:tcPr>
          <w:p w14:paraId="1B1B40BD" w14:textId="77777777" w:rsidR="009E1CE6" w:rsidRPr="009E1CE6" w:rsidRDefault="009E1CE6" w:rsidP="00B63D1F">
            <w:pPr>
              <w:keepNext/>
              <w:spacing w:before="60" w:after="144"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Domain 1: Patient selection</w:t>
            </w:r>
          </w:p>
        </w:tc>
      </w:tr>
      <w:tr w:rsidR="009E1CE6" w:rsidRPr="009E1CE6" w14:paraId="05D1DD6A" w14:textId="77777777" w:rsidTr="00B63D1F">
        <w:tc>
          <w:tcPr>
            <w:tcW w:w="6047" w:type="dxa"/>
          </w:tcPr>
          <w:p w14:paraId="3A7E9481" w14:textId="77777777" w:rsidR="009E1CE6" w:rsidRPr="009E1CE6" w:rsidRDefault="009E1CE6" w:rsidP="009E1CE6">
            <w:pPr>
              <w:keepNext/>
              <w:numPr>
                <w:ilvl w:val="0"/>
                <w:numId w:val="4"/>
              </w:numPr>
              <w:pBdr>
                <w:top w:val="nil"/>
                <w:left w:val="nil"/>
                <w:bottom w:val="nil"/>
                <w:right w:val="nil"/>
                <w:between w:val="nil"/>
              </w:pBdr>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Risk of bias</w:t>
            </w:r>
          </w:p>
        </w:tc>
        <w:tc>
          <w:tcPr>
            <w:tcW w:w="3007" w:type="dxa"/>
          </w:tcPr>
          <w:p w14:paraId="2513DB54" w14:textId="77777777" w:rsidR="009E1CE6" w:rsidRPr="009E1CE6" w:rsidRDefault="009E1CE6" w:rsidP="00B63D1F">
            <w:pPr>
              <w:keepNext/>
              <w:spacing w:before="60" w:after="60" w:line="240" w:lineRule="auto"/>
              <w:ind w:left="397" w:hanging="397"/>
              <w:jc w:val="both"/>
              <w:rPr>
                <w:rFonts w:ascii="Arial" w:eastAsia="Arial" w:hAnsi="Arial" w:cs="Arial"/>
                <w:sz w:val="24"/>
                <w:szCs w:val="24"/>
                <w:lang w:val="en-US"/>
              </w:rPr>
            </w:pPr>
          </w:p>
        </w:tc>
      </w:tr>
      <w:tr w:rsidR="009E1CE6" w:rsidRPr="009E1CE6" w14:paraId="1A87D9DB" w14:textId="77777777" w:rsidTr="00B63D1F">
        <w:tc>
          <w:tcPr>
            <w:tcW w:w="9054" w:type="dxa"/>
            <w:gridSpan w:val="2"/>
          </w:tcPr>
          <w:p w14:paraId="5F27F250" w14:textId="77777777" w:rsidR="009E1CE6" w:rsidRPr="009E1CE6" w:rsidRDefault="009E1CE6" w:rsidP="00B63D1F">
            <w:pPr>
              <w:keepNext/>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methods of patient selection:</w:t>
            </w:r>
          </w:p>
        </w:tc>
      </w:tr>
      <w:tr w:rsidR="009E1CE6" w:rsidRPr="009E1CE6" w14:paraId="0631CBA3" w14:textId="77777777" w:rsidTr="00B63D1F">
        <w:tc>
          <w:tcPr>
            <w:tcW w:w="6047" w:type="dxa"/>
          </w:tcPr>
          <w:p w14:paraId="68BD6486"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Was a consecutive or random sample of patients enrolled?</w:t>
            </w:r>
          </w:p>
        </w:tc>
        <w:tc>
          <w:tcPr>
            <w:tcW w:w="3007" w:type="dxa"/>
          </w:tcPr>
          <w:p w14:paraId="44C64AD6"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75D1823C" w14:textId="77777777" w:rsidTr="00B63D1F">
        <w:tc>
          <w:tcPr>
            <w:tcW w:w="6047" w:type="dxa"/>
          </w:tcPr>
          <w:p w14:paraId="3F5DE22A"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Was a case-control design avoided?</w:t>
            </w:r>
          </w:p>
        </w:tc>
        <w:tc>
          <w:tcPr>
            <w:tcW w:w="3007" w:type="dxa"/>
          </w:tcPr>
          <w:p w14:paraId="0FBA36B5"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480987A7" w14:textId="77777777" w:rsidTr="00B63D1F">
        <w:tc>
          <w:tcPr>
            <w:tcW w:w="6047" w:type="dxa"/>
          </w:tcPr>
          <w:p w14:paraId="017E38C1"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Did the study avoid inappropriate exclusions?</w:t>
            </w:r>
          </w:p>
        </w:tc>
        <w:tc>
          <w:tcPr>
            <w:tcW w:w="3007" w:type="dxa"/>
          </w:tcPr>
          <w:p w14:paraId="6253E874"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430A8AB6" w14:textId="77777777" w:rsidTr="00B63D1F">
        <w:tc>
          <w:tcPr>
            <w:tcW w:w="6047" w:type="dxa"/>
          </w:tcPr>
          <w:p w14:paraId="30A5EAFC"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Could the selection of patients have introduced bias?</w:t>
            </w:r>
          </w:p>
        </w:tc>
        <w:tc>
          <w:tcPr>
            <w:tcW w:w="3007" w:type="dxa"/>
          </w:tcPr>
          <w:p w14:paraId="68348CCD"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RISK: LOW/HIGH/UNCLEAR</w:t>
            </w:r>
          </w:p>
        </w:tc>
      </w:tr>
      <w:tr w:rsidR="009E1CE6" w:rsidRPr="009E1CE6" w14:paraId="597AA003" w14:textId="77777777" w:rsidTr="00B63D1F">
        <w:tc>
          <w:tcPr>
            <w:tcW w:w="6047" w:type="dxa"/>
          </w:tcPr>
          <w:p w14:paraId="067833B9" w14:textId="77777777" w:rsidR="009E1CE6" w:rsidRPr="009E1CE6" w:rsidRDefault="009E1CE6" w:rsidP="009E1CE6">
            <w:pPr>
              <w:numPr>
                <w:ilvl w:val="0"/>
                <w:numId w:val="4"/>
              </w:numPr>
              <w:pBdr>
                <w:top w:val="nil"/>
                <w:left w:val="nil"/>
                <w:bottom w:val="nil"/>
                <w:right w:val="nil"/>
                <w:between w:val="nil"/>
              </w:pBdr>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Concerns regarding applicability</w:t>
            </w:r>
          </w:p>
        </w:tc>
        <w:tc>
          <w:tcPr>
            <w:tcW w:w="3007" w:type="dxa"/>
          </w:tcPr>
          <w:p w14:paraId="4C64FE3F"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r>
      <w:tr w:rsidR="009E1CE6" w:rsidRPr="009E1CE6" w14:paraId="10CBE29D" w14:textId="77777777" w:rsidTr="00B63D1F">
        <w:tc>
          <w:tcPr>
            <w:tcW w:w="9054" w:type="dxa"/>
            <w:gridSpan w:val="2"/>
          </w:tcPr>
          <w:p w14:paraId="505966DC"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included patients (prior testing, presentation, intended use of index test and setting):</w:t>
            </w:r>
          </w:p>
        </w:tc>
      </w:tr>
      <w:tr w:rsidR="009E1CE6" w:rsidRPr="009E1CE6" w14:paraId="7B9049C9" w14:textId="77777777" w:rsidTr="00B63D1F">
        <w:tc>
          <w:tcPr>
            <w:tcW w:w="6047" w:type="dxa"/>
            <w:tcBorders>
              <w:bottom w:val="single" w:sz="8" w:space="0" w:color="004495"/>
            </w:tcBorders>
          </w:tcPr>
          <w:p w14:paraId="78C14898"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Is there concern that the included patients do not match the review question?</w:t>
            </w:r>
          </w:p>
          <w:p w14:paraId="2A0AEBD3"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c>
          <w:tcPr>
            <w:tcW w:w="3007" w:type="dxa"/>
            <w:tcBorders>
              <w:bottom w:val="single" w:sz="8" w:space="0" w:color="004495"/>
            </w:tcBorders>
          </w:tcPr>
          <w:p w14:paraId="0005DA31"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CONCERN: LOW/HIGH/UNCLEAR</w:t>
            </w:r>
          </w:p>
        </w:tc>
      </w:tr>
      <w:tr w:rsidR="009E1CE6" w:rsidRPr="009E1CE6" w14:paraId="623A3638" w14:textId="77777777" w:rsidTr="00B63D1F">
        <w:tc>
          <w:tcPr>
            <w:tcW w:w="9054" w:type="dxa"/>
            <w:gridSpan w:val="2"/>
            <w:shd w:val="clear" w:color="auto" w:fill="004495"/>
          </w:tcPr>
          <w:p w14:paraId="696BA8DE" w14:textId="77777777" w:rsidR="009E1CE6" w:rsidRPr="009E1CE6" w:rsidRDefault="009E1CE6" w:rsidP="00B63D1F">
            <w:pPr>
              <w:keepNext/>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 xml:space="preserve">Domain 2: Index test(s) </w:t>
            </w:r>
            <w:r w:rsidRPr="009E1CE6">
              <w:rPr>
                <w:rFonts w:ascii="Arial" w:eastAsia="Arial" w:hAnsi="Arial" w:cs="Arial"/>
                <w:i/>
                <w:sz w:val="24"/>
                <w:szCs w:val="24"/>
                <w:lang w:val="en-US"/>
              </w:rPr>
              <w:t>(if more than 1 index test was used, please complete for each test)</w:t>
            </w:r>
          </w:p>
        </w:tc>
      </w:tr>
      <w:tr w:rsidR="009E1CE6" w:rsidRPr="009E1CE6" w14:paraId="79026EB2" w14:textId="77777777" w:rsidTr="00B63D1F">
        <w:tc>
          <w:tcPr>
            <w:tcW w:w="6047" w:type="dxa"/>
          </w:tcPr>
          <w:p w14:paraId="6E3EFFEC" w14:textId="77777777" w:rsidR="009E1CE6" w:rsidRPr="009E1CE6" w:rsidRDefault="009E1CE6" w:rsidP="009E1CE6">
            <w:pPr>
              <w:numPr>
                <w:ilvl w:val="0"/>
                <w:numId w:val="6"/>
              </w:numPr>
              <w:pBdr>
                <w:top w:val="nil"/>
                <w:left w:val="nil"/>
                <w:bottom w:val="nil"/>
                <w:right w:val="nil"/>
                <w:between w:val="nil"/>
              </w:pBdr>
              <w:spacing w:before="60" w:after="60" w:line="240" w:lineRule="auto"/>
              <w:ind w:hanging="360"/>
              <w:jc w:val="both"/>
              <w:rPr>
                <w:rFonts w:ascii="Arial" w:eastAsia="Arial" w:hAnsi="Arial" w:cs="Arial"/>
                <w:sz w:val="24"/>
                <w:szCs w:val="24"/>
                <w:lang w:val="en-US"/>
              </w:rPr>
            </w:pPr>
            <w:r w:rsidRPr="009E1CE6">
              <w:rPr>
                <w:rFonts w:ascii="Arial" w:eastAsia="Arial" w:hAnsi="Arial" w:cs="Arial"/>
                <w:sz w:val="24"/>
                <w:szCs w:val="24"/>
                <w:lang w:val="en-US"/>
              </w:rPr>
              <w:t>Risk of bias</w:t>
            </w:r>
          </w:p>
        </w:tc>
        <w:tc>
          <w:tcPr>
            <w:tcW w:w="3007" w:type="dxa"/>
          </w:tcPr>
          <w:p w14:paraId="01ECEB10"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r>
      <w:tr w:rsidR="009E1CE6" w:rsidRPr="009E1CE6" w14:paraId="3994C60D" w14:textId="77777777" w:rsidTr="00B63D1F">
        <w:tc>
          <w:tcPr>
            <w:tcW w:w="9054" w:type="dxa"/>
            <w:gridSpan w:val="2"/>
          </w:tcPr>
          <w:p w14:paraId="6D5D911C"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the index test and how it was conducted and interpreted:</w:t>
            </w:r>
          </w:p>
        </w:tc>
      </w:tr>
      <w:tr w:rsidR="009E1CE6" w:rsidRPr="009E1CE6" w14:paraId="743D1DD4" w14:textId="77777777" w:rsidTr="00B63D1F">
        <w:tc>
          <w:tcPr>
            <w:tcW w:w="6047" w:type="dxa"/>
          </w:tcPr>
          <w:p w14:paraId="1B7EA356"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Were the index test results interpreted without knowledge of the results of the reference standard?</w:t>
            </w:r>
          </w:p>
        </w:tc>
        <w:tc>
          <w:tcPr>
            <w:tcW w:w="3007" w:type="dxa"/>
          </w:tcPr>
          <w:p w14:paraId="644CE013"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14C12711" w14:textId="77777777" w:rsidTr="00B63D1F">
        <w:tc>
          <w:tcPr>
            <w:tcW w:w="6047" w:type="dxa"/>
          </w:tcPr>
          <w:p w14:paraId="67AE418E"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If a threshold was used, was it pre-specified?</w:t>
            </w:r>
          </w:p>
        </w:tc>
        <w:tc>
          <w:tcPr>
            <w:tcW w:w="3007" w:type="dxa"/>
          </w:tcPr>
          <w:p w14:paraId="2315C206"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7EFB0265" w14:textId="77777777" w:rsidTr="00B63D1F">
        <w:tc>
          <w:tcPr>
            <w:tcW w:w="6047" w:type="dxa"/>
          </w:tcPr>
          <w:p w14:paraId="51046435"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lastRenderedPageBreak/>
              <w:t>Could the conduct or interpretation of the index test have introduced bias?</w:t>
            </w:r>
          </w:p>
        </w:tc>
        <w:tc>
          <w:tcPr>
            <w:tcW w:w="3007" w:type="dxa"/>
          </w:tcPr>
          <w:p w14:paraId="30852577"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RISK: LOW/HIGH/UNCLEAR</w:t>
            </w:r>
          </w:p>
        </w:tc>
      </w:tr>
      <w:tr w:rsidR="009E1CE6" w:rsidRPr="009E1CE6" w14:paraId="2EF29B79" w14:textId="77777777" w:rsidTr="00B63D1F">
        <w:tc>
          <w:tcPr>
            <w:tcW w:w="6047" w:type="dxa"/>
          </w:tcPr>
          <w:p w14:paraId="7E97D76C" w14:textId="77777777" w:rsidR="009E1CE6" w:rsidRPr="009E1CE6" w:rsidRDefault="009E1CE6" w:rsidP="009E1CE6">
            <w:pPr>
              <w:numPr>
                <w:ilvl w:val="0"/>
                <w:numId w:val="6"/>
              </w:numPr>
              <w:pBdr>
                <w:top w:val="nil"/>
                <w:left w:val="nil"/>
                <w:bottom w:val="nil"/>
                <w:right w:val="nil"/>
                <w:between w:val="nil"/>
              </w:pBdr>
              <w:spacing w:before="60" w:after="60" w:line="240" w:lineRule="auto"/>
              <w:ind w:hanging="360"/>
              <w:jc w:val="both"/>
              <w:rPr>
                <w:rFonts w:ascii="Arial" w:eastAsia="Arial" w:hAnsi="Arial" w:cs="Arial"/>
                <w:sz w:val="24"/>
                <w:szCs w:val="24"/>
                <w:lang w:val="en-US"/>
              </w:rPr>
            </w:pPr>
            <w:r w:rsidRPr="009E1CE6">
              <w:rPr>
                <w:rFonts w:ascii="Arial" w:eastAsia="Arial" w:hAnsi="Arial" w:cs="Arial"/>
                <w:sz w:val="24"/>
                <w:szCs w:val="24"/>
                <w:lang w:val="en-US"/>
              </w:rPr>
              <w:t>Concerns regarding applicability</w:t>
            </w:r>
          </w:p>
        </w:tc>
        <w:tc>
          <w:tcPr>
            <w:tcW w:w="3007" w:type="dxa"/>
          </w:tcPr>
          <w:p w14:paraId="22303875"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r>
      <w:tr w:rsidR="009E1CE6" w:rsidRPr="009E1CE6" w14:paraId="299D3C84" w14:textId="77777777" w:rsidTr="00B63D1F">
        <w:tc>
          <w:tcPr>
            <w:tcW w:w="6047" w:type="dxa"/>
          </w:tcPr>
          <w:p w14:paraId="2C4348ED"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Is there concern that the index test, its conduct, or interpretation differ from the review question?</w:t>
            </w:r>
          </w:p>
          <w:p w14:paraId="2C516904"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c>
          <w:tcPr>
            <w:tcW w:w="3007" w:type="dxa"/>
          </w:tcPr>
          <w:p w14:paraId="4A368BC7"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CONCERN: LOW/HIGH/UNCLEAR</w:t>
            </w:r>
          </w:p>
        </w:tc>
      </w:tr>
      <w:tr w:rsidR="009E1CE6" w:rsidRPr="009E1CE6" w14:paraId="53417B34" w14:textId="77777777" w:rsidTr="00B63D1F">
        <w:tc>
          <w:tcPr>
            <w:tcW w:w="9054" w:type="dxa"/>
            <w:gridSpan w:val="2"/>
            <w:shd w:val="clear" w:color="auto" w:fill="004495"/>
          </w:tcPr>
          <w:p w14:paraId="10276B06"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Domain 3: Reference standard</w:t>
            </w:r>
          </w:p>
        </w:tc>
      </w:tr>
      <w:tr w:rsidR="009E1CE6" w:rsidRPr="009E1CE6" w14:paraId="5F527DC6" w14:textId="77777777" w:rsidTr="00B63D1F">
        <w:tc>
          <w:tcPr>
            <w:tcW w:w="6047" w:type="dxa"/>
          </w:tcPr>
          <w:p w14:paraId="1220524F" w14:textId="77777777" w:rsidR="009E1CE6" w:rsidRPr="009E1CE6" w:rsidRDefault="009E1CE6" w:rsidP="009E1CE6">
            <w:pPr>
              <w:numPr>
                <w:ilvl w:val="0"/>
                <w:numId w:val="5"/>
              </w:numPr>
              <w:pBdr>
                <w:top w:val="nil"/>
                <w:left w:val="nil"/>
                <w:bottom w:val="nil"/>
                <w:right w:val="nil"/>
                <w:between w:val="nil"/>
              </w:pBdr>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Risk of bias</w:t>
            </w:r>
          </w:p>
        </w:tc>
        <w:tc>
          <w:tcPr>
            <w:tcW w:w="3007" w:type="dxa"/>
          </w:tcPr>
          <w:p w14:paraId="7D02610F"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r>
      <w:tr w:rsidR="009E1CE6" w:rsidRPr="009E1CE6" w14:paraId="4D5EAB19" w14:textId="77777777" w:rsidTr="00B63D1F">
        <w:tc>
          <w:tcPr>
            <w:tcW w:w="9054" w:type="dxa"/>
            <w:gridSpan w:val="2"/>
          </w:tcPr>
          <w:p w14:paraId="7AB0028C"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the reference standard and how it was conducted and interpreted:</w:t>
            </w:r>
          </w:p>
        </w:tc>
      </w:tr>
      <w:tr w:rsidR="009E1CE6" w:rsidRPr="009E1CE6" w14:paraId="78926DB9" w14:textId="77777777" w:rsidTr="00B63D1F">
        <w:tc>
          <w:tcPr>
            <w:tcW w:w="6047" w:type="dxa"/>
          </w:tcPr>
          <w:p w14:paraId="43D6A9D6"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Is the reference standard likely to correctly classify the target condition?</w:t>
            </w:r>
          </w:p>
        </w:tc>
        <w:tc>
          <w:tcPr>
            <w:tcW w:w="3007" w:type="dxa"/>
          </w:tcPr>
          <w:p w14:paraId="1D3E42B9"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1D846815" w14:textId="77777777" w:rsidTr="00B63D1F">
        <w:tc>
          <w:tcPr>
            <w:tcW w:w="6047" w:type="dxa"/>
          </w:tcPr>
          <w:p w14:paraId="24884D17"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Were the reference standard results interpreted without knowledge of the results of the index test?</w:t>
            </w:r>
          </w:p>
        </w:tc>
        <w:tc>
          <w:tcPr>
            <w:tcW w:w="3007" w:type="dxa"/>
          </w:tcPr>
          <w:p w14:paraId="1C024100"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6416CDDA" w14:textId="77777777" w:rsidTr="00B63D1F">
        <w:tc>
          <w:tcPr>
            <w:tcW w:w="6047" w:type="dxa"/>
          </w:tcPr>
          <w:p w14:paraId="7B99A140"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Could the reference standard, its conduct, or its interpretation have introduced bias?</w:t>
            </w:r>
          </w:p>
        </w:tc>
        <w:tc>
          <w:tcPr>
            <w:tcW w:w="3007" w:type="dxa"/>
          </w:tcPr>
          <w:p w14:paraId="4FCC1A39"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RISK: LOW/HIGH/UNCLEAR</w:t>
            </w:r>
          </w:p>
        </w:tc>
      </w:tr>
      <w:tr w:rsidR="009E1CE6" w:rsidRPr="009E1CE6" w14:paraId="090C74D1" w14:textId="77777777" w:rsidTr="00B63D1F">
        <w:tc>
          <w:tcPr>
            <w:tcW w:w="6047" w:type="dxa"/>
          </w:tcPr>
          <w:p w14:paraId="59E41988" w14:textId="77777777" w:rsidR="009E1CE6" w:rsidRPr="009E1CE6" w:rsidRDefault="009E1CE6" w:rsidP="009E1CE6">
            <w:pPr>
              <w:numPr>
                <w:ilvl w:val="0"/>
                <w:numId w:val="5"/>
              </w:numPr>
              <w:pBdr>
                <w:top w:val="nil"/>
                <w:left w:val="nil"/>
                <w:bottom w:val="nil"/>
                <w:right w:val="nil"/>
                <w:between w:val="nil"/>
              </w:pBdr>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Concerns regarding applicability</w:t>
            </w:r>
          </w:p>
        </w:tc>
        <w:tc>
          <w:tcPr>
            <w:tcW w:w="3007" w:type="dxa"/>
          </w:tcPr>
          <w:p w14:paraId="1EB4617B"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p>
        </w:tc>
      </w:tr>
      <w:tr w:rsidR="009E1CE6" w:rsidRPr="009E1CE6" w14:paraId="41B4AA00" w14:textId="77777777" w:rsidTr="00B63D1F">
        <w:tc>
          <w:tcPr>
            <w:tcW w:w="6047" w:type="dxa"/>
          </w:tcPr>
          <w:p w14:paraId="3DEA3431"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Is there concern that the target condition as defined by the reference standard does not match the review question?</w:t>
            </w:r>
          </w:p>
        </w:tc>
        <w:tc>
          <w:tcPr>
            <w:tcW w:w="3007" w:type="dxa"/>
          </w:tcPr>
          <w:p w14:paraId="5CE11377"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CONCERN: LOW/HIGH/UNCLEAR</w:t>
            </w:r>
          </w:p>
        </w:tc>
      </w:tr>
      <w:tr w:rsidR="009E1CE6" w:rsidRPr="009E1CE6" w14:paraId="2601B1ED" w14:textId="77777777" w:rsidTr="00B63D1F">
        <w:tc>
          <w:tcPr>
            <w:tcW w:w="9054" w:type="dxa"/>
            <w:gridSpan w:val="2"/>
            <w:shd w:val="clear" w:color="auto" w:fill="004495"/>
          </w:tcPr>
          <w:p w14:paraId="4AEA9FCF" w14:textId="77777777" w:rsidR="009E1CE6" w:rsidRPr="009E1CE6" w:rsidRDefault="009E1CE6" w:rsidP="00B63D1F">
            <w:pPr>
              <w:keepNext/>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Domain 4: Flow and timing</w:t>
            </w:r>
          </w:p>
        </w:tc>
      </w:tr>
      <w:tr w:rsidR="009E1CE6" w:rsidRPr="009E1CE6" w14:paraId="1C3DA0C9" w14:textId="77777777" w:rsidTr="00B63D1F">
        <w:tc>
          <w:tcPr>
            <w:tcW w:w="6047" w:type="dxa"/>
          </w:tcPr>
          <w:p w14:paraId="2A138FE4" w14:textId="77777777" w:rsidR="009E1CE6" w:rsidRPr="009E1CE6" w:rsidRDefault="009E1CE6" w:rsidP="009E1CE6">
            <w:pPr>
              <w:keepNext/>
              <w:numPr>
                <w:ilvl w:val="0"/>
                <w:numId w:val="7"/>
              </w:numPr>
              <w:pBdr>
                <w:top w:val="nil"/>
                <w:left w:val="nil"/>
                <w:bottom w:val="nil"/>
                <w:right w:val="nil"/>
                <w:between w:val="nil"/>
              </w:pBdr>
              <w:spacing w:before="60" w:after="60" w:line="240" w:lineRule="auto"/>
              <w:jc w:val="both"/>
              <w:rPr>
                <w:rFonts w:ascii="Arial" w:eastAsia="Arial" w:hAnsi="Arial" w:cs="Arial"/>
                <w:sz w:val="24"/>
                <w:szCs w:val="24"/>
                <w:lang w:val="en-US"/>
              </w:rPr>
            </w:pPr>
            <w:r w:rsidRPr="009E1CE6">
              <w:rPr>
                <w:rFonts w:ascii="Arial" w:eastAsia="Arial" w:hAnsi="Arial" w:cs="Arial"/>
                <w:sz w:val="24"/>
                <w:szCs w:val="24"/>
                <w:lang w:val="en-US"/>
              </w:rPr>
              <w:t>Risk of bias</w:t>
            </w:r>
          </w:p>
        </w:tc>
        <w:tc>
          <w:tcPr>
            <w:tcW w:w="3007" w:type="dxa"/>
          </w:tcPr>
          <w:p w14:paraId="4B83D98C" w14:textId="77777777" w:rsidR="009E1CE6" w:rsidRPr="009E1CE6" w:rsidRDefault="009E1CE6" w:rsidP="00B63D1F">
            <w:pPr>
              <w:keepNext/>
              <w:spacing w:before="60" w:after="60" w:line="240" w:lineRule="auto"/>
              <w:ind w:left="397" w:hanging="397"/>
              <w:jc w:val="both"/>
              <w:rPr>
                <w:rFonts w:ascii="Arial" w:eastAsia="Arial" w:hAnsi="Arial" w:cs="Arial"/>
                <w:sz w:val="24"/>
                <w:szCs w:val="24"/>
                <w:lang w:val="en-US"/>
              </w:rPr>
            </w:pPr>
          </w:p>
        </w:tc>
      </w:tr>
      <w:tr w:rsidR="009E1CE6" w:rsidRPr="009E1CE6" w14:paraId="4A051BF8" w14:textId="77777777" w:rsidTr="00B63D1F">
        <w:tc>
          <w:tcPr>
            <w:tcW w:w="9054" w:type="dxa"/>
            <w:gridSpan w:val="2"/>
          </w:tcPr>
          <w:p w14:paraId="034DF918"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any patients who did not receive the index test(s) and/or reference standard or who were excluded from the 2x2 table (refer to flow diagram):</w:t>
            </w:r>
          </w:p>
          <w:p w14:paraId="6159B86D"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Describe the time interval and any interventions between index test(s) and reference standard:</w:t>
            </w:r>
          </w:p>
        </w:tc>
      </w:tr>
      <w:tr w:rsidR="009E1CE6" w:rsidRPr="009E1CE6" w14:paraId="5D84B4C7" w14:textId="77777777" w:rsidTr="00B63D1F">
        <w:tc>
          <w:tcPr>
            <w:tcW w:w="6047" w:type="dxa"/>
          </w:tcPr>
          <w:p w14:paraId="410ED8ED"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Was there an appropriate interval between index test(s) and reference standard?</w:t>
            </w:r>
          </w:p>
        </w:tc>
        <w:tc>
          <w:tcPr>
            <w:tcW w:w="3007" w:type="dxa"/>
          </w:tcPr>
          <w:p w14:paraId="71A4E226"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16AA12AD" w14:textId="77777777" w:rsidTr="00B63D1F">
        <w:tc>
          <w:tcPr>
            <w:tcW w:w="6047" w:type="dxa"/>
          </w:tcPr>
          <w:p w14:paraId="47182290"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Did all patients receive a reference standard?</w:t>
            </w:r>
          </w:p>
        </w:tc>
        <w:tc>
          <w:tcPr>
            <w:tcW w:w="3007" w:type="dxa"/>
          </w:tcPr>
          <w:p w14:paraId="03F2DA37"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05DC2778" w14:textId="77777777" w:rsidTr="00B63D1F">
        <w:tc>
          <w:tcPr>
            <w:tcW w:w="6047" w:type="dxa"/>
          </w:tcPr>
          <w:p w14:paraId="159B2E26"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Did patients receive the same reference standard?</w:t>
            </w:r>
          </w:p>
        </w:tc>
        <w:tc>
          <w:tcPr>
            <w:tcW w:w="3007" w:type="dxa"/>
          </w:tcPr>
          <w:p w14:paraId="7D461D3A"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14E06C13" w14:textId="77777777" w:rsidTr="00B63D1F">
        <w:tc>
          <w:tcPr>
            <w:tcW w:w="6047" w:type="dxa"/>
          </w:tcPr>
          <w:p w14:paraId="69E2E18F" w14:textId="77777777" w:rsidR="009E1CE6" w:rsidRPr="009E1CE6" w:rsidRDefault="009E1CE6" w:rsidP="009E1CE6">
            <w:pPr>
              <w:numPr>
                <w:ilvl w:val="0"/>
                <w:numId w:val="3"/>
              </w:numPr>
              <w:pBdr>
                <w:top w:val="nil"/>
                <w:left w:val="nil"/>
                <w:bottom w:val="nil"/>
                <w:right w:val="nil"/>
                <w:between w:val="nil"/>
              </w:pBdr>
              <w:spacing w:before="60" w:after="60" w:line="240" w:lineRule="auto"/>
              <w:jc w:val="both"/>
              <w:rPr>
                <w:rFonts w:ascii="Calibri" w:eastAsia="Calibri" w:hAnsi="Calibri" w:cs="Times New Roman"/>
                <w:sz w:val="24"/>
                <w:szCs w:val="24"/>
                <w:lang w:val="en-US"/>
              </w:rPr>
            </w:pPr>
            <w:r w:rsidRPr="009E1CE6">
              <w:rPr>
                <w:rFonts w:ascii="Arial" w:eastAsia="Arial" w:hAnsi="Arial" w:cs="Arial"/>
                <w:sz w:val="24"/>
                <w:szCs w:val="24"/>
                <w:lang w:val="en-US"/>
              </w:rPr>
              <w:t>Were all patients included in the analysis?</w:t>
            </w:r>
          </w:p>
        </w:tc>
        <w:tc>
          <w:tcPr>
            <w:tcW w:w="3007" w:type="dxa"/>
          </w:tcPr>
          <w:p w14:paraId="3FF42947"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Yes/No/Unclear</w:t>
            </w:r>
          </w:p>
        </w:tc>
      </w:tr>
      <w:tr w:rsidR="009E1CE6" w:rsidRPr="009E1CE6" w14:paraId="0EB33251" w14:textId="77777777" w:rsidTr="00B63D1F">
        <w:tc>
          <w:tcPr>
            <w:tcW w:w="6047" w:type="dxa"/>
          </w:tcPr>
          <w:p w14:paraId="009EE23C"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Could the patient flow have introduced bias?</w:t>
            </w:r>
          </w:p>
        </w:tc>
        <w:tc>
          <w:tcPr>
            <w:tcW w:w="3007" w:type="dxa"/>
          </w:tcPr>
          <w:p w14:paraId="6A59B64A" w14:textId="77777777" w:rsidR="009E1CE6" w:rsidRPr="009E1CE6" w:rsidRDefault="009E1CE6" w:rsidP="00B63D1F">
            <w:pPr>
              <w:spacing w:before="60" w:after="60" w:line="240" w:lineRule="auto"/>
              <w:ind w:left="397" w:hanging="397"/>
              <w:jc w:val="both"/>
              <w:rPr>
                <w:rFonts w:ascii="Arial" w:eastAsia="Arial" w:hAnsi="Arial" w:cs="Arial"/>
                <w:sz w:val="24"/>
                <w:szCs w:val="24"/>
                <w:lang w:val="en-US"/>
              </w:rPr>
            </w:pPr>
            <w:r w:rsidRPr="009E1CE6">
              <w:rPr>
                <w:rFonts w:ascii="Arial" w:eastAsia="Arial" w:hAnsi="Arial" w:cs="Arial"/>
                <w:sz w:val="24"/>
                <w:szCs w:val="24"/>
                <w:lang w:val="en-US"/>
              </w:rPr>
              <w:t>RISK: LOW/HIGH/UNCLEAR</w:t>
            </w:r>
          </w:p>
        </w:tc>
      </w:tr>
    </w:tbl>
    <w:p w14:paraId="0B9E0EEB" w14:textId="77777777" w:rsidR="009E1CE6" w:rsidRPr="009E1CE6" w:rsidRDefault="009E1CE6" w:rsidP="009E1CE6">
      <w:pPr>
        <w:spacing w:after="200" w:line="276" w:lineRule="auto"/>
        <w:rPr>
          <w:rFonts w:ascii="Calibri" w:eastAsia="Calibri" w:hAnsi="Calibri" w:cs="Times New Roman"/>
          <w:lang w:val="en-US"/>
        </w:rPr>
      </w:pPr>
    </w:p>
    <w:p w14:paraId="49AEF768"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585626CC" w14:textId="54AEF59A"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b/>
          <w:bCs/>
        </w:rPr>
      </w:pPr>
      <w:bookmarkStart w:id="5" w:name="_Hlk60085874"/>
      <w:r w:rsidRPr="009E1CE6">
        <w:rPr>
          <w:rFonts w:asciiTheme="minorHAnsi" w:hAnsiTheme="minorHAnsi" w:cstheme="minorHAnsi"/>
          <w:b/>
          <w:bCs/>
        </w:rPr>
        <w:t xml:space="preserve">Additional file </w:t>
      </w:r>
      <w:r w:rsidR="000C4EF6">
        <w:rPr>
          <w:rFonts w:asciiTheme="minorHAnsi" w:hAnsiTheme="minorHAnsi" w:cstheme="minorHAnsi"/>
          <w:b/>
          <w:bCs/>
        </w:rPr>
        <w:t>4</w:t>
      </w:r>
      <w:r w:rsidRPr="009E1CE6">
        <w:rPr>
          <w:rFonts w:asciiTheme="minorHAnsi" w:hAnsiTheme="minorHAnsi" w:cstheme="minorHAnsi"/>
          <w:b/>
          <w:bCs/>
        </w:rPr>
        <w:t xml:space="preserve"> </w:t>
      </w:r>
      <w:r w:rsidRPr="009E1CE6">
        <w:rPr>
          <w:rFonts w:asciiTheme="minorHAnsi" w:eastAsia="Arial" w:hAnsiTheme="minorHAnsi" w:cstheme="minorHAnsi"/>
        </w:rPr>
        <w:t>Figures of Subgroup analyses (LMICs)</w:t>
      </w:r>
    </w:p>
    <w:bookmarkEnd w:id="5"/>
    <w:p w14:paraId="7C1B4E07"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3E8D4E4A"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Courier" w:hAnsi="Courier" w:cs="Courier"/>
          <w:noProof/>
          <w:sz w:val="20"/>
          <w:szCs w:val="20"/>
          <w:lang w:val="en-US" w:eastAsia="en-US"/>
        </w:rPr>
        <w:drawing>
          <wp:inline distT="0" distB="0" distL="0" distR="0" wp14:anchorId="7011F6F6" wp14:editId="7C3C33D9">
            <wp:extent cx="5130800" cy="2273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714" cy="2275477"/>
                    </a:xfrm>
                    <a:prstGeom prst="rect">
                      <a:avLst/>
                    </a:prstGeom>
                    <a:noFill/>
                    <a:ln>
                      <a:noFill/>
                    </a:ln>
                  </pic:spPr>
                </pic:pic>
              </a:graphicData>
            </a:graphic>
          </wp:inline>
        </w:drawing>
      </w:r>
    </w:p>
    <w:p w14:paraId="4E014E84"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S1</w:t>
      </w:r>
      <w:r w:rsidRPr="009E1CE6">
        <w:rPr>
          <w:rFonts w:ascii="Arial" w:eastAsia="Arial" w:hAnsi="Arial" w:cs="Arial"/>
          <w:sz w:val="24"/>
          <w:szCs w:val="24"/>
        </w:rPr>
        <w:t xml:space="preserve"> Forest plot estimates of the pooled sensitivity for LMICs</w:t>
      </w:r>
    </w:p>
    <w:p w14:paraId="232DEB6E"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33ADADC2"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drawing>
          <wp:inline distT="0" distB="0" distL="0" distR="0" wp14:anchorId="2C9E0F08" wp14:editId="46B381D8">
            <wp:extent cx="5740400" cy="2971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0" cy="2971800"/>
                    </a:xfrm>
                    <a:prstGeom prst="rect">
                      <a:avLst/>
                    </a:prstGeom>
                    <a:noFill/>
                    <a:ln>
                      <a:noFill/>
                    </a:ln>
                  </pic:spPr>
                </pic:pic>
              </a:graphicData>
            </a:graphic>
          </wp:inline>
        </w:drawing>
      </w:r>
      <w:r w:rsidRPr="009E1CE6">
        <w:rPr>
          <w:rFonts w:ascii="Arial" w:eastAsia="Arial" w:hAnsi="Arial" w:cs="Arial"/>
          <w:b/>
          <w:sz w:val="24"/>
          <w:szCs w:val="24"/>
        </w:rPr>
        <w:t xml:space="preserve"> Figure S2</w:t>
      </w:r>
      <w:r w:rsidRPr="009E1CE6">
        <w:rPr>
          <w:rFonts w:ascii="Arial" w:eastAsia="Arial" w:hAnsi="Arial" w:cs="Arial"/>
          <w:sz w:val="24"/>
          <w:szCs w:val="24"/>
        </w:rPr>
        <w:t xml:space="preserve"> Forest plot estimates of the pooled specificity for LMICs</w:t>
      </w:r>
    </w:p>
    <w:p w14:paraId="28EFBA4E"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0FCAF91D"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78C3788A"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7DF4505F"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20BC51A9"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r w:rsidRPr="009E1CE6">
        <w:rPr>
          <w:rFonts w:ascii="Courier" w:hAnsi="Courier" w:cs="Courier"/>
          <w:noProof/>
          <w:sz w:val="20"/>
          <w:szCs w:val="20"/>
          <w:lang w:val="en-US" w:eastAsia="en-US"/>
        </w:rPr>
        <w:drawing>
          <wp:inline distT="0" distB="0" distL="0" distR="0" wp14:anchorId="6F89106F" wp14:editId="784871C6">
            <wp:extent cx="6197600" cy="2495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7600" cy="2495550"/>
                    </a:xfrm>
                    <a:prstGeom prst="rect">
                      <a:avLst/>
                    </a:prstGeom>
                    <a:noFill/>
                    <a:ln>
                      <a:noFill/>
                    </a:ln>
                  </pic:spPr>
                </pic:pic>
              </a:graphicData>
            </a:graphic>
          </wp:inline>
        </w:drawing>
      </w:r>
    </w:p>
    <w:p w14:paraId="739591B0"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S3</w:t>
      </w:r>
      <w:r w:rsidRPr="009E1CE6">
        <w:rPr>
          <w:rFonts w:ascii="Arial" w:eastAsia="Arial" w:hAnsi="Arial" w:cs="Arial"/>
          <w:sz w:val="24"/>
          <w:szCs w:val="24"/>
        </w:rPr>
        <w:t xml:space="preserve"> Forest plot estimates of the pooled PLR for LMICs</w:t>
      </w:r>
    </w:p>
    <w:p w14:paraId="4C031036" w14:textId="77777777" w:rsidR="009E1CE6" w:rsidRPr="009E1CE6" w:rsidRDefault="009E1CE6" w:rsidP="009E1CE6">
      <w:pPr>
        <w:pStyle w:val="simplepara"/>
        <w:shd w:val="clear" w:color="auto" w:fill="FFFFFF"/>
        <w:spacing w:before="180" w:beforeAutospacing="0" w:after="180" w:afterAutospacing="0" w:line="360" w:lineRule="atLeast"/>
        <w:rPr>
          <w:rFonts w:asciiTheme="minorHAnsi" w:hAnsiTheme="minorHAnsi" w:cstheme="minorHAnsi"/>
        </w:rPr>
      </w:pPr>
    </w:p>
    <w:p w14:paraId="2C91CA73" w14:textId="77777777" w:rsidR="009E1CE6" w:rsidRPr="009E1CE6" w:rsidRDefault="009E1CE6" w:rsidP="009E1CE6">
      <w:pPr>
        <w:rPr>
          <w:b/>
          <w:bCs/>
          <w:sz w:val="24"/>
          <w:szCs w:val="24"/>
        </w:rPr>
      </w:pPr>
      <w:r w:rsidRPr="009E1CE6">
        <w:rPr>
          <w:rFonts w:ascii="Courier" w:hAnsi="Courier" w:cs="Courier"/>
          <w:noProof/>
          <w:sz w:val="20"/>
          <w:szCs w:val="20"/>
          <w:lang w:val="en-US"/>
        </w:rPr>
        <w:drawing>
          <wp:inline distT="0" distB="0" distL="0" distR="0" wp14:anchorId="0E41B816" wp14:editId="0A3FE0EA">
            <wp:extent cx="5683250" cy="2197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3250" cy="2197100"/>
                    </a:xfrm>
                    <a:prstGeom prst="rect">
                      <a:avLst/>
                    </a:prstGeom>
                    <a:noFill/>
                    <a:ln>
                      <a:noFill/>
                    </a:ln>
                  </pic:spPr>
                </pic:pic>
              </a:graphicData>
            </a:graphic>
          </wp:inline>
        </w:drawing>
      </w:r>
    </w:p>
    <w:p w14:paraId="701067A7"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S4</w:t>
      </w:r>
      <w:r w:rsidRPr="009E1CE6">
        <w:rPr>
          <w:rFonts w:ascii="Arial" w:eastAsia="Arial" w:hAnsi="Arial" w:cs="Arial"/>
          <w:sz w:val="24"/>
          <w:szCs w:val="24"/>
        </w:rPr>
        <w:t xml:space="preserve"> Forest plot estimates of the pooled NLR for LMICs</w:t>
      </w:r>
    </w:p>
    <w:p w14:paraId="4065759E" w14:textId="77777777" w:rsidR="009E1CE6" w:rsidRPr="009E1CE6" w:rsidRDefault="009E1CE6" w:rsidP="009E1CE6">
      <w:pPr>
        <w:rPr>
          <w:b/>
          <w:bCs/>
          <w:sz w:val="24"/>
          <w:szCs w:val="24"/>
        </w:rPr>
      </w:pPr>
      <w:r w:rsidRPr="009E1CE6">
        <w:rPr>
          <w:rFonts w:ascii="Courier" w:hAnsi="Courier" w:cs="Courier"/>
          <w:noProof/>
          <w:sz w:val="20"/>
          <w:szCs w:val="20"/>
          <w:lang w:val="en-US"/>
        </w:rPr>
        <w:lastRenderedPageBreak/>
        <w:drawing>
          <wp:inline distT="0" distB="0" distL="0" distR="0" wp14:anchorId="4FA417F8" wp14:editId="65387050">
            <wp:extent cx="5943600" cy="3060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0F5E034C"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S5</w:t>
      </w:r>
      <w:r w:rsidRPr="009E1CE6">
        <w:rPr>
          <w:rFonts w:ascii="Arial" w:eastAsia="Arial" w:hAnsi="Arial" w:cs="Arial"/>
          <w:sz w:val="24"/>
          <w:szCs w:val="24"/>
        </w:rPr>
        <w:t xml:space="preserve"> Forest plot estimates of the pooled DOR for LMICs</w:t>
      </w:r>
    </w:p>
    <w:p w14:paraId="24B1265F" w14:textId="77777777" w:rsidR="009E1CE6" w:rsidRPr="009E1CE6" w:rsidRDefault="009E1CE6" w:rsidP="009E1CE6">
      <w:pPr>
        <w:rPr>
          <w:b/>
          <w:bCs/>
          <w:sz w:val="24"/>
          <w:szCs w:val="24"/>
        </w:rPr>
      </w:pPr>
    </w:p>
    <w:p w14:paraId="3B19C0FC" w14:textId="77777777" w:rsidR="009E1CE6" w:rsidRPr="009E1CE6" w:rsidRDefault="009E1CE6" w:rsidP="009E1CE6">
      <w:pPr>
        <w:rPr>
          <w:b/>
          <w:bCs/>
          <w:sz w:val="24"/>
          <w:szCs w:val="24"/>
        </w:rPr>
      </w:pPr>
    </w:p>
    <w:p w14:paraId="660D5F68" w14:textId="77777777" w:rsidR="009E1CE6" w:rsidRPr="009E1CE6" w:rsidRDefault="009E1CE6" w:rsidP="009E1CE6">
      <w:pPr>
        <w:rPr>
          <w:b/>
          <w:bCs/>
          <w:sz w:val="24"/>
          <w:szCs w:val="24"/>
        </w:rPr>
      </w:pPr>
      <w:r w:rsidRPr="009E1CE6">
        <w:rPr>
          <w:rFonts w:ascii="Courier" w:hAnsi="Courier" w:cs="Courier"/>
          <w:noProof/>
          <w:sz w:val="20"/>
          <w:szCs w:val="20"/>
          <w:lang w:val="en-US"/>
        </w:rPr>
        <w:drawing>
          <wp:inline distT="0" distB="0" distL="0" distR="0" wp14:anchorId="4139AA7E" wp14:editId="5C4E8029">
            <wp:extent cx="5607050" cy="4248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4248150"/>
                    </a:xfrm>
                    <a:prstGeom prst="rect">
                      <a:avLst/>
                    </a:prstGeom>
                    <a:noFill/>
                    <a:ln>
                      <a:noFill/>
                    </a:ln>
                  </pic:spPr>
                </pic:pic>
              </a:graphicData>
            </a:graphic>
          </wp:inline>
        </w:drawing>
      </w:r>
    </w:p>
    <w:p w14:paraId="2A120D26"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S6</w:t>
      </w:r>
      <w:r w:rsidRPr="009E1CE6">
        <w:rPr>
          <w:rFonts w:ascii="Arial" w:eastAsia="Arial" w:hAnsi="Arial" w:cs="Arial"/>
          <w:sz w:val="24"/>
          <w:szCs w:val="24"/>
        </w:rPr>
        <w:t xml:space="preserve"> Forest plot estimates of the pooled SROC for LMICs</w:t>
      </w:r>
    </w:p>
    <w:p w14:paraId="47879709" w14:textId="10CDFC65" w:rsidR="009E1CE6" w:rsidRPr="009E1CE6" w:rsidRDefault="009E1CE6" w:rsidP="009E1CE6">
      <w:pPr>
        <w:rPr>
          <w:b/>
          <w:bCs/>
          <w:sz w:val="24"/>
          <w:szCs w:val="24"/>
        </w:rPr>
      </w:pPr>
      <w:bookmarkStart w:id="6" w:name="_Hlk60085910"/>
      <w:r w:rsidRPr="009E1CE6">
        <w:rPr>
          <w:b/>
          <w:bCs/>
          <w:sz w:val="24"/>
          <w:szCs w:val="24"/>
        </w:rPr>
        <w:lastRenderedPageBreak/>
        <w:t xml:space="preserve">Additional file </w:t>
      </w:r>
      <w:r w:rsidR="000C4EF6">
        <w:rPr>
          <w:b/>
          <w:bCs/>
          <w:sz w:val="24"/>
          <w:szCs w:val="24"/>
        </w:rPr>
        <w:t>5</w:t>
      </w:r>
      <w:r w:rsidRPr="009E1CE6">
        <w:rPr>
          <w:b/>
          <w:bCs/>
          <w:sz w:val="24"/>
          <w:szCs w:val="24"/>
        </w:rPr>
        <w:t>: Figures of Sub-group analyses (UMICs)</w:t>
      </w:r>
    </w:p>
    <w:bookmarkEnd w:id="6"/>
    <w:p w14:paraId="37BA02CC" w14:textId="77777777" w:rsidR="009E1CE6" w:rsidRPr="009E1CE6" w:rsidRDefault="009E1CE6" w:rsidP="009E1CE6">
      <w:pPr>
        <w:rPr>
          <w:b/>
          <w:bCs/>
          <w:sz w:val="24"/>
          <w:szCs w:val="24"/>
        </w:rPr>
      </w:pPr>
      <w:r w:rsidRPr="009E1CE6">
        <w:rPr>
          <w:rFonts w:ascii="Courier" w:hAnsi="Courier" w:cs="Courier"/>
          <w:noProof/>
          <w:sz w:val="20"/>
          <w:szCs w:val="20"/>
          <w:lang w:val="en-US"/>
        </w:rPr>
        <w:drawing>
          <wp:inline distT="0" distB="0" distL="0" distR="0" wp14:anchorId="4A977D4F" wp14:editId="30AF266D">
            <wp:extent cx="5943600" cy="3651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651250"/>
                    </a:xfrm>
                    <a:prstGeom prst="rect">
                      <a:avLst/>
                    </a:prstGeom>
                    <a:noFill/>
                    <a:ln>
                      <a:noFill/>
                    </a:ln>
                  </pic:spPr>
                </pic:pic>
              </a:graphicData>
            </a:graphic>
          </wp:inline>
        </w:drawing>
      </w:r>
    </w:p>
    <w:p w14:paraId="760A0D5E"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Arial" w:eastAsia="Arial" w:hAnsi="Arial" w:cs="Arial"/>
          <w:b/>
          <w:sz w:val="24"/>
          <w:szCs w:val="24"/>
        </w:rPr>
        <w:t>Figure S1</w:t>
      </w:r>
      <w:r w:rsidRPr="009E1CE6">
        <w:rPr>
          <w:rFonts w:ascii="Arial" w:eastAsia="Arial" w:hAnsi="Arial" w:cs="Arial"/>
          <w:sz w:val="24"/>
          <w:szCs w:val="24"/>
        </w:rPr>
        <w:t xml:space="preserve"> Forest plot estimates of the pooled sensitivity for UMICs</w:t>
      </w:r>
    </w:p>
    <w:p w14:paraId="7AAFD75D" w14:textId="77777777" w:rsidR="009E1CE6" w:rsidRPr="009E1CE6" w:rsidRDefault="009E1CE6" w:rsidP="009E1CE6">
      <w:pPr>
        <w:rPr>
          <w:b/>
          <w:bCs/>
          <w:sz w:val="24"/>
          <w:szCs w:val="24"/>
        </w:rPr>
      </w:pPr>
    </w:p>
    <w:p w14:paraId="46E613AE"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drawing>
          <wp:inline distT="0" distB="0" distL="0" distR="0" wp14:anchorId="4A61FE8F" wp14:editId="2C6FA16C">
            <wp:extent cx="5943600" cy="3448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r w:rsidRPr="009E1CE6">
        <w:rPr>
          <w:rFonts w:ascii="Arial" w:eastAsia="Arial" w:hAnsi="Arial" w:cs="Arial"/>
          <w:b/>
          <w:sz w:val="24"/>
          <w:szCs w:val="24"/>
        </w:rPr>
        <w:t xml:space="preserve"> Figure S2</w:t>
      </w:r>
      <w:r w:rsidRPr="009E1CE6">
        <w:rPr>
          <w:rFonts w:ascii="Arial" w:eastAsia="Arial" w:hAnsi="Arial" w:cs="Arial"/>
          <w:sz w:val="24"/>
          <w:szCs w:val="24"/>
        </w:rPr>
        <w:t xml:space="preserve"> Forest plot estimates of the pooled specificity for UMICs</w:t>
      </w:r>
    </w:p>
    <w:p w14:paraId="038DCEA9" w14:textId="77777777" w:rsidR="009E1CE6" w:rsidRPr="009E1CE6" w:rsidRDefault="009E1CE6" w:rsidP="009E1CE6">
      <w:pPr>
        <w:rPr>
          <w:b/>
          <w:bCs/>
          <w:sz w:val="24"/>
          <w:szCs w:val="24"/>
        </w:rPr>
      </w:pPr>
    </w:p>
    <w:p w14:paraId="723DD1B4"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drawing>
          <wp:inline distT="0" distB="0" distL="0" distR="0" wp14:anchorId="51906E2C" wp14:editId="2CDF61D5">
            <wp:extent cx="5943600" cy="3016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16250"/>
                    </a:xfrm>
                    <a:prstGeom prst="rect">
                      <a:avLst/>
                    </a:prstGeom>
                    <a:noFill/>
                    <a:ln>
                      <a:noFill/>
                    </a:ln>
                  </pic:spPr>
                </pic:pic>
              </a:graphicData>
            </a:graphic>
          </wp:inline>
        </w:drawing>
      </w:r>
      <w:r w:rsidRPr="009E1CE6">
        <w:rPr>
          <w:rFonts w:ascii="Arial" w:eastAsia="Arial" w:hAnsi="Arial" w:cs="Arial"/>
          <w:b/>
          <w:sz w:val="24"/>
          <w:szCs w:val="24"/>
        </w:rPr>
        <w:t xml:space="preserve"> Figure S3</w:t>
      </w:r>
      <w:r w:rsidRPr="009E1CE6">
        <w:rPr>
          <w:rFonts w:ascii="Arial" w:eastAsia="Arial" w:hAnsi="Arial" w:cs="Arial"/>
          <w:sz w:val="24"/>
          <w:szCs w:val="24"/>
        </w:rPr>
        <w:t xml:space="preserve"> Forest plot estimates of the pooled PLR for UMICs</w:t>
      </w:r>
    </w:p>
    <w:p w14:paraId="48A2DBF4" w14:textId="77777777" w:rsidR="009E1CE6" w:rsidRPr="009E1CE6" w:rsidRDefault="009E1CE6" w:rsidP="009E1CE6">
      <w:pPr>
        <w:rPr>
          <w:b/>
          <w:bCs/>
          <w:sz w:val="24"/>
          <w:szCs w:val="24"/>
        </w:rPr>
      </w:pPr>
    </w:p>
    <w:p w14:paraId="2ADCF955"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drawing>
          <wp:inline distT="0" distB="0" distL="0" distR="0" wp14:anchorId="10B8E5AC" wp14:editId="204FC14A">
            <wp:extent cx="5943600" cy="2946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946400"/>
                    </a:xfrm>
                    <a:prstGeom prst="rect">
                      <a:avLst/>
                    </a:prstGeom>
                    <a:noFill/>
                    <a:ln>
                      <a:noFill/>
                    </a:ln>
                  </pic:spPr>
                </pic:pic>
              </a:graphicData>
            </a:graphic>
          </wp:inline>
        </w:drawing>
      </w:r>
      <w:r w:rsidRPr="009E1CE6">
        <w:rPr>
          <w:rFonts w:ascii="Arial" w:eastAsia="Arial" w:hAnsi="Arial" w:cs="Arial"/>
          <w:b/>
          <w:sz w:val="24"/>
          <w:szCs w:val="24"/>
        </w:rPr>
        <w:t xml:space="preserve"> Figure S4</w:t>
      </w:r>
      <w:r w:rsidRPr="009E1CE6">
        <w:rPr>
          <w:rFonts w:ascii="Arial" w:eastAsia="Arial" w:hAnsi="Arial" w:cs="Arial"/>
          <w:sz w:val="24"/>
          <w:szCs w:val="24"/>
        </w:rPr>
        <w:t xml:space="preserve"> Forest plot estimates of the pooled NLR for UMICs</w:t>
      </w:r>
    </w:p>
    <w:p w14:paraId="7A55F59C" w14:textId="77777777" w:rsidR="009E1CE6" w:rsidRPr="009E1CE6" w:rsidRDefault="009E1CE6" w:rsidP="009E1CE6">
      <w:pPr>
        <w:rPr>
          <w:b/>
          <w:bCs/>
          <w:sz w:val="24"/>
          <w:szCs w:val="24"/>
        </w:rPr>
      </w:pPr>
    </w:p>
    <w:p w14:paraId="4EBC69AB" w14:textId="77777777" w:rsidR="009E1CE6" w:rsidRPr="009E1CE6" w:rsidRDefault="009E1CE6" w:rsidP="009E1CE6">
      <w:pPr>
        <w:rPr>
          <w:b/>
          <w:bCs/>
          <w:sz w:val="24"/>
          <w:szCs w:val="24"/>
        </w:rPr>
      </w:pPr>
    </w:p>
    <w:p w14:paraId="2D2E92AC" w14:textId="77777777" w:rsidR="009E1CE6" w:rsidRPr="009E1CE6" w:rsidRDefault="009E1CE6" w:rsidP="009E1CE6">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lastRenderedPageBreak/>
        <w:drawing>
          <wp:inline distT="0" distB="0" distL="0" distR="0" wp14:anchorId="2EB70A80" wp14:editId="3F1AA971">
            <wp:extent cx="5854700" cy="2825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4700" cy="2825750"/>
                    </a:xfrm>
                    <a:prstGeom prst="rect">
                      <a:avLst/>
                    </a:prstGeom>
                    <a:noFill/>
                    <a:ln>
                      <a:noFill/>
                    </a:ln>
                  </pic:spPr>
                </pic:pic>
              </a:graphicData>
            </a:graphic>
          </wp:inline>
        </w:drawing>
      </w:r>
      <w:r w:rsidRPr="009E1CE6">
        <w:rPr>
          <w:rFonts w:ascii="Arial" w:eastAsia="Arial" w:hAnsi="Arial" w:cs="Arial"/>
          <w:b/>
          <w:sz w:val="24"/>
          <w:szCs w:val="24"/>
        </w:rPr>
        <w:t xml:space="preserve"> Figure S5</w:t>
      </w:r>
      <w:r w:rsidRPr="009E1CE6">
        <w:rPr>
          <w:rFonts w:ascii="Arial" w:eastAsia="Arial" w:hAnsi="Arial" w:cs="Arial"/>
          <w:sz w:val="24"/>
          <w:szCs w:val="24"/>
        </w:rPr>
        <w:t xml:space="preserve"> Forest plot estimates of the pooled DOR for UMICs</w:t>
      </w:r>
    </w:p>
    <w:p w14:paraId="6EBDAA3F" w14:textId="77777777" w:rsidR="009E1CE6" w:rsidRPr="009E1CE6" w:rsidRDefault="009E1CE6" w:rsidP="009E1CE6">
      <w:pPr>
        <w:rPr>
          <w:b/>
          <w:bCs/>
          <w:sz w:val="24"/>
          <w:szCs w:val="24"/>
        </w:rPr>
      </w:pPr>
    </w:p>
    <w:p w14:paraId="1425253B" w14:textId="62B3D4B2" w:rsidR="009E1CE6" w:rsidRPr="005B52F0" w:rsidRDefault="009E1CE6" w:rsidP="005B52F0">
      <w:pPr>
        <w:spacing w:after="280" w:line="480" w:lineRule="auto"/>
        <w:jc w:val="both"/>
        <w:rPr>
          <w:rFonts w:ascii="Arial" w:eastAsia="Arial" w:hAnsi="Arial" w:cs="Arial"/>
          <w:sz w:val="24"/>
          <w:szCs w:val="24"/>
        </w:rPr>
      </w:pPr>
      <w:r w:rsidRPr="009E1CE6">
        <w:rPr>
          <w:rFonts w:ascii="Courier" w:hAnsi="Courier" w:cs="Courier"/>
          <w:noProof/>
          <w:sz w:val="20"/>
          <w:szCs w:val="20"/>
          <w:lang w:val="en-US"/>
        </w:rPr>
        <w:drawing>
          <wp:inline distT="0" distB="0" distL="0" distR="0" wp14:anchorId="7CE31ED3" wp14:editId="30228F7F">
            <wp:extent cx="5943600" cy="458216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582160"/>
                    </a:xfrm>
                    <a:prstGeom prst="rect">
                      <a:avLst/>
                    </a:prstGeom>
                    <a:noFill/>
                    <a:ln>
                      <a:noFill/>
                    </a:ln>
                  </pic:spPr>
                </pic:pic>
              </a:graphicData>
            </a:graphic>
          </wp:inline>
        </w:drawing>
      </w:r>
      <w:r w:rsidRPr="009E1CE6">
        <w:rPr>
          <w:rFonts w:ascii="Arial" w:eastAsia="Arial" w:hAnsi="Arial" w:cs="Arial"/>
          <w:b/>
          <w:sz w:val="24"/>
          <w:szCs w:val="24"/>
        </w:rPr>
        <w:t xml:space="preserve"> Figure S6</w:t>
      </w:r>
      <w:r w:rsidRPr="009E1CE6">
        <w:rPr>
          <w:rFonts w:ascii="Arial" w:eastAsia="Arial" w:hAnsi="Arial" w:cs="Arial"/>
          <w:sz w:val="24"/>
          <w:szCs w:val="24"/>
        </w:rPr>
        <w:t xml:space="preserve"> Forest plot estimates of the pooled SROC for UMICs</w:t>
      </w:r>
    </w:p>
    <w:p w14:paraId="3533D3AC" w14:textId="1F321FF3" w:rsidR="000C4EF6" w:rsidRPr="000C4EF6" w:rsidRDefault="000C4EF6" w:rsidP="000C4EF6">
      <w:pPr>
        <w:spacing w:after="0" w:line="480" w:lineRule="auto"/>
        <w:jc w:val="both"/>
        <w:rPr>
          <w:rFonts w:eastAsia="Arial" w:cstheme="minorHAnsi"/>
          <w:sz w:val="24"/>
          <w:szCs w:val="24"/>
          <w:lang w:val="en-US"/>
        </w:rPr>
      </w:pPr>
      <w:bookmarkStart w:id="7" w:name="_Hlk60085958"/>
      <w:r w:rsidRPr="000C4EF6">
        <w:rPr>
          <w:rFonts w:eastAsia="Arial" w:cstheme="minorHAnsi"/>
          <w:b/>
          <w:sz w:val="24"/>
          <w:szCs w:val="24"/>
          <w:lang w:val="en-US"/>
        </w:rPr>
        <w:lastRenderedPageBreak/>
        <w:t xml:space="preserve">Additional file </w:t>
      </w:r>
      <w:r>
        <w:rPr>
          <w:rFonts w:eastAsia="Arial" w:cstheme="minorHAnsi"/>
          <w:b/>
          <w:sz w:val="24"/>
          <w:szCs w:val="24"/>
          <w:lang w:val="en-US"/>
        </w:rPr>
        <w:t>6</w:t>
      </w:r>
      <w:r w:rsidRPr="000C4EF6">
        <w:rPr>
          <w:rFonts w:eastAsia="Arial" w:cstheme="minorHAnsi"/>
          <w:b/>
          <w:sz w:val="24"/>
          <w:szCs w:val="24"/>
          <w:lang w:val="en-US"/>
        </w:rPr>
        <w:t xml:space="preserve">: </w:t>
      </w:r>
      <w:r w:rsidRPr="000C4EF6">
        <w:rPr>
          <w:rFonts w:eastAsia="Arial" w:cstheme="minorHAnsi"/>
          <w:sz w:val="24"/>
          <w:szCs w:val="24"/>
          <w:lang w:val="en-US"/>
        </w:rPr>
        <w:t>Definition of statistical parameters</w:t>
      </w:r>
    </w:p>
    <w:bookmarkEnd w:id="7"/>
    <w:p w14:paraId="204C4AFF"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AUC</w:t>
      </w:r>
      <w:r w:rsidRPr="000C4EF6">
        <w:rPr>
          <w:rFonts w:eastAsia="Arial" w:cstheme="minorHAnsi"/>
          <w:sz w:val="24"/>
          <w:szCs w:val="24"/>
          <w:lang w:val="en-US"/>
        </w:rPr>
        <w:t xml:space="preserve">: The area under the (regression) curve also measures the overall accuracy of diagnostic tests. If the AUC is 100%, then the test differentiates perfectly between diseased and non-diseased individuals. An AUC of 50% indicates a poor diagnostic accuracy. </w:t>
      </w:r>
    </w:p>
    <w:p w14:paraId="29E5E67D"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DOR</w:t>
      </w:r>
      <w:r w:rsidRPr="000C4EF6">
        <w:rPr>
          <w:rFonts w:eastAsia="Arial" w:cstheme="minorHAnsi"/>
          <w:sz w:val="24"/>
          <w:szCs w:val="24"/>
          <w:lang w:val="en-US"/>
        </w:rPr>
        <w:t xml:space="preserve">: This was calculated by positive likelihood ratio/negative likelihood ratio or </w:t>
      </w:r>
      <w:r w:rsidRPr="000C4EF6">
        <w:rPr>
          <w:rFonts w:eastAsia="Arial" w:cstheme="minorHAnsi"/>
          <w:i/>
          <w:sz w:val="24"/>
          <w:szCs w:val="24"/>
          <w:lang w:val="en-US"/>
        </w:rPr>
        <w:t>[sensitivity/ (1-specificity)]/ [(1-sensit​ivity)/ specificity].</w:t>
      </w:r>
      <w:r w:rsidRPr="000C4EF6">
        <w:rPr>
          <w:rFonts w:eastAsia="Arial" w:cstheme="minorHAnsi"/>
          <w:color w:val="303030"/>
          <w:sz w:val="24"/>
          <w:szCs w:val="24"/>
          <w:lang w:val="en-US"/>
        </w:rPr>
        <w:t xml:space="preserve"> </w:t>
      </w:r>
      <w:r w:rsidRPr="000C4EF6">
        <w:rPr>
          <w:rFonts w:eastAsia="Arial" w:cstheme="minorHAnsi"/>
          <w:sz w:val="24"/>
          <w:szCs w:val="24"/>
          <w:lang w:val="en-US"/>
        </w:rPr>
        <w:t xml:space="preserve">DOR is a measure of the overall diagnostic power of a test. A high DOR implies that the test shows good diagnostic accuracy in all patients; whereas a DOR of 1 would indicate that the test cannot discriminate between people with and without disease. </w:t>
      </w:r>
    </w:p>
    <w:p w14:paraId="73C818AE"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I</w:t>
      </w:r>
      <w:r w:rsidRPr="000C4EF6">
        <w:rPr>
          <w:rFonts w:eastAsia="Arial" w:cstheme="minorHAnsi"/>
          <w:b/>
          <w:sz w:val="24"/>
          <w:szCs w:val="24"/>
          <w:vertAlign w:val="superscript"/>
          <w:lang w:val="en-US"/>
        </w:rPr>
        <w:t>2</w:t>
      </w:r>
      <w:r w:rsidRPr="000C4EF6">
        <w:rPr>
          <w:rFonts w:eastAsia="Arial" w:cstheme="minorHAnsi"/>
          <w:sz w:val="24"/>
          <w:szCs w:val="24"/>
          <w:lang w:val="en-US"/>
        </w:rPr>
        <w:t>: A statistic describing the proportion of total variation in study estimates that is due to heterogeneity. Values greater than 50% suggest greater heterogeneity between the studies. If the I</w:t>
      </w:r>
      <w:r w:rsidRPr="000C4EF6">
        <w:rPr>
          <w:rFonts w:eastAsia="Arial" w:cstheme="minorHAnsi"/>
          <w:sz w:val="24"/>
          <w:szCs w:val="24"/>
          <w:vertAlign w:val="superscript"/>
          <w:lang w:val="en-US"/>
        </w:rPr>
        <w:t>2</w:t>
      </w:r>
      <w:r w:rsidRPr="000C4EF6">
        <w:rPr>
          <w:rFonts w:eastAsia="Arial" w:cstheme="minorHAnsi"/>
          <w:sz w:val="24"/>
          <w:szCs w:val="24"/>
          <w:lang w:val="en-US"/>
        </w:rPr>
        <w:t xml:space="preserve"> statistic suggests significant heterogeneity between the studies then the reasons for such differences can be examined by relating study level co-variates i.e. type of reference test, prevalence, type of PCR or other methodological features.</w:t>
      </w:r>
    </w:p>
    <w:p w14:paraId="5E67D228"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Negative likelihood ratio</w:t>
      </w:r>
      <w:r w:rsidRPr="000C4EF6">
        <w:rPr>
          <w:rFonts w:eastAsia="Arial" w:cstheme="minorHAnsi"/>
          <w:b/>
          <w:i/>
          <w:sz w:val="24"/>
          <w:szCs w:val="24"/>
          <w:lang w:val="en-US"/>
        </w:rPr>
        <w:t>:</w:t>
      </w:r>
      <w:r w:rsidRPr="000C4EF6">
        <w:rPr>
          <w:rFonts w:eastAsia="Arial" w:cstheme="minorHAnsi"/>
          <w:sz w:val="24"/>
          <w:szCs w:val="24"/>
          <w:lang w:val="en-US"/>
        </w:rPr>
        <w:t xml:space="preserve"> ratio of the proportion that test negative amongst those that have the target condition compared to the proportion that test negative amongst those who do not have the target condition. </w:t>
      </w:r>
    </w:p>
    <w:p w14:paraId="4FF6279D"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Positive likelihood ratio</w:t>
      </w:r>
      <w:r w:rsidRPr="000C4EF6">
        <w:rPr>
          <w:rFonts w:eastAsia="Arial" w:cstheme="minorHAnsi"/>
          <w:b/>
          <w:i/>
          <w:sz w:val="24"/>
          <w:szCs w:val="24"/>
          <w:lang w:val="en-US"/>
        </w:rPr>
        <w:t>:</w:t>
      </w:r>
      <w:r w:rsidRPr="000C4EF6">
        <w:rPr>
          <w:rFonts w:eastAsia="Arial" w:cstheme="minorHAnsi"/>
          <w:sz w:val="24"/>
          <w:szCs w:val="24"/>
          <w:lang w:val="en-US"/>
        </w:rPr>
        <w:t xml:space="preserve"> ratio of the proportion that test positive amongst those that have the target condition compared to the proportion that test positive amongst those who do not have the target condition.</w:t>
      </w:r>
    </w:p>
    <w:p w14:paraId="315A9F22"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Q</w:t>
      </w:r>
      <w:r w:rsidRPr="000C4EF6">
        <w:rPr>
          <w:rFonts w:eastAsia="Arial" w:cstheme="minorHAnsi"/>
          <w:sz w:val="24"/>
          <w:szCs w:val="24"/>
          <w:lang w:val="en-US"/>
        </w:rPr>
        <w:t>: Is the intercept of the SROC and the anti-diagonal line through the unit square i.e. the point of the curve in which sensitivity equals specificity.</w:t>
      </w:r>
      <w:r w:rsidRPr="000C4EF6">
        <w:rPr>
          <w:rFonts w:eastAsia="Arial" w:cstheme="minorHAnsi"/>
          <w:color w:val="FF0000"/>
          <w:sz w:val="24"/>
          <w:szCs w:val="24"/>
          <w:lang w:val="en-US"/>
        </w:rPr>
        <w:t xml:space="preserve"> </w:t>
      </w:r>
      <w:r w:rsidRPr="000C4EF6">
        <w:rPr>
          <w:rFonts w:eastAsia="Arial" w:cstheme="minorHAnsi"/>
          <w:sz w:val="24"/>
          <w:szCs w:val="24"/>
          <w:lang w:val="en-US"/>
        </w:rPr>
        <w:t>Q estimates the overall accuracy by finding where sensitivity and specificity are the same. If the curve is closer to the top left corner, the better the accuracy. The higher the Q, the more accurate is the test. However, a high Q is desirable in tests where high sensitivity and high specificity are equally important. If, however, when either the sensitivity or the specificity is more important than one of them, then Q does not address the clinical usefulness of the test.</w:t>
      </w:r>
    </w:p>
    <w:p w14:paraId="7C97A0CF"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Receiver characteristic operating curve (ROC)</w:t>
      </w:r>
      <w:r w:rsidRPr="000C4EF6">
        <w:rPr>
          <w:rFonts w:eastAsia="Arial" w:cstheme="minorHAnsi"/>
          <w:b/>
          <w:i/>
          <w:sz w:val="24"/>
          <w:szCs w:val="24"/>
          <w:lang w:val="en-US"/>
        </w:rPr>
        <w:t xml:space="preserve">: </w:t>
      </w:r>
      <w:r w:rsidRPr="000C4EF6">
        <w:rPr>
          <w:rFonts w:eastAsia="Arial" w:cstheme="minorHAnsi"/>
          <w:sz w:val="24"/>
          <w:szCs w:val="24"/>
          <w:lang w:val="en-US"/>
        </w:rPr>
        <w:t>the sensitivity and specificity of a test vary depending on the threshold value chosen. The ROC curve describes the trade-off between sensitivity and specificity as the threshold changes.</w:t>
      </w:r>
    </w:p>
    <w:p w14:paraId="60010DA6"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Sensitivity</w:t>
      </w:r>
      <w:r w:rsidRPr="000C4EF6">
        <w:rPr>
          <w:rFonts w:eastAsia="Arial" w:cstheme="minorHAnsi"/>
          <w:b/>
          <w:i/>
          <w:sz w:val="24"/>
          <w:szCs w:val="24"/>
          <w:lang w:val="en-US"/>
        </w:rPr>
        <w:t>:</w:t>
      </w:r>
      <w:r w:rsidRPr="000C4EF6">
        <w:rPr>
          <w:rFonts w:eastAsia="Arial" w:cstheme="minorHAnsi"/>
          <w:sz w:val="24"/>
          <w:szCs w:val="24"/>
          <w:lang w:val="en-US"/>
        </w:rPr>
        <w:t xml:space="preserve"> proportion that test positive amongst those having the target condition. </w:t>
      </w:r>
    </w:p>
    <w:p w14:paraId="23757B3D"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lastRenderedPageBreak/>
        <w:t>Specificity</w:t>
      </w:r>
      <w:r w:rsidRPr="000C4EF6">
        <w:rPr>
          <w:rFonts w:eastAsia="Arial" w:cstheme="minorHAnsi"/>
          <w:b/>
          <w:i/>
          <w:sz w:val="24"/>
          <w:szCs w:val="24"/>
          <w:lang w:val="en-US"/>
        </w:rPr>
        <w:t>:</w:t>
      </w:r>
      <w:r w:rsidRPr="000C4EF6">
        <w:rPr>
          <w:rFonts w:eastAsia="Arial" w:cstheme="minorHAnsi"/>
          <w:sz w:val="24"/>
          <w:szCs w:val="24"/>
          <w:lang w:val="en-US"/>
        </w:rPr>
        <w:t xml:space="preserve"> proportion that test negative amongst those without the target condition.</w:t>
      </w:r>
    </w:p>
    <w:p w14:paraId="6D059625"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Summary receiver characteristic operating curve (SROC)</w:t>
      </w:r>
      <w:r w:rsidRPr="000C4EF6">
        <w:rPr>
          <w:rFonts w:eastAsia="Arial" w:cstheme="minorHAnsi"/>
          <w:sz w:val="24"/>
          <w:szCs w:val="24"/>
          <w:lang w:val="en-US"/>
        </w:rPr>
        <w:t>: This displays each study's sensitivity and specificity estimates within the ROC space. A regression curve is fitted through the distribution of pairs of sensitivity and specificity. A shoulder-like curve indicates that the variability between studies may be due to the threshold effect (i.e. variation in cut-off values used across studies) and that an underlying common DOR exists that does not change with the threshold. A non-shoulder-like curve shows that sensitivity and specificity are not correlated.</w:t>
      </w:r>
    </w:p>
    <w:p w14:paraId="0A5DF21F" w14:textId="77777777" w:rsidR="000C4EF6" w:rsidRPr="000C4EF6" w:rsidRDefault="000C4EF6" w:rsidP="000C4EF6">
      <w:pPr>
        <w:spacing w:after="0" w:line="360" w:lineRule="auto"/>
        <w:jc w:val="both"/>
        <w:rPr>
          <w:rFonts w:eastAsia="Arial" w:cstheme="minorHAnsi"/>
          <w:sz w:val="24"/>
          <w:szCs w:val="24"/>
          <w:lang w:val="en-US"/>
        </w:rPr>
      </w:pPr>
      <w:r w:rsidRPr="000C4EF6">
        <w:rPr>
          <w:rFonts w:eastAsia="Arial" w:cstheme="minorHAnsi"/>
          <w:b/>
          <w:sz w:val="24"/>
          <w:szCs w:val="24"/>
          <w:lang w:val="en-US"/>
        </w:rPr>
        <w:t>Threshold</w:t>
      </w:r>
      <w:r w:rsidRPr="000C4EF6">
        <w:rPr>
          <w:rFonts w:eastAsia="Arial" w:cstheme="minorHAnsi"/>
          <w:b/>
          <w:i/>
          <w:sz w:val="24"/>
          <w:szCs w:val="24"/>
          <w:lang w:val="en-US"/>
        </w:rPr>
        <w:t>:</w:t>
      </w:r>
      <w:r w:rsidRPr="000C4EF6">
        <w:rPr>
          <w:rFonts w:eastAsia="Arial" w:cstheme="minorHAnsi"/>
          <w:sz w:val="24"/>
          <w:szCs w:val="24"/>
          <w:lang w:val="en-US"/>
        </w:rPr>
        <w:t xml:space="preserve"> A value above or below which a test result is considered positive.</w:t>
      </w:r>
    </w:p>
    <w:p w14:paraId="511E394C" w14:textId="77777777" w:rsidR="000C4EF6" w:rsidRPr="000C4EF6" w:rsidRDefault="000C4EF6" w:rsidP="000C4EF6">
      <w:pPr>
        <w:spacing w:after="0" w:line="360" w:lineRule="auto"/>
        <w:jc w:val="both"/>
        <w:rPr>
          <w:rFonts w:eastAsia="Arial" w:cstheme="minorHAnsi"/>
          <w:b/>
          <w:sz w:val="24"/>
          <w:szCs w:val="24"/>
          <w:lang w:val="en-US"/>
        </w:rPr>
      </w:pPr>
    </w:p>
    <w:p w14:paraId="0F88EEA1" w14:textId="77777777" w:rsidR="000C4EF6" w:rsidRPr="000C4EF6" w:rsidRDefault="000C4EF6" w:rsidP="000C4EF6">
      <w:pPr>
        <w:spacing w:after="0" w:line="360" w:lineRule="auto"/>
        <w:jc w:val="both"/>
        <w:rPr>
          <w:rFonts w:eastAsia="Arial" w:cstheme="minorHAnsi"/>
          <w:b/>
          <w:sz w:val="24"/>
          <w:szCs w:val="24"/>
          <w:lang w:val="en-US"/>
        </w:rPr>
      </w:pPr>
      <w:r w:rsidRPr="000C4EF6">
        <w:rPr>
          <w:rFonts w:eastAsia="Arial" w:cstheme="minorHAnsi"/>
          <w:b/>
          <w:sz w:val="24"/>
          <w:szCs w:val="24"/>
          <w:lang w:val="en-US"/>
        </w:rPr>
        <w:t>Moses-Littenberg statistical modelling of ROC curves</w:t>
      </w:r>
    </w:p>
    <w:p w14:paraId="4E1FB7BE" w14:textId="65B0F864" w:rsidR="000C4EF6" w:rsidRPr="000C4EF6" w:rsidRDefault="000C4EF6" w:rsidP="000C4EF6">
      <w:pPr>
        <w:spacing w:after="0" w:line="360" w:lineRule="auto"/>
        <w:jc w:val="both"/>
        <w:rPr>
          <w:rFonts w:eastAsia="Arial" w:cstheme="minorHAnsi"/>
          <w:b/>
          <w:sz w:val="24"/>
          <w:szCs w:val="24"/>
          <w:lang w:val="en-US"/>
        </w:rPr>
      </w:pPr>
      <w:r w:rsidRPr="000C4EF6">
        <w:rPr>
          <w:rFonts w:eastAsia="Calibri" w:cstheme="minorHAnsi"/>
          <w:noProof/>
          <w:sz w:val="24"/>
          <w:szCs w:val="24"/>
          <w:lang w:val="en-US"/>
        </w:rPr>
        <w:drawing>
          <wp:inline distT="0" distB="0" distL="0" distR="0" wp14:anchorId="1D5940A5" wp14:editId="702C11BA">
            <wp:extent cx="3448050" cy="1593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0" cy="1593850"/>
                    </a:xfrm>
                    <a:prstGeom prst="rect">
                      <a:avLst/>
                    </a:prstGeom>
                    <a:noFill/>
                    <a:ln>
                      <a:noFill/>
                    </a:ln>
                  </pic:spPr>
                </pic:pic>
              </a:graphicData>
            </a:graphic>
          </wp:inline>
        </w:drawing>
      </w:r>
      <w:r w:rsidRPr="000C4EF6">
        <w:rPr>
          <w:rFonts w:eastAsia="Calibri" w:cstheme="minorHAnsi"/>
          <w:noProof/>
          <w:sz w:val="24"/>
          <w:szCs w:val="24"/>
          <w:lang w:val="en-US"/>
        </w:rPr>
        <w:drawing>
          <wp:inline distT="0" distB="0" distL="0" distR="0" wp14:anchorId="0411AD59" wp14:editId="4B584295">
            <wp:extent cx="2908300" cy="2241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8300" cy="2241550"/>
                    </a:xfrm>
                    <a:prstGeom prst="rect">
                      <a:avLst/>
                    </a:prstGeom>
                    <a:noFill/>
                    <a:ln>
                      <a:noFill/>
                    </a:ln>
                  </pic:spPr>
                </pic:pic>
              </a:graphicData>
            </a:graphic>
          </wp:inline>
        </w:drawing>
      </w:r>
    </w:p>
    <w:p w14:paraId="31D8D582" w14:textId="77777777" w:rsidR="000C4EF6" w:rsidRPr="000C4EF6" w:rsidRDefault="000C4EF6" w:rsidP="000C4EF6">
      <w:pPr>
        <w:spacing w:after="200" w:line="276" w:lineRule="auto"/>
        <w:rPr>
          <w:rFonts w:eastAsia="Calibri" w:cstheme="minorHAnsi"/>
          <w:sz w:val="24"/>
          <w:szCs w:val="24"/>
          <w:lang w:val="en-US"/>
        </w:rPr>
      </w:pPr>
    </w:p>
    <w:p w14:paraId="7C7C65F9" w14:textId="77777777" w:rsidR="009E1CE6" w:rsidRPr="00C37785" w:rsidRDefault="009E1CE6">
      <w:pPr>
        <w:rPr>
          <w:rFonts w:cstheme="minorHAnsi"/>
          <w:sz w:val="24"/>
          <w:szCs w:val="24"/>
        </w:rPr>
      </w:pPr>
    </w:p>
    <w:sectPr w:rsidR="009E1CE6" w:rsidRPr="00C37785" w:rsidSect="00FC0C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9C7F" w14:textId="77777777" w:rsidR="003C5866" w:rsidRDefault="003C5866" w:rsidP="009727C6">
      <w:pPr>
        <w:spacing w:after="0" w:line="240" w:lineRule="auto"/>
      </w:pPr>
      <w:r>
        <w:separator/>
      </w:r>
    </w:p>
  </w:endnote>
  <w:endnote w:type="continuationSeparator" w:id="0">
    <w:p w14:paraId="11E61E01" w14:textId="77777777" w:rsidR="003C5866" w:rsidRDefault="003C5866" w:rsidP="0097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83487"/>
      <w:docPartObj>
        <w:docPartGallery w:val="Page Numbers (Bottom of Page)"/>
        <w:docPartUnique/>
      </w:docPartObj>
    </w:sdtPr>
    <w:sdtEndPr>
      <w:rPr>
        <w:noProof/>
      </w:rPr>
    </w:sdtEndPr>
    <w:sdtContent>
      <w:p w14:paraId="691A2058" w14:textId="652A5E1A" w:rsidR="0007602B" w:rsidRDefault="0007602B">
        <w:pPr>
          <w:pStyle w:val="Footer"/>
        </w:pPr>
        <w:r>
          <w:fldChar w:fldCharType="begin"/>
        </w:r>
        <w:r>
          <w:instrText xml:space="preserve"> PAGE   \* MERGEFORMAT </w:instrText>
        </w:r>
        <w:r>
          <w:fldChar w:fldCharType="separate"/>
        </w:r>
        <w:r w:rsidR="00A707AE">
          <w:rPr>
            <w:noProof/>
          </w:rPr>
          <w:t>2</w:t>
        </w:r>
        <w:r>
          <w:rPr>
            <w:noProof/>
          </w:rPr>
          <w:fldChar w:fldCharType="end"/>
        </w:r>
      </w:p>
    </w:sdtContent>
  </w:sdt>
  <w:p w14:paraId="6FFE7DE5" w14:textId="77777777" w:rsidR="0007602B" w:rsidRDefault="0007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AEC9" w14:textId="77777777" w:rsidR="003C5866" w:rsidRDefault="003C5866" w:rsidP="009727C6">
      <w:pPr>
        <w:spacing w:after="0" w:line="240" w:lineRule="auto"/>
      </w:pPr>
      <w:r>
        <w:separator/>
      </w:r>
    </w:p>
  </w:footnote>
  <w:footnote w:type="continuationSeparator" w:id="0">
    <w:p w14:paraId="72B19746" w14:textId="77777777" w:rsidR="003C5866" w:rsidRDefault="003C5866" w:rsidP="0097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481"/>
    <w:multiLevelType w:val="multilevel"/>
    <w:tmpl w:val="D36A0B9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4B224FF"/>
    <w:multiLevelType w:val="hybridMultilevel"/>
    <w:tmpl w:val="0584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80311"/>
    <w:multiLevelType w:val="multilevel"/>
    <w:tmpl w:val="B02043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74D3D24"/>
    <w:multiLevelType w:val="multilevel"/>
    <w:tmpl w:val="91365138"/>
    <w:lvl w:ilvl="0">
      <w:start w:val="1"/>
      <w:numFmt w:val="bullet"/>
      <w:pStyle w:val="KCEBulleted"/>
      <w:lvlText w:val="●"/>
      <w:lvlJc w:val="left"/>
      <w:pPr>
        <w:ind w:left="720" w:firstLine="360"/>
      </w:pPr>
      <w:rPr>
        <w:rFonts w:ascii="Arial" w:eastAsia="Arial" w:hAnsi="Arial" w:cs="Arial"/>
      </w:rPr>
    </w:lvl>
    <w:lvl w:ilvl="1">
      <w:start w:val="1"/>
      <w:numFmt w:val="bullet"/>
      <w:pStyle w:val="KCEBulletedSub"/>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7BD15BE"/>
    <w:multiLevelType w:val="multilevel"/>
    <w:tmpl w:val="A03CAF9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92049EA"/>
    <w:multiLevelType w:val="multilevel"/>
    <w:tmpl w:val="C30411E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F0E4BE6"/>
    <w:multiLevelType w:val="multilevel"/>
    <w:tmpl w:val="F1D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7"/>
    <w:rsid w:val="00016507"/>
    <w:rsid w:val="00026B5C"/>
    <w:rsid w:val="00040B3B"/>
    <w:rsid w:val="00055DC2"/>
    <w:rsid w:val="00070DCF"/>
    <w:rsid w:val="0007602B"/>
    <w:rsid w:val="000C4EF6"/>
    <w:rsid w:val="000C573E"/>
    <w:rsid w:val="000D53D5"/>
    <w:rsid w:val="0011376E"/>
    <w:rsid w:val="00125C74"/>
    <w:rsid w:val="00167694"/>
    <w:rsid w:val="001C7885"/>
    <w:rsid w:val="001D0D9E"/>
    <w:rsid w:val="001E0ACD"/>
    <w:rsid w:val="001F21F2"/>
    <w:rsid w:val="0020148D"/>
    <w:rsid w:val="00204606"/>
    <w:rsid w:val="00213B98"/>
    <w:rsid w:val="0026351D"/>
    <w:rsid w:val="00282466"/>
    <w:rsid w:val="0028316A"/>
    <w:rsid w:val="002D13F0"/>
    <w:rsid w:val="00301AAA"/>
    <w:rsid w:val="0034073A"/>
    <w:rsid w:val="00344133"/>
    <w:rsid w:val="00380B67"/>
    <w:rsid w:val="00381A30"/>
    <w:rsid w:val="003B6E41"/>
    <w:rsid w:val="003C5866"/>
    <w:rsid w:val="003D4124"/>
    <w:rsid w:val="003D5DC7"/>
    <w:rsid w:val="003E34B6"/>
    <w:rsid w:val="003E41A1"/>
    <w:rsid w:val="004411CC"/>
    <w:rsid w:val="00511137"/>
    <w:rsid w:val="005902AE"/>
    <w:rsid w:val="005B12BF"/>
    <w:rsid w:val="005B52F0"/>
    <w:rsid w:val="00613451"/>
    <w:rsid w:val="006319A3"/>
    <w:rsid w:val="00651A54"/>
    <w:rsid w:val="00683886"/>
    <w:rsid w:val="006A775F"/>
    <w:rsid w:val="006F53F1"/>
    <w:rsid w:val="007436B2"/>
    <w:rsid w:val="00772FDC"/>
    <w:rsid w:val="00776E2A"/>
    <w:rsid w:val="007B0A9B"/>
    <w:rsid w:val="008012EF"/>
    <w:rsid w:val="00815B77"/>
    <w:rsid w:val="00823527"/>
    <w:rsid w:val="00862F93"/>
    <w:rsid w:val="008655BB"/>
    <w:rsid w:val="008A1EEC"/>
    <w:rsid w:val="008B2AA2"/>
    <w:rsid w:val="00941A0F"/>
    <w:rsid w:val="009727C6"/>
    <w:rsid w:val="009826D8"/>
    <w:rsid w:val="00982A12"/>
    <w:rsid w:val="009E1CE6"/>
    <w:rsid w:val="00A41FC2"/>
    <w:rsid w:val="00A707AE"/>
    <w:rsid w:val="00AA6743"/>
    <w:rsid w:val="00AB3C94"/>
    <w:rsid w:val="00B04C72"/>
    <w:rsid w:val="00B27BFF"/>
    <w:rsid w:val="00B319C3"/>
    <w:rsid w:val="00B40503"/>
    <w:rsid w:val="00B56C01"/>
    <w:rsid w:val="00B63D1F"/>
    <w:rsid w:val="00C12E45"/>
    <w:rsid w:val="00C37785"/>
    <w:rsid w:val="00C556EB"/>
    <w:rsid w:val="00C619B7"/>
    <w:rsid w:val="00CB734F"/>
    <w:rsid w:val="00CC7C83"/>
    <w:rsid w:val="00CE2B81"/>
    <w:rsid w:val="00D02A15"/>
    <w:rsid w:val="00D277B8"/>
    <w:rsid w:val="00D33449"/>
    <w:rsid w:val="00DE407F"/>
    <w:rsid w:val="00DE53A5"/>
    <w:rsid w:val="00DF52F9"/>
    <w:rsid w:val="00E14C4C"/>
    <w:rsid w:val="00E519A6"/>
    <w:rsid w:val="00E971F0"/>
    <w:rsid w:val="00EA5D74"/>
    <w:rsid w:val="00EA6ED7"/>
    <w:rsid w:val="00F478CA"/>
    <w:rsid w:val="00F528D3"/>
    <w:rsid w:val="00F87DD6"/>
    <w:rsid w:val="00FA4AD0"/>
    <w:rsid w:val="00FC0C13"/>
    <w:rsid w:val="00FD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5084"/>
  <w15:chartTrackingRefBased/>
  <w15:docId w15:val="{62B6E32B-473E-4880-AC9A-E194DA2A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77"/>
  </w:style>
  <w:style w:type="paragraph" w:styleId="Heading1">
    <w:name w:val="heading 1"/>
    <w:basedOn w:val="Normal"/>
    <w:next w:val="Normal"/>
    <w:link w:val="Heading1Char"/>
    <w:uiPriority w:val="9"/>
    <w:qFormat/>
    <w:rsid w:val="009E1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31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16A"/>
    <w:rPr>
      <w:rFonts w:ascii="Times New Roman" w:eastAsia="Times New Roman" w:hAnsi="Times New Roman" w:cs="Times New Roman"/>
      <w:b/>
      <w:bCs/>
      <w:sz w:val="27"/>
      <w:szCs w:val="27"/>
      <w:lang w:eastAsia="en-GB"/>
    </w:rPr>
  </w:style>
  <w:style w:type="paragraph" w:customStyle="1" w:styleId="c-reading-companionsection-item">
    <w:name w:val="c-reading-companion__section-item"/>
    <w:basedOn w:val="Normal"/>
    <w:rsid w:val="00283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316A"/>
    <w:rPr>
      <w:color w:val="0000FF"/>
      <w:u w:val="single"/>
    </w:rPr>
  </w:style>
  <w:style w:type="paragraph" w:styleId="NormalWeb">
    <w:name w:val="Normal (Web)"/>
    <w:basedOn w:val="Normal"/>
    <w:uiPriority w:val="99"/>
    <w:unhideWhenUsed/>
    <w:rsid w:val="002831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8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283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16A"/>
    <w:rPr>
      <w:i/>
      <w:iCs/>
    </w:rPr>
  </w:style>
  <w:style w:type="character" w:customStyle="1" w:styleId="Heading2Char">
    <w:name w:val="Heading 2 Char"/>
    <w:basedOn w:val="DefaultParagraphFont"/>
    <w:link w:val="Heading2"/>
    <w:uiPriority w:val="9"/>
    <w:rsid w:val="008A1EEC"/>
    <w:rPr>
      <w:rFonts w:asciiTheme="majorHAnsi" w:eastAsiaTheme="majorEastAsia" w:hAnsiTheme="majorHAnsi" w:cstheme="majorBidi"/>
      <w:color w:val="2F5496" w:themeColor="accent1" w:themeShade="BF"/>
      <w:sz w:val="26"/>
      <w:szCs w:val="26"/>
    </w:rPr>
  </w:style>
  <w:style w:type="character" w:customStyle="1" w:styleId="figpopup-sensitive-area">
    <w:name w:val="figpopup-sensitive-area"/>
    <w:basedOn w:val="DefaultParagraphFont"/>
    <w:rsid w:val="008A1EEC"/>
  </w:style>
  <w:style w:type="paragraph" w:styleId="Header">
    <w:name w:val="header"/>
    <w:basedOn w:val="Normal"/>
    <w:link w:val="HeaderChar"/>
    <w:rsid w:val="008A1EEC"/>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8A1EEC"/>
    <w:rPr>
      <w:rFonts w:ascii="Garamond" w:eastAsia="Times New Roman" w:hAnsi="Garamond" w:cs="Times New Roman"/>
      <w:color w:val="008000"/>
      <w:w w:val="120"/>
      <w:sz w:val="24"/>
      <w:szCs w:val="24"/>
      <w:lang w:val="en-CA"/>
    </w:rPr>
  </w:style>
  <w:style w:type="character" w:styleId="FollowedHyperlink">
    <w:name w:val="FollowedHyperlink"/>
    <w:basedOn w:val="DefaultParagraphFont"/>
    <w:uiPriority w:val="99"/>
    <w:semiHidden/>
    <w:unhideWhenUsed/>
    <w:rsid w:val="008A1EEC"/>
    <w:rPr>
      <w:color w:val="954F72" w:themeColor="followedHyperlink"/>
      <w:u w:val="single"/>
    </w:rPr>
  </w:style>
  <w:style w:type="character" w:customStyle="1" w:styleId="element-citation">
    <w:name w:val="element-citation"/>
    <w:basedOn w:val="DefaultParagraphFont"/>
    <w:rsid w:val="00E519A6"/>
  </w:style>
  <w:style w:type="character" w:customStyle="1" w:styleId="ref-journal">
    <w:name w:val="ref-journal"/>
    <w:basedOn w:val="DefaultParagraphFont"/>
    <w:rsid w:val="00E519A6"/>
  </w:style>
  <w:style w:type="character" w:customStyle="1" w:styleId="ref-vol">
    <w:name w:val="ref-vol"/>
    <w:basedOn w:val="DefaultParagraphFont"/>
    <w:rsid w:val="00E519A6"/>
  </w:style>
  <w:style w:type="character" w:customStyle="1" w:styleId="nowrap">
    <w:name w:val="nowrap"/>
    <w:basedOn w:val="DefaultParagraphFont"/>
    <w:rsid w:val="00E519A6"/>
  </w:style>
  <w:style w:type="character" w:customStyle="1" w:styleId="Heading1Char">
    <w:name w:val="Heading 1 Char"/>
    <w:basedOn w:val="DefaultParagraphFont"/>
    <w:link w:val="Heading1"/>
    <w:uiPriority w:val="9"/>
    <w:rsid w:val="009E1CE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E1CE6"/>
    <w:rPr>
      <w:b/>
      <w:bCs/>
    </w:rPr>
  </w:style>
  <w:style w:type="character" w:customStyle="1" w:styleId="articlecitationyear">
    <w:name w:val="articlecitation_year"/>
    <w:basedOn w:val="DefaultParagraphFont"/>
    <w:rsid w:val="009E1CE6"/>
  </w:style>
  <w:style w:type="character" w:customStyle="1" w:styleId="articlecitationvolume">
    <w:name w:val="articlecitation_volume"/>
    <w:basedOn w:val="DefaultParagraphFont"/>
    <w:rsid w:val="009E1CE6"/>
  </w:style>
  <w:style w:type="character" w:customStyle="1" w:styleId="apple-converted-space">
    <w:name w:val="apple-converted-space"/>
    <w:basedOn w:val="DefaultParagraphFont"/>
    <w:rsid w:val="009E1CE6"/>
  </w:style>
  <w:style w:type="paragraph" w:customStyle="1" w:styleId="simplepara">
    <w:name w:val="simplepara"/>
    <w:basedOn w:val="Normal"/>
    <w:rsid w:val="009E1C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CEBulletedSub">
    <w:name w:val="KCE Bulleted Sub"/>
    <w:basedOn w:val="KCEBulleted"/>
    <w:qFormat/>
    <w:rsid w:val="009E1CE6"/>
    <w:pPr>
      <w:numPr>
        <w:ilvl w:val="1"/>
      </w:numPr>
      <w:tabs>
        <w:tab w:val="num" w:pos="360"/>
        <w:tab w:val="num" w:pos="1134"/>
      </w:tabs>
      <w:ind w:left="1134" w:hanging="1134"/>
    </w:pPr>
  </w:style>
  <w:style w:type="paragraph" w:customStyle="1" w:styleId="KCEBulleted">
    <w:name w:val="KCE Bulleted"/>
    <w:basedOn w:val="Normal"/>
    <w:qFormat/>
    <w:rsid w:val="009E1CE6"/>
    <w:pPr>
      <w:numPr>
        <w:numId w:val="3"/>
      </w:numPr>
      <w:pBdr>
        <w:top w:val="nil"/>
        <w:left w:val="nil"/>
        <w:bottom w:val="nil"/>
        <w:right w:val="nil"/>
        <w:between w:val="nil"/>
      </w:pBdr>
      <w:spacing w:before="60" w:after="60" w:line="240" w:lineRule="auto"/>
      <w:jc w:val="both"/>
    </w:pPr>
    <w:rPr>
      <w:rFonts w:ascii="Arial" w:eastAsia="Arial" w:hAnsi="Arial" w:cs="Tahoma"/>
      <w:noProof/>
      <w:color w:val="000000"/>
      <w:sz w:val="20"/>
      <w:szCs w:val="20"/>
      <w:lang w:val="en-US" w:eastAsia="en-GB" w:bidi="he-IL"/>
    </w:rPr>
  </w:style>
  <w:style w:type="character" w:customStyle="1" w:styleId="fm-affl">
    <w:name w:val="fm-affl"/>
    <w:basedOn w:val="DefaultParagraphFont"/>
    <w:rsid w:val="009E1CE6"/>
  </w:style>
  <w:style w:type="character" w:customStyle="1" w:styleId="email-label">
    <w:name w:val="email-label"/>
    <w:basedOn w:val="DefaultParagraphFont"/>
    <w:rsid w:val="009E1CE6"/>
  </w:style>
  <w:style w:type="paragraph" w:styleId="Footer">
    <w:name w:val="footer"/>
    <w:basedOn w:val="Normal"/>
    <w:link w:val="FooterChar"/>
    <w:uiPriority w:val="99"/>
    <w:unhideWhenUsed/>
    <w:rsid w:val="00972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C6"/>
  </w:style>
  <w:style w:type="character" w:customStyle="1" w:styleId="UnresolvedMention">
    <w:name w:val="Unresolved Mention"/>
    <w:basedOn w:val="DefaultParagraphFont"/>
    <w:uiPriority w:val="99"/>
    <w:semiHidden/>
    <w:unhideWhenUsed/>
    <w:rsid w:val="009727C6"/>
    <w:rPr>
      <w:color w:val="605E5C"/>
      <w:shd w:val="clear" w:color="auto" w:fill="E1DFDD"/>
    </w:rPr>
  </w:style>
  <w:style w:type="character" w:styleId="LineNumber">
    <w:name w:val="line number"/>
    <w:basedOn w:val="DefaultParagraphFont"/>
    <w:uiPriority w:val="99"/>
    <w:semiHidden/>
    <w:unhideWhenUsed/>
    <w:rsid w:val="00613451"/>
  </w:style>
  <w:style w:type="paragraph" w:customStyle="1" w:styleId="Default">
    <w:name w:val="Default"/>
    <w:rsid w:val="00FC0C1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C0C13"/>
    <w:rPr>
      <w:rFonts w:cs="Times New Roman"/>
      <w:color w:val="auto"/>
    </w:rPr>
  </w:style>
  <w:style w:type="paragraph" w:customStyle="1" w:styleId="CM2">
    <w:name w:val="CM2"/>
    <w:basedOn w:val="Normal"/>
    <w:next w:val="Normal"/>
    <w:rsid w:val="00FC0C13"/>
    <w:pPr>
      <w:widowControl w:val="0"/>
      <w:autoSpaceDE w:val="0"/>
      <w:autoSpaceDN w:val="0"/>
      <w:adjustRightInd w:val="0"/>
      <w:spacing w:after="373" w:line="240" w:lineRule="auto"/>
    </w:pPr>
    <w:rPr>
      <w:rFonts w:ascii="Calibri" w:eastAsia="Times New Roman" w:hAnsi="Calibri" w:cs="Times New Roman"/>
      <w:sz w:val="24"/>
      <w:szCs w:val="24"/>
      <w:lang w:val="en-CA" w:eastAsia="en-CA"/>
    </w:rPr>
  </w:style>
  <w:style w:type="paragraph" w:styleId="BalloonText">
    <w:name w:val="Balloon Text"/>
    <w:basedOn w:val="Normal"/>
    <w:link w:val="BalloonTextChar"/>
    <w:uiPriority w:val="99"/>
    <w:semiHidden/>
    <w:unhideWhenUsed/>
    <w:rsid w:val="00CE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3863">
      <w:bodyDiv w:val="1"/>
      <w:marLeft w:val="0"/>
      <w:marRight w:val="0"/>
      <w:marTop w:val="0"/>
      <w:marBottom w:val="0"/>
      <w:divBdr>
        <w:top w:val="none" w:sz="0" w:space="0" w:color="auto"/>
        <w:left w:val="none" w:sz="0" w:space="0" w:color="auto"/>
        <w:bottom w:val="none" w:sz="0" w:space="0" w:color="auto"/>
        <w:right w:val="none" w:sz="0" w:space="0" w:color="auto"/>
      </w:divBdr>
      <w:divsChild>
        <w:div w:id="1958945263">
          <w:marLeft w:val="0"/>
          <w:marRight w:val="0"/>
          <w:marTop w:val="0"/>
          <w:marBottom w:val="0"/>
          <w:divBdr>
            <w:top w:val="none" w:sz="0" w:space="0" w:color="auto"/>
            <w:left w:val="none" w:sz="0" w:space="0" w:color="auto"/>
            <w:bottom w:val="none" w:sz="0" w:space="0" w:color="auto"/>
            <w:right w:val="none" w:sz="0" w:space="0" w:color="auto"/>
          </w:divBdr>
        </w:div>
      </w:divsChild>
    </w:div>
    <w:div w:id="18562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1961</Words>
  <Characters>11182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
      <vt:lpstr>Paediatric tuberculosis diagnosis using Mycobacterium tuberculosis real-time pol</vt:lpstr>
      <vt:lpstr/>
      <vt:lpstr>        Systematic review registration PROSPERO CRD42018104052</vt:lpstr>
      <vt:lpstr>        Inclusion and exclusion criteria</vt:lpstr>
      <vt:lpstr>        Study designs such as observational, cross-sectional studies, cohort studies (pr</vt:lpstr>
      <vt:lpstr>        Selection of studies</vt:lpstr>
      <vt:lpstr>        Full-text articles were screened independently (by EB and BC), using a PRISMA fl</vt:lpstr>
      <vt:lpstr>        Data extraction</vt:lpstr>
      <vt:lpstr>        Data extraction were independently carried out by EB and BC from each selected s</vt:lpstr>
      <vt:lpstr>        </vt:lpstr>
      <vt:lpstr>        </vt:lpstr>
      <vt:lpstr>        </vt:lpstr>
      <vt:lpstr>        </vt:lpstr>
      <vt:lpstr>        </vt:lpstr>
      <vt:lpstr>        Assessment of study quality</vt:lpstr>
      <vt:lpstr>        The methodological quality for the included studies was assessed independently (</vt:lpstr>
      <vt:lpstr>        Data synthesis and meta-analysis</vt:lpstr>
      <vt:lpstr>        Investigations of heterogeneity</vt:lpstr>
      <vt:lpstr>        </vt:lpstr>
      <vt:lpstr>        </vt:lpstr>
      <vt:lpstr>        </vt:lpstr>
      <vt:lpstr>        </vt:lpstr>
      <vt:lpstr>        </vt:lpstr>
      <vt:lpstr>        Table 3</vt:lpstr>
      <vt:lpstr>        Study characteristics</vt:lpstr>
      <vt:lpstr>        </vt:lpstr>
      <vt:lpstr>        </vt:lpstr>
      <vt:lpstr>        </vt:lpstr>
      <vt:lpstr>        </vt:lpstr>
      <vt:lpstr>        </vt:lpstr>
      <vt:lpstr>        </vt:lpstr>
      <vt:lpstr>        </vt:lpstr>
      <vt:lpstr>        </vt:lpstr>
      <vt:lpstr>        </vt:lpstr>
      <vt:lpstr>        </vt:lpstr>
      <vt:lpstr>        </vt:lpstr>
      <vt:lpstr>        Meta-analysis</vt:lpstr>
      <vt:lpstr>        Results as 95% CI values were as follows: overall sensitivity 56 (95% CI 51-62) </vt:lpstr>
      <vt:lpstr>        The summary estimates of PTB for heterogeneity with chi-squared (χ 2) using 95% </vt:lpstr>
      <vt:lpstr>        </vt:lpstr>
      <vt:lpstr>        </vt:lpstr>
      <vt:lpstr>        </vt:lpstr>
      <vt:lpstr>        </vt:lpstr>
      <vt:lpstr>        </vt:lpstr>
      <vt:lpstr>        </vt:lpstr>
      <vt:lpstr>        </vt:lpstr>
      <vt:lpstr>        </vt:lpstr>
      <vt:lpstr>        </vt:lpstr>
      <vt:lpstr>        </vt:lpstr>
      <vt:lpstr>        Subgroup analyses by Impact of RT-PCR based assay on countries:</vt:lpstr>
      <vt:lpstr>        2. With UMICs (Table 1) as the RT-PCR based assay (12 studies, 3, 489 specimens)</vt:lpstr>
      <vt:lpstr>        Tuberculosis is a global health threat and early and accurate diagnosis is cruci</vt:lpstr>
      <vt:lpstr>        This review provides evidence on the Paediatric tuberculosis diagnosis using Myc</vt:lpstr>
      <vt:lpstr>        Strengths and weaknesses of the review</vt:lpstr>
      <vt:lpstr>        This review does, however, have some limitations in assessing issues such as cos</vt:lpstr>
      <vt:lpstr>        Given that RT-PCR based assays in this review cover a range of different target </vt:lpstr>
      <vt:lpstr>        The use of guidelines such as the Standards for Reporting of Diagnostic Accuracy</vt:lpstr>
      <vt:lpstr>    Contributor Affiliation</vt:lpstr>
      <vt:lpstr>    *Emmanuel O. Babafemi, Phone: +44(0)755 1010 509, Email: E.O.Babafemi@ljmu.ac.uk</vt:lpstr>
      <vt:lpstr>    56. Qing-Qin Yin, Jiao WW, Han R, Jiao AX, Sun L, Tian JL, Ma YY, Rao XC, Shen C</vt:lpstr>
      <vt:lpstr>    57. Rachow A, Clowes P, Saathoff E, Mtafya B, Michael E, Ntinginya EN, Kowour D,</vt:lpstr>
      <vt:lpstr>    58. Sekadde, M. P., Wobudeya, E., Joloba, M. L., Ssengooba, W., Kisembo, H., Bak</vt:lpstr>
      <vt:lpstr>    59. Walters E, van der Zalm MM, Palmer M, Bosch C, Demers AM, Draper H, Goussard</vt:lpstr>
      <vt:lpstr>    60. Wang, Xinfeng, Wu, YanHua, Zhang, Kaihui, Guan, Cuiping, Gao, Xusheng, &amp; Wan</vt:lpstr>
      <vt:lpstr>    61. H. Wolf, M. Mendez, R.H. Gilman, P. Sheen, G. Soto, A.K. Velarde, et al. Dia</vt:lpstr>
      <vt:lpstr>    62. Zar, H. J., Workman, L., Isaacs, W., Munro, J., Black, F., Eley, B., Allen, </vt:lpstr>
      <vt:lpstr>    63. Zar HJ, Workman L, Isaacs W, Dheda K, Zemanay W, Nicol MP. Rapid diagnosis o</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Babafemi</dc:creator>
  <cp:keywords/>
  <dc:description/>
  <cp:lastModifiedBy>Poonam Mutha</cp:lastModifiedBy>
  <cp:revision>5</cp:revision>
  <dcterms:created xsi:type="dcterms:W3CDTF">2021-01-13T11:51:00Z</dcterms:created>
  <dcterms:modified xsi:type="dcterms:W3CDTF">2021-01-21T07:07:00Z</dcterms:modified>
</cp:coreProperties>
</file>