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F97C" w14:textId="42E67379" w:rsidR="00757EB0" w:rsidRPr="00757EB0" w:rsidRDefault="00757EB0" w:rsidP="00E648D9">
      <w:pPr>
        <w:jc w:val="both"/>
        <w:rPr>
          <w:lang w:val="en-US"/>
        </w:rPr>
      </w:pPr>
      <w:r w:rsidRPr="00757EB0">
        <w:rPr>
          <w:lang w:val="en-US"/>
        </w:rPr>
        <w:t xml:space="preserve"> </w:t>
      </w:r>
      <w:r w:rsidR="00E46163" w:rsidRPr="00757EB0">
        <w:rPr>
          <w:b/>
          <w:bCs/>
          <w:lang w:val="en-US"/>
        </w:rPr>
        <w:t>Supplementary Table 1</w:t>
      </w:r>
    </w:p>
    <w:tbl>
      <w:tblPr>
        <w:tblStyle w:val="PlainTable2"/>
        <w:tblW w:w="8638" w:type="dxa"/>
        <w:tblLook w:val="0620" w:firstRow="1" w:lastRow="0" w:firstColumn="0" w:lastColumn="0" w:noHBand="1" w:noVBand="1"/>
      </w:tblPr>
      <w:tblGrid>
        <w:gridCol w:w="1634"/>
        <w:gridCol w:w="3396"/>
        <w:gridCol w:w="1118"/>
        <w:gridCol w:w="2490"/>
      </w:tblGrid>
      <w:tr w:rsidR="00757EB0" w:rsidRPr="00757EB0" w14:paraId="12599D61" w14:textId="77777777" w:rsidTr="0075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1634" w:type="dxa"/>
            <w:hideMark/>
          </w:tcPr>
          <w:p w14:paraId="765ED011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t>Parameter</w:t>
            </w:r>
          </w:p>
        </w:tc>
        <w:tc>
          <w:tcPr>
            <w:tcW w:w="3396" w:type="dxa"/>
            <w:hideMark/>
          </w:tcPr>
          <w:p w14:paraId="2E61114A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1118" w:type="dxa"/>
            <w:hideMark/>
          </w:tcPr>
          <w:p w14:paraId="5CE11A20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Range</w:t>
            </w:r>
          </w:p>
        </w:tc>
        <w:tc>
          <w:tcPr>
            <w:tcW w:w="2490" w:type="dxa"/>
            <w:hideMark/>
          </w:tcPr>
          <w:p w14:paraId="42B41A16" w14:textId="77777777" w:rsidR="00757EB0" w:rsidRPr="00757EB0" w:rsidRDefault="00757EB0" w:rsidP="00E648D9">
            <w:pPr>
              <w:spacing w:after="160"/>
              <w:jc w:val="both"/>
            </w:pPr>
            <w:proofErr w:type="spellStart"/>
            <w:r w:rsidRPr="00757EB0">
              <w:t>All</w:t>
            </w:r>
            <w:proofErr w:type="spellEnd"/>
            <w:r w:rsidRPr="00757EB0">
              <w:t xml:space="preserve"> </w:t>
            </w:r>
            <w:proofErr w:type="spellStart"/>
            <w:r w:rsidRPr="00757EB0">
              <w:t>patients</w:t>
            </w:r>
            <w:proofErr w:type="spellEnd"/>
            <w:r w:rsidRPr="00757EB0">
              <w:t xml:space="preserve"> (N=51)</w:t>
            </w:r>
          </w:p>
        </w:tc>
      </w:tr>
      <w:tr w:rsidR="00757EB0" w:rsidRPr="00757EB0" w14:paraId="5B234845" w14:textId="77777777" w:rsidTr="00757EB0">
        <w:trPr>
          <w:trHeight w:val="84"/>
        </w:trPr>
        <w:tc>
          <w:tcPr>
            <w:tcW w:w="1634" w:type="dxa"/>
            <w:hideMark/>
          </w:tcPr>
          <w:p w14:paraId="12F74E7C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i/>
                <w:iCs/>
              </w:rPr>
              <w:t>HR-</w:t>
            </w:r>
            <w:proofErr w:type="spellStart"/>
            <w:r w:rsidRPr="00757EB0">
              <w:rPr>
                <w:i/>
                <w:iCs/>
              </w:rPr>
              <w:t>QoL</w:t>
            </w:r>
            <w:proofErr w:type="spellEnd"/>
            <w:r w:rsidRPr="00757EB0">
              <w:t>*</w:t>
            </w:r>
          </w:p>
        </w:tc>
        <w:tc>
          <w:tcPr>
            <w:tcW w:w="3396" w:type="dxa"/>
            <w:hideMark/>
          </w:tcPr>
          <w:p w14:paraId="348AA006" w14:textId="77777777" w:rsidR="00757EB0" w:rsidRPr="00757EB0" w:rsidRDefault="00757EB0" w:rsidP="00E648D9">
            <w:pPr>
              <w:spacing w:after="160"/>
              <w:jc w:val="both"/>
            </w:pPr>
            <w:proofErr w:type="spellStart"/>
            <w:r w:rsidRPr="00757EB0">
              <w:t>Physical</w:t>
            </w:r>
            <w:proofErr w:type="spellEnd"/>
            <w:r w:rsidRPr="00757EB0">
              <w:t xml:space="preserve"> Component Score</w:t>
            </w:r>
          </w:p>
        </w:tc>
        <w:tc>
          <w:tcPr>
            <w:tcW w:w="1118" w:type="dxa"/>
            <w:hideMark/>
          </w:tcPr>
          <w:p w14:paraId="4529C9C4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6F2E37E5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t>45 (IQR 39 - 49)</w:t>
            </w:r>
          </w:p>
        </w:tc>
      </w:tr>
      <w:tr w:rsidR="00757EB0" w:rsidRPr="00757EB0" w14:paraId="095E4E70" w14:textId="77777777" w:rsidTr="00757EB0">
        <w:trPr>
          <w:trHeight w:val="84"/>
        </w:trPr>
        <w:tc>
          <w:tcPr>
            <w:tcW w:w="1634" w:type="dxa"/>
            <w:hideMark/>
          </w:tcPr>
          <w:p w14:paraId="73987779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3B2C5930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Mental </w:t>
            </w:r>
            <w:r w:rsidRPr="00757EB0">
              <w:t xml:space="preserve">Component Score </w:t>
            </w:r>
          </w:p>
        </w:tc>
        <w:tc>
          <w:tcPr>
            <w:tcW w:w="1118" w:type="dxa"/>
            <w:hideMark/>
          </w:tcPr>
          <w:p w14:paraId="2F666692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0679CA9B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t>56 (IQR 51 - 59)</w:t>
            </w:r>
          </w:p>
        </w:tc>
      </w:tr>
      <w:tr w:rsidR="00757EB0" w:rsidRPr="00757EB0" w14:paraId="7C22D617" w14:textId="77777777" w:rsidTr="00757EB0">
        <w:trPr>
          <w:trHeight w:val="84"/>
        </w:trPr>
        <w:tc>
          <w:tcPr>
            <w:tcW w:w="1634" w:type="dxa"/>
            <w:hideMark/>
          </w:tcPr>
          <w:p w14:paraId="01F3E606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i/>
                <w:iCs/>
              </w:rPr>
              <w:t>DASH</w:t>
            </w:r>
            <w:r w:rsidRPr="00757EB0">
              <w:t>**</w:t>
            </w:r>
          </w:p>
        </w:tc>
        <w:tc>
          <w:tcPr>
            <w:tcW w:w="3396" w:type="dxa"/>
            <w:hideMark/>
          </w:tcPr>
          <w:p w14:paraId="04CC24AA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t>Total score</w:t>
            </w:r>
          </w:p>
        </w:tc>
        <w:tc>
          <w:tcPr>
            <w:tcW w:w="1118" w:type="dxa"/>
            <w:hideMark/>
          </w:tcPr>
          <w:p w14:paraId="26A72EE1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76BE4325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t>9 (IQR 3-27)</w:t>
            </w:r>
          </w:p>
        </w:tc>
      </w:tr>
      <w:tr w:rsidR="00757EB0" w:rsidRPr="00757EB0" w14:paraId="00F2E8D2" w14:textId="77777777" w:rsidTr="00757EB0">
        <w:trPr>
          <w:trHeight w:val="84"/>
        </w:trPr>
        <w:tc>
          <w:tcPr>
            <w:tcW w:w="1634" w:type="dxa"/>
            <w:hideMark/>
          </w:tcPr>
          <w:p w14:paraId="5F7C2B50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i/>
                <w:iCs/>
                <w:lang w:val="en-US"/>
              </w:rPr>
              <w:t>AUSCAN***</w:t>
            </w:r>
          </w:p>
        </w:tc>
        <w:tc>
          <w:tcPr>
            <w:tcW w:w="3396" w:type="dxa"/>
            <w:hideMark/>
          </w:tcPr>
          <w:p w14:paraId="399678C0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Total </w:t>
            </w:r>
          </w:p>
        </w:tc>
        <w:tc>
          <w:tcPr>
            <w:tcW w:w="1118" w:type="dxa"/>
            <w:hideMark/>
          </w:tcPr>
          <w:p w14:paraId="5CA32BAD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60 </w:t>
            </w:r>
          </w:p>
        </w:tc>
        <w:tc>
          <w:tcPr>
            <w:tcW w:w="2490" w:type="dxa"/>
            <w:hideMark/>
          </w:tcPr>
          <w:p w14:paraId="7ACF6216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6 (IQR 1 – 20)</w:t>
            </w:r>
          </w:p>
        </w:tc>
      </w:tr>
      <w:tr w:rsidR="00757EB0" w:rsidRPr="00757EB0" w14:paraId="5648139D" w14:textId="77777777" w:rsidTr="00757EB0">
        <w:trPr>
          <w:trHeight w:val="84"/>
        </w:trPr>
        <w:tc>
          <w:tcPr>
            <w:tcW w:w="1634" w:type="dxa"/>
            <w:hideMark/>
          </w:tcPr>
          <w:p w14:paraId="01DA7977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35726E0C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Pain</w:t>
            </w:r>
          </w:p>
        </w:tc>
        <w:tc>
          <w:tcPr>
            <w:tcW w:w="1118" w:type="dxa"/>
            <w:hideMark/>
          </w:tcPr>
          <w:p w14:paraId="01F4A0F5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20 </w:t>
            </w:r>
          </w:p>
        </w:tc>
        <w:tc>
          <w:tcPr>
            <w:tcW w:w="2490" w:type="dxa"/>
            <w:hideMark/>
          </w:tcPr>
          <w:p w14:paraId="20CF9306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2 (IQR 0 – 6)</w:t>
            </w:r>
          </w:p>
        </w:tc>
      </w:tr>
      <w:tr w:rsidR="00757EB0" w:rsidRPr="00757EB0" w14:paraId="38A261A6" w14:textId="77777777" w:rsidTr="00757EB0">
        <w:trPr>
          <w:trHeight w:val="84"/>
        </w:trPr>
        <w:tc>
          <w:tcPr>
            <w:tcW w:w="1634" w:type="dxa"/>
            <w:hideMark/>
          </w:tcPr>
          <w:p w14:paraId="262554FD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013A376B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Stiffness</w:t>
            </w:r>
          </w:p>
        </w:tc>
        <w:tc>
          <w:tcPr>
            <w:tcW w:w="1118" w:type="dxa"/>
            <w:hideMark/>
          </w:tcPr>
          <w:p w14:paraId="316CBE9E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4 </w:t>
            </w:r>
          </w:p>
        </w:tc>
        <w:tc>
          <w:tcPr>
            <w:tcW w:w="2490" w:type="dxa"/>
            <w:hideMark/>
          </w:tcPr>
          <w:p w14:paraId="33D97676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0 (IQR 0 – 1)</w:t>
            </w:r>
          </w:p>
        </w:tc>
      </w:tr>
      <w:tr w:rsidR="00757EB0" w:rsidRPr="00757EB0" w14:paraId="7DD77A7C" w14:textId="77777777" w:rsidTr="00757EB0">
        <w:trPr>
          <w:trHeight w:val="84"/>
        </w:trPr>
        <w:tc>
          <w:tcPr>
            <w:tcW w:w="1634" w:type="dxa"/>
            <w:hideMark/>
          </w:tcPr>
          <w:p w14:paraId="4888F828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49A4E668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Function</w:t>
            </w:r>
          </w:p>
        </w:tc>
        <w:tc>
          <w:tcPr>
            <w:tcW w:w="1118" w:type="dxa"/>
            <w:hideMark/>
          </w:tcPr>
          <w:p w14:paraId="5627EF62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36 </w:t>
            </w:r>
          </w:p>
        </w:tc>
        <w:tc>
          <w:tcPr>
            <w:tcW w:w="2490" w:type="dxa"/>
            <w:hideMark/>
          </w:tcPr>
          <w:p w14:paraId="55176701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3 (IQR 0 – 12)</w:t>
            </w:r>
          </w:p>
        </w:tc>
      </w:tr>
      <w:tr w:rsidR="00757EB0" w:rsidRPr="00757EB0" w14:paraId="59F25577" w14:textId="77777777" w:rsidTr="00757EB0">
        <w:trPr>
          <w:trHeight w:val="84"/>
        </w:trPr>
        <w:tc>
          <w:tcPr>
            <w:tcW w:w="1634" w:type="dxa"/>
            <w:hideMark/>
          </w:tcPr>
          <w:p w14:paraId="4E82E12E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i/>
                <w:iCs/>
                <w:lang w:val="en-US"/>
              </w:rPr>
              <w:t>WOMAC</w:t>
            </w:r>
          </w:p>
        </w:tc>
        <w:tc>
          <w:tcPr>
            <w:tcW w:w="3396" w:type="dxa"/>
            <w:hideMark/>
          </w:tcPr>
          <w:p w14:paraId="0E057E8D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Total****</w:t>
            </w:r>
          </w:p>
        </w:tc>
        <w:tc>
          <w:tcPr>
            <w:tcW w:w="1118" w:type="dxa"/>
            <w:hideMark/>
          </w:tcPr>
          <w:p w14:paraId="03D49CBA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300 </w:t>
            </w:r>
          </w:p>
        </w:tc>
        <w:tc>
          <w:tcPr>
            <w:tcW w:w="2490" w:type="dxa"/>
            <w:hideMark/>
          </w:tcPr>
          <w:p w14:paraId="0E8D3336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37 (IQR 8 – 100)</w:t>
            </w:r>
          </w:p>
        </w:tc>
      </w:tr>
      <w:tr w:rsidR="00757EB0" w:rsidRPr="00757EB0" w14:paraId="354837E3" w14:textId="77777777" w:rsidTr="00757EB0">
        <w:trPr>
          <w:trHeight w:val="84"/>
        </w:trPr>
        <w:tc>
          <w:tcPr>
            <w:tcW w:w="1634" w:type="dxa"/>
            <w:hideMark/>
          </w:tcPr>
          <w:p w14:paraId="40C58E92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75FB56CB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Pain***</w:t>
            </w:r>
          </w:p>
        </w:tc>
        <w:tc>
          <w:tcPr>
            <w:tcW w:w="1118" w:type="dxa"/>
            <w:hideMark/>
          </w:tcPr>
          <w:p w14:paraId="463DAF31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4776D7F9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10 (IQR 3 – 32)</w:t>
            </w:r>
          </w:p>
        </w:tc>
      </w:tr>
      <w:tr w:rsidR="00757EB0" w:rsidRPr="00757EB0" w14:paraId="0A4F241D" w14:textId="77777777" w:rsidTr="00757EB0">
        <w:trPr>
          <w:trHeight w:val="84"/>
        </w:trPr>
        <w:tc>
          <w:tcPr>
            <w:tcW w:w="1634" w:type="dxa"/>
            <w:hideMark/>
          </w:tcPr>
          <w:p w14:paraId="2E94BD6F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1B34071F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Stiffness***</w:t>
            </w:r>
          </w:p>
        </w:tc>
        <w:tc>
          <w:tcPr>
            <w:tcW w:w="1118" w:type="dxa"/>
            <w:hideMark/>
          </w:tcPr>
          <w:p w14:paraId="3601E1CA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013FDEB3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15 (IQR 3 – 38)</w:t>
            </w:r>
          </w:p>
        </w:tc>
      </w:tr>
      <w:tr w:rsidR="00757EB0" w:rsidRPr="00757EB0" w14:paraId="1B88461A" w14:textId="77777777" w:rsidTr="00757EB0">
        <w:trPr>
          <w:trHeight w:val="84"/>
        </w:trPr>
        <w:tc>
          <w:tcPr>
            <w:tcW w:w="1634" w:type="dxa"/>
            <w:hideMark/>
          </w:tcPr>
          <w:p w14:paraId="19293106" w14:textId="77777777" w:rsidR="00757EB0" w:rsidRPr="00757EB0" w:rsidRDefault="00757EB0" w:rsidP="00E648D9">
            <w:pPr>
              <w:spacing w:after="160"/>
              <w:jc w:val="both"/>
            </w:pPr>
          </w:p>
        </w:tc>
        <w:tc>
          <w:tcPr>
            <w:tcW w:w="3396" w:type="dxa"/>
            <w:hideMark/>
          </w:tcPr>
          <w:p w14:paraId="5C4A72E8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Function****</w:t>
            </w:r>
          </w:p>
        </w:tc>
        <w:tc>
          <w:tcPr>
            <w:tcW w:w="1118" w:type="dxa"/>
            <w:hideMark/>
          </w:tcPr>
          <w:p w14:paraId="2F27078F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 xml:space="preserve">0 – 100 </w:t>
            </w:r>
          </w:p>
        </w:tc>
        <w:tc>
          <w:tcPr>
            <w:tcW w:w="2490" w:type="dxa"/>
            <w:hideMark/>
          </w:tcPr>
          <w:p w14:paraId="0759CFDF" w14:textId="77777777" w:rsidR="00757EB0" w:rsidRPr="00757EB0" w:rsidRDefault="00757EB0" w:rsidP="00E648D9">
            <w:pPr>
              <w:spacing w:after="160"/>
              <w:jc w:val="both"/>
            </w:pPr>
            <w:r w:rsidRPr="00757EB0">
              <w:rPr>
                <w:lang w:val="en-US"/>
              </w:rPr>
              <w:t>8 (IQR 3 – 28)</w:t>
            </w:r>
          </w:p>
        </w:tc>
      </w:tr>
    </w:tbl>
    <w:p w14:paraId="31AA8DD7" w14:textId="276D58DE" w:rsidR="00E46163" w:rsidRPr="00757EB0" w:rsidRDefault="00E46163" w:rsidP="00E46163">
      <w:pPr>
        <w:jc w:val="both"/>
        <w:rPr>
          <w:lang w:val="en-US"/>
        </w:rPr>
      </w:pPr>
      <w:r w:rsidRPr="00757EB0">
        <w:rPr>
          <w:b/>
          <w:bCs/>
          <w:lang w:val="en-US"/>
        </w:rPr>
        <w:t xml:space="preserve">Supplementary Table 1 </w:t>
      </w:r>
      <w:r>
        <w:rPr>
          <w:b/>
          <w:bCs/>
          <w:lang w:val="en-US"/>
        </w:rPr>
        <w:t>–</w:t>
      </w:r>
      <w:r w:rsidRPr="00757EB0">
        <w:rPr>
          <w:b/>
          <w:bCs/>
          <w:lang w:val="en-US"/>
        </w:rPr>
        <w:t xml:space="preserve"> Reported HR-QoL and disability of the upper and lower limbs</w:t>
      </w:r>
    </w:p>
    <w:p w14:paraId="77105222" w14:textId="77777777" w:rsidR="00E46163" w:rsidRPr="00757EB0" w:rsidRDefault="00E46163" w:rsidP="00E46163">
      <w:pPr>
        <w:jc w:val="both"/>
        <w:rPr>
          <w:lang w:val="en-US"/>
        </w:rPr>
      </w:pPr>
      <w:r w:rsidRPr="00757EB0">
        <w:rPr>
          <w:lang w:val="en-GB"/>
        </w:rPr>
        <w:t>Disability of the upper limb, as assessed using the DASH and AUSCAN questionnaires, lower limb disability as assessed using the WOMAC, and health-related quality of life (HR-QoL), as assessed by the SF-36 questionnaire are shown. Values are reported as N (%), or median (IQR). * Data available in 47 patients, ** Data available in 46 patients, *** Data available in 48 patients, **** Data available for 41 patients.</w:t>
      </w:r>
    </w:p>
    <w:p w14:paraId="7CB1B1E1" w14:textId="482BEB2C" w:rsidR="00406226" w:rsidRPr="00757EB0" w:rsidRDefault="00E46163" w:rsidP="00E46163">
      <w:pPr>
        <w:jc w:val="both"/>
        <w:rPr>
          <w:lang w:val="en-US"/>
        </w:rPr>
      </w:pPr>
      <w:r w:rsidRPr="00757EB0">
        <w:rPr>
          <w:lang w:val="en-US"/>
        </w:rPr>
        <w:t>AUSCAN, Australian/Canadian Osteoarthritis Index; DASH, Disabilities of the Arm, Shoulder and Hand; SF-36, Short Form-36; WOMAC, Western Ontario and McMaster Universities Osteoarthritis Index</w:t>
      </w:r>
    </w:p>
    <w:sectPr w:rsidR="00406226" w:rsidRPr="00757E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CE87" w14:textId="77777777" w:rsidR="00757EB0" w:rsidRDefault="00757EB0" w:rsidP="00757EB0">
      <w:pPr>
        <w:spacing w:after="0" w:line="240" w:lineRule="auto"/>
      </w:pPr>
      <w:r>
        <w:separator/>
      </w:r>
    </w:p>
  </w:endnote>
  <w:endnote w:type="continuationSeparator" w:id="0">
    <w:p w14:paraId="59A87136" w14:textId="77777777" w:rsidR="00757EB0" w:rsidRDefault="00757EB0" w:rsidP="0075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2152" w14:textId="77777777" w:rsidR="00757EB0" w:rsidRDefault="00757EB0" w:rsidP="00757EB0">
      <w:pPr>
        <w:spacing w:after="0" w:line="240" w:lineRule="auto"/>
      </w:pPr>
      <w:r>
        <w:separator/>
      </w:r>
    </w:p>
  </w:footnote>
  <w:footnote w:type="continuationSeparator" w:id="0">
    <w:p w14:paraId="30A26F98" w14:textId="77777777" w:rsidR="00757EB0" w:rsidRDefault="00757EB0" w:rsidP="0075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8A27" w14:textId="1FFB6DFA" w:rsidR="00757EB0" w:rsidRPr="00E46163" w:rsidRDefault="00757EB0">
    <w:pPr>
      <w:pStyle w:val="Header"/>
      <w:rPr>
        <w:sz w:val="20"/>
        <w:szCs w:val="20"/>
        <w:lang w:val="en-US"/>
      </w:rPr>
    </w:pPr>
    <w:r w:rsidRPr="00E46163">
      <w:rPr>
        <w:sz w:val="20"/>
        <w:szCs w:val="20"/>
        <w:lang w:val="en-US"/>
      </w:rPr>
      <w:t>Supp</w:t>
    </w:r>
    <w:r w:rsidR="00E46163" w:rsidRPr="00E46163">
      <w:rPr>
        <w:sz w:val="20"/>
        <w:szCs w:val="20"/>
        <w:lang w:val="en-US"/>
      </w:rPr>
      <w:t>l.</w:t>
    </w:r>
    <w:r w:rsidRPr="00E46163">
      <w:rPr>
        <w:sz w:val="20"/>
        <w:szCs w:val="20"/>
        <w:lang w:val="en-US"/>
      </w:rPr>
      <w:t xml:space="preserve"> Table 1</w:t>
    </w:r>
    <w:r w:rsidRPr="00E46163">
      <w:rPr>
        <w:sz w:val="20"/>
        <w:szCs w:val="20"/>
        <w:lang w:val="en-US"/>
      </w:rPr>
      <w:tab/>
      <w:t>Pelsma et al. (</w:t>
    </w:r>
    <w:r w:rsidR="00E46163">
      <w:rPr>
        <w:sz w:val="20"/>
        <w:szCs w:val="20"/>
        <w:lang w:val="en-US"/>
      </w:rPr>
      <w:t>2022</w:t>
    </w:r>
    <w:r w:rsidRPr="00E46163">
      <w:rPr>
        <w:sz w:val="20"/>
        <w:szCs w:val="20"/>
        <w:lang w:val="en-US"/>
      </w:rPr>
      <w:t>)</w:t>
    </w:r>
    <w:r w:rsidRPr="00E46163">
      <w:rPr>
        <w:sz w:val="20"/>
        <w:szCs w:val="20"/>
        <w:lang w:val="en-US"/>
      </w:rPr>
      <w:tab/>
    </w:r>
    <w:r w:rsidR="00E46163">
      <w:rPr>
        <w:sz w:val="20"/>
        <w:szCs w:val="20"/>
        <w:lang w:val="en-US"/>
      </w:rPr>
      <w:t>March 22,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B0"/>
    <w:rsid w:val="00406226"/>
    <w:rsid w:val="00757EB0"/>
    <w:rsid w:val="00E46163"/>
    <w:rsid w:val="00E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0C2B"/>
  <w15:chartTrackingRefBased/>
  <w15:docId w15:val="{4D055835-AE7F-4095-869C-26C291B6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57E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B0"/>
  </w:style>
  <w:style w:type="paragraph" w:styleId="Footer">
    <w:name w:val="footer"/>
    <w:basedOn w:val="Normal"/>
    <w:link w:val="FooterChar"/>
    <w:uiPriority w:val="99"/>
    <w:unhideWhenUsed/>
    <w:rsid w:val="0075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Pelsma, I.C.M. (DKP)</dc:creator>
  <cp:keywords/>
  <dc:description/>
  <cp:lastModifiedBy>Pelsma, I.C.M. (DKP)</cp:lastModifiedBy>
  <cp:revision>2</cp:revision>
  <dcterms:created xsi:type="dcterms:W3CDTF">2022-03-23T09:27:00Z</dcterms:created>
  <dcterms:modified xsi:type="dcterms:W3CDTF">2022-03-23T09:27:00Z</dcterms:modified>
</cp:coreProperties>
</file>