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4DDBA" w14:textId="4BC2327B" w:rsidR="007901EE" w:rsidRDefault="007901EE" w:rsidP="007901EE">
      <w:pPr>
        <w:pStyle w:val="Heading1"/>
        <w:rPr>
          <w:rStyle w:val="Heading1Char"/>
          <w:rFonts w:ascii="Arial" w:hAnsi="Arial" w:cs="Arial"/>
          <w:lang w:val="en-GB"/>
        </w:rPr>
      </w:pPr>
      <w:r>
        <w:rPr>
          <w:rStyle w:val="Heading1Char"/>
          <w:rFonts w:ascii="Arial" w:hAnsi="Arial" w:cs="Arial"/>
          <w:lang w:val="en-GB"/>
        </w:rPr>
        <w:t xml:space="preserve">Supplementary </w:t>
      </w:r>
      <w:r w:rsidR="001A1EFF">
        <w:rPr>
          <w:rStyle w:val="Heading1Char"/>
          <w:rFonts w:ascii="Arial" w:hAnsi="Arial" w:cs="Arial"/>
          <w:lang w:val="en-GB"/>
        </w:rPr>
        <w:t>Information</w:t>
      </w:r>
    </w:p>
    <w:p w14:paraId="73428E65" w14:textId="77777777" w:rsidR="009D1AEB" w:rsidRDefault="009D1AEB" w:rsidP="009D1AEB">
      <w:pPr>
        <w:spacing w:line="480" w:lineRule="auto"/>
        <w:rPr>
          <w:rFonts w:ascii="Arial" w:hAnsi="Arial" w:cs="Arial"/>
          <w:b/>
          <w:bCs/>
          <w:sz w:val="24"/>
          <w:szCs w:val="24"/>
        </w:rPr>
      </w:pPr>
    </w:p>
    <w:p w14:paraId="3659F1A1" w14:textId="77777777" w:rsidR="009D1AEB" w:rsidRDefault="009D1AEB" w:rsidP="009D1AEB">
      <w:pPr>
        <w:spacing w:line="480" w:lineRule="auto"/>
        <w:rPr>
          <w:rFonts w:ascii="Arial" w:hAnsi="Arial" w:cs="Arial"/>
          <w:b/>
          <w:bCs/>
          <w:sz w:val="24"/>
          <w:szCs w:val="24"/>
        </w:rPr>
      </w:pPr>
    </w:p>
    <w:p w14:paraId="44D3165B" w14:textId="5B5DBE4A" w:rsidR="009D1AEB" w:rsidRPr="009D1AEB" w:rsidRDefault="009D1AEB" w:rsidP="009D1AEB">
      <w:pPr>
        <w:spacing w:line="480" w:lineRule="auto"/>
        <w:rPr>
          <w:rFonts w:ascii="Arial" w:eastAsia="Calibri" w:hAnsi="Arial" w:cs="Arial"/>
          <w:sz w:val="24"/>
          <w:szCs w:val="24"/>
        </w:rPr>
      </w:pPr>
      <w:r w:rsidRPr="009D1AEB">
        <w:rPr>
          <w:rFonts w:ascii="Arial" w:hAnsi="Arial" w:cs="Arial"/>
          <w:b/>
          <w:bCs/>
          <w:sz w:val="24"/>
          <w:szCs w:val="24"/>
        </w:rPr>
        <w:t xml:space="preserve">Table S1: Species association with host order clades. </w:t>
      </w:r>
      <w:r w:rsidRPr="009D1AEB">
        <w:rPr>
          <w:rFonts w:ascii="Arial" w:eastAsia="Calibri" w:hAnsi="Arial" w:cs="Arial"/>
          <w:sz w:val="24"/>
          <w:szCs w:val="24"/>
        </w:rPr>
        <w:t xml:space="preserve">A </w:t>
      </w:r>
      <w:r w:rsidRPr="009D1AEB">
        <w:rPr>
          <w:rFonts w:ascii="Calibri" w:eastAsia="Calibri" w:hAnsi="Calibri" w:cs="Calibri"/>
          <w:sz w:val="24"/>
          <w:szCs w:val="24"/>
        </w:rPr>
        <w:t>﻿</w:t>
      </w:r>
      <w:r w:rsidRPr="009D1AEB">
        <w:rPr>
          <w:rFonts w:ascii="Arial" w:eastAsia="Calibri" w:hAnsi="Arial" w:cs="Arial"/>
          <w:sz w:val="24"/>
          <w:szCs w:val="24"/>
        </w:rPr>
        <w:t xml:space="preserve">multi-level pattern analysis was used to evaluate the association of gut microbial species with each of the four host order clades in the dataset (multipatt in R package </w:t>
      </w:r>
      <w:r w:rsidRPr="009D1AEB">
        <w:rPr>
          <w:rFonts w:ascii="Calibri" w:eastAsia="Calibri" w:hAnsi="Calibri" w:cs="Calibri"/>
          <w:sz w:val="24"/>
          <w:szCs w:val="24"/>
        </w:rPr>
        <w:t>﻿</w:t>
      </w:r>
      <w:r w:rsidRPr="009D1AEB">
        <w:rPr>
          <w:rFonts w:ascii="Arial" w:eastAsia="Calibri" w:hAnsi="Arial" w:cs="Arial"/>
          <w:sz w:val="24"/>
          <w:szCs w:val="24"/>
        </w:rPr>
        <w:t xml:space="preserve">indicspecies, func = "r.g", control = how(nperm=999), regress out effect of location on species). The analysis identified 66 species with significant specificity (out of 603 tested) to any one combination of host order clades (p.adj&lt;0.05). The table shows associations to one or more host order clades for every tested microbial species, along with statistics from multipatt analysis and species annotation. </w:t>
      </w:r>
    </w:p>
    <w:p w14:paraId="710D8A2E" w14:textId="77777777" w:rsidR="009D1AEB" w:rsidRPr="009D1AEB" w:rsidRDefault="009D1AEB" w:rsidP="009D1AEB">
      <w:pPr>
        <w:spacing w:line="480" w:lineRule="auto"/>
        <w:rPr>
          <w:rFonts w:ascii="Arial" w:hAnsi="Arial" w:cs="Arial"/>
          <w:b/>
          <w:bCs/>
          <w:sz w:val="24"/>
          <w:szCs w:val="24"/>
        </w:rPr>
      </w:pPr>
    </w:p>
    <w:p w14:paraId="2F7B00D8" w14:textId="77777777" w:rsidR="009D1AEB" w:rsidRPr="009D1AEB" w:rsidRDefault="009D1AEB" w:rsidP="009D1AEB">
      <w:pPr>
        <w:spacing w:line="480" w:lineRule="auto"/>
        <w:rPr>
          <w:rFonts w:ascii="Arial" w:hAnsi="Arial" w:cs="Arial"/>
          <w:sz w:val="24"/>
          <w:szCs w:val="24"/>
        </w:rPr>
      </w:pPr>
      <w:r w:rsidRPr="009D1AEB">
        <w:rPr>
          <w:rFonts w:ascii="Arial" w:hAnsi="Arial" w:cs="Arial"/>
          <w:b/>
          <w:bCs/>
          <w:sz w:val="24"/>
          <w:szCs w:val="24"/>
        </w:rPr>
        <w:t xml:space="preserve">Table S2: Species </w:t>
      </w:r>
      <w:r w:rsidRPr="009D1AEB">
        <w:rPr>
          <w:rFonts w:ascii="Arial" w:eastAsia="Calibri" w:hAnsi="Arial" w:cs="Arial"/>
          <w:b/>
          <w:bCs/>
          <w:sz w:val="24"/>
          <w:szCs w:val="24"/>
        </w:rPr>
        <w:t>phylogenetic relatedness</w:t>
      </w:r>
      <w:r w:rsidRPr="009D1AEB">
        <w:rPr>
          <w:rFonts w:ascii="Arial" w:hAnsi="Arial" w:cs="Arial"/>
          <w:b/>
          <w:bCs/>
          <w:sz w:val="24"/>
          <w:szCs w:val="24"/>
        </w:rPr>
        <w:t xml:space="preserve">. </w:t>
      </w:r>
      <w:r w:rsidRPr="009D1AEB">
        <w:rPr>
          <w:rFonts w:ascii="Arial" w:hAnsi="Arial" w:cs="Arial"/>
          <w:sz w:val="24"/>
          <w:szCs w:val="24"/>
        </w:rPr>
        <w:t>Analysis of</w:t>
      </w:r>
      <w:r w:rsidRPr="009D1AEB">
        <w:rPr>
          <w:rFonts w:ascii="Arial" w:hAnsi="Arial" w:cs="Arial"/>
          <w:b/>
          <w:bCs/>
          <w:sz w:val="24"/>
          <w:szCs w:val="24"/>
        </w:rPr>
        <w:t xml:space="preserve"> </w:t>
      </w:r>
      <w:r w:rsidRPr="009D1AEB">
        <w:rPr>
          <w:rFonts w:ascii="Arial" w:eastAsia="Calibri" w:hAnsi="Arial" w:cs="Arial"/>
          <w:sz w:val="24"/>
          <w:szCs w:val="24"/>
        </w:rPr>
        <w:t xml:space="preserve">phylogenetic relatedness for 538 species identified 224 significant species (ses.mpd function in Phylocomr, abundance weighted MPD model, 999 permutations, p.adj&lt;0.05). The table show statistics from the ses.mpd analysis for each species (rows) and the species annotation. The statistics columns;  </w:t>
      </w:r>
      <w:r w:rsidRPr="009D1AEB">
        <w:rPr>
          <w:rFonts w:ascii="Arial" w:hAnsi="Arial" w:cs="Arial"/>
          <w:sz w:val="24"/>
          <w:szCs w:val="24"/>
        </w:rPr>
        <w:t>ntaxa: Number of taxa in community, mpd.obs:</w:t>
      </w:r>
      <w:r w:rsidRPr="009D1AEB">
        <w:rPr>
          <w:rFonts w:ascii="Arial" w:eastAsia="Calibri" w:hAnsi="Arial" w:cs="Arial"/>
          <w:sz w:val="24"/>
          <w:szCs w:val="24"/>
        </w:rPr>
        <w:t xml:space="preserve"> </w:t>
      </w:r>
      <w:r w:rsidRPr="009D1AEB">
        <w:rPr>
          <w:rFonts w:ascii="Arial" w:hAnsi="Arial" w:cs="Arial"/>
          <w:sz w:val="24"/>
          <w:szCs w:val="24"/>
        </w:rPr>
        <w:t>Observed mpd in community</w:t>
      </w:r>
      <w:r w:rsidRPr="009D1AEB">
        <w:rPr>
          <w:rFonts w:ascii="Arial" w:eastAsia="Calibri" w:hAnsi="Arial" w:cs="Arial"/>
          <w:sz w:val="24"/>
          <w:szCs w:val="24"/>
        </w:rPr>
        <w:t xml:space="preserve">, </w:t>
      </w:r>
      <w:r w:rsidRPr="009D1AEB">
        <w:rPr>
          <w:rFonts w:ascii="Arial" w:hAnsi="Arial" w:cs="Arial"/>
          <w:sz w:val="24"/>
          <w:szCs w:val="24"/>
        </w:rPr>
        <w:t>mpd.rand.mean: Mean mpd in null communities</w:t>
      </w:r>
      <w:r w:rsidRPr="009D1AEB">
        <w:rPr>
          <w:rFonts w:ascii="Arial" w:eastAsia="Calibri" w:hAnsi="Arial" w:cs="Arial"/>
          <w:sz w:val="24"/>
          <w:szCs w:val="24"/>
        </w:rPr>
        <w:t xml:space="preserve">, </w:t>
      </w:r>
      <w:r w:rsidRPr="009D1AEB">
        <w:rPr>
          <w:rFonts w:ascii="Arial" w:hAnsi="Arial" w:cs="Arial"/>
          <w:sz w:val="24"/>
          <w:szCs w:val="24"/>
        </w:rPr>
        <w:t>mpd.rand.sd:</w:t>
      </w:r>
      <w:r w:rsidRPr="009D1AEB">
        <w:rPr>
          <w:rFonts w:ascii="Arial" w:eastAsia="Calibri" w:hAnsi="Arial" w:cs="Arial"/>
          <w:sz w:val="24"/>
          <w:szCs w:val="24"/>
        </w:rPr>
        <w:t xml:space="preserve"> </w:t>
      </w:r>
      <w:r w:rsidRPr="009D1AEB">
        <w:rPr>
          <w:rFonts w:ascii="Arial" w:hAnsi="Arial" w:cs="Arial"/>
          <w:sz w:val="24"/>
          <w:szCs w:val="24"/>
        </w:rPr>
        <w:t>Standard deviation of mpd in null communities, mpd.obs.rank:</w:t>
      </w:r>
      <w:r w:rsidRPr="009D1AEB">
        <w:rPr>
          <w:rFonts w:ascii="Arial" w:eastAsia="Calibri" w:hAnsi="Arial" w:cs="Arial"/>
          <w:sz w:val="24"/>
          <w:szCs w:val="24"/>
        </w:rPr>
        <w:t xml:space="preserve"> </w:t>
      </w:r>
      <w:r w:rsidRPr="009D1AEB">
        <w:rPr>
          <w:rFonts w:ascii="Arial" w:hAnsi="Arial" w:cs="Arial"/>
          <w:sz w:val="24"/>
          <w:szCs w:val="24"/>
        </w:rPr>
        <w:t>Rank of observed mpd vs. null communities, mpd.obs.z: Standardized effect size of mpd vs. null communities (= (mpd.obs - mpd.rand.mean) / mpd.rand.sd, equivalent to -NRI), mpd.obs.p:</w:t>
      </w:r>
      <w:r w:rsidRPr="009D1AEB">
        <w:rPr>
          <w:rFonts w:ascii="Arial" w:eastAsia="Calibri" w:hAnsi="Arial" w:cs="Arial"/>
          <w:sz w:val="24"/>
          <w:szCs w:val="24"/>
        </w:rPr>
        <w:t xml:space="preserve"> </w:t>
      </w:r>
      <w:r w:rsidRPr="009D1AEB">
        <w:rPr>
          <w:rFonts w:ascii="Arial" w:hAnsi="Arial" w:cs="Arial"/>
          <w:sz w:val="24"/>
          <w:szCs w:val="24"/>
        </w:rPr>
        <w:t xml:space="preserve">p-value </w:t>
      </w:r>
      <w:r w:rsidRPr="009D1AEB">
        <w:rPr>
          <w:rFonts w:ascii="Arial" w:hAnsi="Arial" w:cs="Arial"/>
          <w:sz w:val="24"/>
          <w:szCs w:val="24"/>
        </w:rPr>
        <w:lastRenderedPageBreak/>
        <w:t>(quantile) of observed mpd vs. null communities (= mpd.obs.rank / runs + 1), mpd.obs.p.adj: multiple testing adjusted p-value.</w:t>
      </w:r>
    </w:p>
    <w:p w14:paraId="1CDC3B4F" w14:textId="77777777" w:rsidR="009D1AEB" w:rsidRPr="009D1AEB" w:rsidRDefault="009D1AEB" w:rsidP="009D1AEB">
      <w:pPr>
        <w:spacing w:line="480" w:lineRule="auto"/>
        <w:rPr>
          <w:rFonts w:ascii="Arial" w:hAnsi="Arial" w:cs="Arial"/>
          <w:sz w:val="24"/>
          <w:szCs w:val="24"/>
        </w:rPr>
      </w:pPr>
    </w:p>
    <w:p w14:paraId="47DBFB33" w14:textId="77777777" w:rsidR="009D1AEB" w:rsidRPr="009D1AEB" w:rsidRDefault="009D1AEB" w:rsidP="009D1AEB">
      <w:pPr>
        <w:spacing w:line="480" w:lineRule="auto"/>
        <w:rPr>
          <w:rFonts w:ascii="Arial" w:hAnsi="Arial" w:cs="Arial"/>
          <w:sz w:val="24"/>
          <w:szCs w:val="24"/>
        </w:rPr>
      </w:pPr>
      <w:r w:rsidRPr="009D1AEB">
        <w:rPr>
          <w:rFonts w:ascii="Arial" w:hAnsi="Arial" w:cs="Arial"/>
          <w:b/>
          <w:bCs/>
          <w:sz w:val="24"/>
          <w:szCs w:val="24"/>
        </w:rPr>
        <w:t xml:space="preserve">Table S3: Microbial species community association with host phylogenetic groups and location. </w:t>
      </w:r>
      <w:r w:rsidRPr="009D1AEB">
        <w:rPr>
          <w:rFonts w:ascii="Calibri" w:hAnsi="Calibri" w:cs="Calibri"/>
          <w:sz w:val="24"/>
          <w:szCs w:val="24"/>
        </w:rPr>
        <w:t>﻿</w:t>
      </w:r>
      <w:r w:rsidRPr="009D1AEB">
        <w:rPr>
          <w:rFonts w:ascii="Arial" w:hAnsi="Arial" w:cs="Arial"/>
          <w:sz w:val="24"/>
          <w:szCs w:val="24"/>
        </w:rPr>
        <w:t xml:space="preserve">Permutational Multivariate Analysis of Variance Using Distance Matrices (ADONIS) was used to evaluate the association between gut microbiome composition and host clades and location (species-level microbiome, 999 permutations, min. 5 animals per host clade). The analysis was performed for hosts grouped at order to species levels (rows) and adjusting for location when analyzing phylogeny, and visa versa. All analysis supported a significant and dominating role of host phylogeny in shaping the gut microbiome, but also highlighted a role of location. </w:t>
      </w:r>
    </w:p>
    <w:p w14:paraId="5D40A187" w14:textId="77777777" w:rsidR="009D1AEB" w:rsidRPr="009D1AEB" w:rsidRDefault="009D1AEB" w:rsidP="009D1AEB">
      <w:pPr>
        <w:spacing w:line="480" w:lineRule="auto"/>
        <w:rPr>
          <w:rFonts w:ascii="Arial" w:hAnsi="Arial" w:cs="Arial"/>
          <w:sz w:val="24"/>
          <w:szCs w:val="24"/>
        </w:rPr>
      </w:pPr>
    </w:p>
    <w:p w14:paraId="13819542" w14:textId="77777777" w:rsidR="009D1AEB" w:rsidRPr="009D1AEB" w:rsidRDefault="009D1AEB" w:rsidP="009D1AEB">
      <w:pPr>
        <w:spacing w:line="480" w:lineRule="auto"/>
        <w:rPr>
          <w:rFonts w:ascii="Arial" w:eastAsia="Calibri" w:hAnsi="Arial" w:cs="Arial"/>
          <w:sz w:val="24"/>
          <w:szCs w:val="24"/>
        </w:rPr>
      </w:pPr>
      <w:r w:rsidRPr="009D1AEB">
        <w:rPr>
          <w:rFonts w:ascii="Arial" w:hAnsi="Arial" w:cs="Arial"/>
          <w:b/>
          <w:bCs/>
          <w:sz w:val="24"/>
          <w:szCs w:val="24"/>
        </w:rPr>
        <w:t xml:space="preserve">Table S4: Species association with host subgroups in the Hominidae family.  </w:t>
      </w:r>
      <w:r w:rsidRPr="009D1AEB">
        <w:rPr>
          <w:rFonts w:ascii="Arial" w:eastAsia="Calibri" w:hAnsi="Arial" w:cs="Arial"/>
          <w:sz w:val="24"/>
          <w:szCs w:val="24"/>
        </w:rPr>
        <w:t xml:space="preserve">A </w:t>
      </w:r>
      <w:r w:rsidRPr="009D1AEB">
        <w:rPr>
          <w:rFonts w:ascii="Calibri" w:eastAsia="Calibri" w:hAnsi="Calibri" w:cs="Calibri"/>
          <w:sz w:val="24"/>
          <w:szCs w:val="24"/>
        </w:rPr>
        <w:t>﻿</w:t>
      </w:r>
      <w:r w:rsidRPr="009D1AEB">
        <w:rPr>
          <w:rFonts w:ascii="Arial" w:eastAsia="Calibri" w:hAnsi="Arial" w:cs="Arial"/>
          <w:sz w:val="24"/>
          <w:szCs w:val="24"/>
        </w:rPr>
        <w:t xml:space="preserve">multi-level pattern analysis was used to evaluate the association of gut microbial species with each of the four host groups; humans from Guinea-Bissau or Germany, Pan and Pongo (multipatt in R package </w:t>
      </w:r>
      <w:r w:rsidRPr="009D1AEB">
        <w:rPr>
          <w:rFonts w:ascii="Calibri" w:eastAsia="Calibri" w:hAnsi="Calibri" w:cs="Calibri"/>
          <w:sz w:val="24"/>
          <w:szCs w:val="24"/>
        </w:rPr>
        <w:t>﻿</w:t>
      </w:r>
      <w:r w:rsidRPr="009D1AEB">
        <w:rPr>
          <w:rFonts w:ascii="Arial" w:eastAsia="Calibri" w:hAnsi="Arial" w:cs="Arial"/>
          <w:sz w:val="24"/>
          <w:szCs w:val="24"/>
        </w:rPr>
        <w:t>indicspecies, func = "r.g", control = how(nperm=999)) Effect of location was not regressed out due to the unvaried sampling of humans in Guinea-Bissau or Germany. The analysis found 93 species (out of 353 analyzed) with significant specificity, with 22 assigned to Guinea-Bissau humans, 40 to German humans, 23 to Pan and 31 to Pongo (multipatt p.adj&lt;0.05). The table shows associations to one or more host order clades for every tested microbial species, along with statistics from multipatt analysis and species annotation.</w:t>
      </w:r>
    </w:p>
    <w:p w14:paraId="16B3F8D4" w14:textId="77777777" w:rsidR="001A1EFF" w:rsidRDefault="001A1EFF" w:rsidP="001A1EFF">
      <w:pPr>
        <w:spacing w:before="100" w:beforeAutospacing="1" w:after="100" w:afterAutospacing="1" w:line="360" w:lineRule="auto"/>
        <w:jc w:val="center"/>
        <w:rPr>
          <w:rFonts w:ascii="Arial" w:hAnsi="Arial" w:cs="Arial"/>
          <w:b/>
          <w:bCs/>
          <w:sz w:val="20"/>
          <w:szCs w:val="20"/>
        </w:rPr>
      </w:pPr>
      <w:r>
        <w:rPr>
          <w:rFonts w:ascii="Arial" w:hAnsi="Arial" w:cs="Arial"/>
          <w:b/>
          <w:bCs/>
          <w:noProof/>
          <w:sz w:val="20"/>
          <w:szCs w:val="20"/>
        </w:rPr>
        <w:lastRenderedPageBreak/>
        <w:drawing>
          <wp:inline distT="0" distB="0" distL="0" distR="0" wp14:anchorId="421ADA1C" wp14:editId="31C5FAC0">
            <wp:extent cx="5121910" cy="5121910"/>
            <wp:effectExtent l="0" t="0" r="2540" b="2540"/>
            <wp:docPr id="9" name="Picture 9" descr="A picture containing toy, table, room,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oy, table, room,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21910" cy="5121910"/>
                    </a:xfrm>
                    <a:prstGeom prst="rect">
                      <a:avLst/>
                    </a:prstGeom>
                  </pic:spPr>
                </pic:pic>
              </a:graphicData>
            </a:graphic>
          </wp:inline>
        </w:drawing>
      </w:r>
    </w:p>
    <w:p w14:paraId="115DAC5E" w14:textId="77777777" w:rsidR="001A1EFF" w:rsidRPr="001A1EFF" w:rsidRDefault="001A1EFF" w:rsidP="001A1EFF">
      <w:pPr>
        <w:spacing w:before="100" w:beforeAutospacing="1" w:after="100" w:afterAutospacing="1" w:line="480" w:lineRule="auto"/>
        <w:jc w:val="both"/>
        <w:rPr>
          <w:rFonts w:ascii="Arial" w:hAnsi="Arial" w:cs="Arial"/>
          <w:sz w:val="24"/>
          <w:szCs w:val="24"/>
        </w:rPr>
      </w:pPr>
      <w:r w:rsidRPr="001A1EFF">
        <w:rPr>
          <w:rFonts w:ascii="Arial" w:hAnsi="Arial" w:cs="Arial"/>
          <w:b/>
          <w:bCs/>
          <w:sz w:val="24"/>
          <w:szCs w:val="24"/>
        </w:rPr>
        <w:t>Figure S1: Microbial alpha diversity along host family clades and location.</w:t>
      </w:r>
      <w:r w:rsidRPr="001A1EFF">
        <w:rPr>
          <w:rFonts w:ascii="Arial" w:hAnsi="Arial" w:cs="Arial"/>
          <w:sz w:val="24"/>
          <w:szCs w:val="24"/>
        </w:rPr>
        <w:t xml:space="preserve"> Comparison of the alpha diversity measures Shannon (A, C) and Chao (B, D) between host clades (A-B) at family-level and (C-D) genera-level.</w:t>
      </w:r>
    </w:p>
    <w:p w14:paraId="51AA5356" w14:textId="77777777" w:rsidR="001A1EFF" w:rsidRPr="001A1EFF" w:rsidRDefault="001A1EFF" w:rsidP="001A1EFF">
      <w:pPr>
        <w:spacing w:before="100" w:beforeAutospacing="1" w:after="100" w:afterAutospacing="1" w:line="480" w:lineRule="auto"/>
        <w:jc w:val="both"/>
        <w:rPr>
          <w:rFonts w:ascii="Arial" w:hAnsi="Arial" w:cs="Arial"/>
          <w:sz w:val="24"/>
          <w:szCs w:val="24"/>
        </w:rPr>
      </w:pPr>
      <w:r w:rsidRPr="001A1EFF">
        <w:rPr>
          <w:rFonts w:ascii="Arial" w:hAnsi="Arial" w:cs="Arial"/>
          <w:sz w:val="24"/>
          <w:szCs w:val="24"/>
        </w:rPr>
        <w:t xml:space="preserve"> </w:t>
      </w:r>
    </w:p>
    <w:p w14:paraId="0E4BE522" w14:textId="77777777" w:rsidR="001A1EFF" w:rsidRPr="001A1EFF" w:rsidRDefault="001A1EFF" w:rsidP="001A1EFF">
      <w:pPr>
        <w:spacing w:line="480" w:lineRule="auto"/>
        <w:jc w:val="center"/>
        <w:rPr>
          <w:rFonts w:ascii="Arial" w:hAnsi="Arial" w:cs="Arial"/>
          <w:sz w:val="24"/>
          <w:szCs w:val="24"/>
        </w:rPr>
      </w:pPr>
      <w:r w:rsidRPr="001A1EFF">
        <w:rPr>
          <w:rFonts w:ascii="Arial" w:hAnsi="Arial" w:cs="Arial"/>
          <w:noProof/>
          <w:sz w:val="24"/>
          <w:szCs w:val="24"/>
        </w:rPr>
        <w:lastRenderedPageBreak/>
        <w:drawing>
          <wp:inline distT="0" distB="0" distL="0" distR="0" wp14:anchorId="56E2D836" wp14:editId="7FA27488">
            <wp:extent cx="5217160" cy="6521739"/>
            <wp:effectExtent l="0" t="0" r="2540" b="0"/>
            <wp:docPr id="6" name="Picture 6"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ox and whiske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8778" cy="6523762"/>
                    </a:xfrm>
                    <a:prstGeom prst="rect">
                      <a:avLst/>
                    </a:prstGeom>
                  </pic:spPr>
                </pic:pic>
              </a:graphicData>
            </a:graphic>
          </wp:inline>
        </w:drawing>
      </w:r>
    </w:p>
    <w:p w14:paraId="10A2097E" w14:textId="77777777" w:rsidR="001A1EFF" w:rsidRPr="001A1EFF" w:rsidRDefault="001A1EFF" w:rsidP="001A1EFF">
      <w:pPr>
        <w:spacing w:before="100" w:beforeAutospacing="1" w:after="100" w:afterAutospacing="1" w:line="480" w:lineRule="auto"/>
        <w:jc w:val="both"/>
        <w:rPr>
          <w:rFonts w:ascii="Arial" w:hAnsi="Arial" w:cs="Arial"/>
          <w:sz w:val="24"/>
          <w:szCs w:val="24"/>
        </w:rPr>
      </w:pPr>
      <w:r w:rsidRPr="001A1EFF">
        <w:rPr>
          <w:rFonts w:ascii="Arial" w:hAnsi="Arial" w:cs="Arial"/>
          <w:b/>
          <w:bCs/>
          <w:sz w:val="24"/>
          <w:szCs w:val="24"/>
        </w:rPr>
        <w:t>Figure S2</w:t>
      </w:r>
      <w:r w:rsidRPr="001A1EFF">
        <w:rPr>
          <w:rFonts w:ascii="Arial" w:hAnsi="Arial" w:cs="Arial"/>
          <w:sz w:val="24"/>
          <w:szCs w:val="24"/>
        </w:rPr>
        <w:t xml:space="preserve">: </w:t>
      </w:r>
      <w:r w:rsidRPr="001A1EFF">
        <w:rPr>
          <w:rFonts w:ascii="Arial" w:hAnsi="Arial" w:cs="Arial"/>
          <w:b/>
          <w:bCs/>
          <w:sz w:val="24"/>
          <w:szCs w:val="24"/>
        </w:rPr>
        <w:t>Microbial Chao alpha diversity along host order clades and location.</w:t>
      </w:r>
      <w:r w:rsidRPr="001A1EFF">
        <w:rPr>
          <w:rFonts w:ascii="Arial" w:hAnsi="Arial" w:cs="Arial"/>
          <w:sz w:val="24"/>
          <w:szCs w:val="24"/>
        </w:rPr>
        <w:t xml:space="preserve"> Comparison of the alpha diversity measure Chao between host clades (A) at order-level and (B) sub-stratified by sampling location.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1A1EFF" w:rsidRPr="001A1EFF" w14:paraId="3098E076" w14:textId="77777777" w:rsidTr="00B84FA4">
        <w:tc>
          <w:tcPr>
            <w:tcW w:w="4508" w:type="dxa"/>
            <w:gridSpan w:val="2"/>
          </w:tcPr>
          <w:p w14:paraId="36F9BE02" w14:textId="77777777" w:rsidR="001A1EFF" w:rsidRPr="001A1EFF" w:rsidRDefault="001A1EFF" w:rsidP="001A1EFF">
            <w:pPr>
              <w:spacing w:line="480" w:lineRule="auto"/>
              <w:jc w:val="center"/>
              <w:rPr>
                <w:rFonts w:ascii="Arial" w:hAnsi="Arial" w:cs="Arial"/>
                <w:b/>
                <w:bCs/>
                <w:noProof/>
                <w:lang w:val="en-US"/>
              </w:rPr>
            </w:pPr>
            <w:r w:rsidRPr="001A1EFF">
              <w:rPr>
                <w:rFonts w:ascii="Arial" w:hAnsi="Arial" w:cs="Arial"/>
                <w:b/>
                <w:bCs/>
                <w:noProof/>
                <w:lang w:val="en-US"/>
              </w:rPr>
              <w:lastRenderedPageBreak/>
              <w:t>Bray-Curtis</w:t>
            </w:r>
          </w:p>
        </w:tc>
        <w:tc>
          <w:tcPr>
            <w:tcW w:w="4508" w:type="dxa"/>
            <w:gridSpan w:val="2"/>
          </w:tcPr>
          <w:p w14:paraId="25FB3123" w14:textId="77777777" w:rsidR="001A1EFF" w:rsidRPr="001A1EFF" w:rsidRDefault="001A1EFF" w:rsidP="001A1EFF">
            <w:pPr>
              <w:spacing w:line="480" w:lineRule="auto"/>
              <w:jc w:val="center"/>
              <w:rPr>
                <w:rFonts w:ascii="Arial" w:hAnsi="Arial" w:cs="Arial"/>
                <w:b/>
                <w:bCs/>
                <w:lang w:val="en-US"/>
              </w:rPr>
            </w:pPr>
            <w:r w:rsidRPr="001A1EFF">
              <w:rPr>
                <w:rFonts w:ascii="Arial" w:hAnsi="Arial" w:cs="Arial"/>
                <w:b/>
                <w:bCs/>
                <w:lang w:val="en-US"/>
              </w:rPr>
              <w:t>Jaccard</w:t>
            </w:r>
          </w:p>
        </w:tc>
      </w:tr>
      <w:tr w:rsidR="001A1EFF" w:rsidRPr="001A1EFF" w14:paraId="384559A9" w14:textId="77777777" w:rsidTr="00B84FA4">
        <w:tc>
          <w:tcPr>
            <w:tcW w:w="4508" w:type="dxa"/>
            <w:gridSpan w:val="2"/>
          </w:tcPr>
          <w:p w14:paraId="73E7D30D" w14:textId="77777777" w:rsidR="001A1EFF" w:rsidRPr="001A1EFF" w:rsidRDefault="001A1EFF" w:rsidP="001A1EFF">
            <w:pPr>
              <w:spacing w:line="480" w:lineRule="auto"/>
              <w:rPr>
                <w:rFonts w:ascii="Arial" w:hAnsi="Arial" w:cs="Arial"/>
                <w:lang w:val="en-US"/>
              </w:rPr>
            </w:pPr>
            <w:r w:rsidRPr="001A1EFF">
              <w:rPr>
                <w:rFonts w:ascii="Arial" w:hAnsi="Arial" w:cs="Arial"/>
                <w:noProof/>
                <w:lang w:val="en-US"/>
              </w:rPr>
              <w:drawing>
                <wp:inline distT="0" distB="0" distL="0" distR="0" wp14:anchorId="67FF3492" wp14:editId="75A4CB95">
                  <wp:extent cx="2640000" cy="3960000"/>
                  <wp:effectExtent l="0" t="0" r="1905" b="2540"/>
                  <wp:docPr id="7" name="Picture 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ox and whisker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0000" cy="3960000"/>
                          </a:xfrm>
                          <a:prstGeom prst="rect">
                            <a:avLst/>
                          </a:prstGeom>
                        </pic:spPr>
                      </pic:pic>
                    </a:graphicData>
                  </a:graphic>
                </wp:inline>
              </w:drawing>
            </w:r>
          </w:p>
        </w:tc>
        <w:tc>
          <w:tcPr>
            <w:tcW w:w="4508" w:type="dxa"/>
            <w:gridSpan w:val="2"/>
          </w:tcPr>
          <w:p w14:paraId="1F987ECE" w14:textId="77777777" w:rsidR="001A1EFF" w:rsidRPr="001A1EFF" w:rsidRDefault="001A1EFF" w:rsidP="001A1EFF">
            <w:pPr>
              <w:spacing w:line="480" w:lineRule="auto"/>
              <w:rPr>
                <w:rFonts w:ascii="Arial" w:hAnsi="Arial" w:cs="Arial"/>
                <w:lang w:val="en-US"/>
              </w:rPr>
            </w:pPr>
            <w:r w:rsidRPr="001A1EFF">
              <w:rPr>
                <w:rFonts w:ascii="Arial" w:hAnsi="Arial" w:cs="Arial"/>
                <w:noProof/>
                <w:lang w:val="en-US"/>
              </w:rPr>
              <w:drawing>
                <wp:inline distT="0" distB="0" distL="0" distR="0" wp14:anchorId="7C346382" wp14:editId="00DA767B">
                  <wp:extent cx="2640000" cy="3960000"/>
                  <wp:effectExtent l="0" t="0" r="1905" b="2540"/>
                  <wp:docPr id="8" name="Picture 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ox and whisker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0000" cy="3960000"/>
                          </a:xfrm>
                          <a:prstGeom prst="rect">
                            <a:avLst/>
                          </a:prstGeom>
                        </pic:spPr>
                      </pic:pic>
                    </a:graphicData>
                  </a:graphic>
                </wp:inline>
              </w:drawing>
            </w:r>
          </w:p>
        </w:tc>
      </w:tr>
      <w:tr w:rsidR="001A1EFF" w:rsidRPr="001A1EFF" w14:paraId="4FFFEB20" w14:textId="77777777" w:rsidTr="00B84FA4">
        <w:trPr>
          <w:trHeight w:val="70"/>
        </w:trPr>
        <w:tc>
          <w:tcPr>
            <w:tcW w:w="2254" w:type="dxa"/>
            <w:vAlign w:val="center"/>
          </w:tcPr>
          <w:p w14:paraId="578D8468" w14:textId="77777777" w:rsidR="001A1EFF" w:rsidRPr="001A1EFF" w:rsidRDefault="001A1EFF" w:rsidP="001A1EFF">
            <w:pPr>
              <w:spacing w:line="480" w:lineRule="auto"/>
              <w:jc w:val="center"/>
              <w:rPr>
                <w:rFonts w:ascii="Arial" w:hAnsi="Arial" w:cs="Arial"/>
                <w:b/>
                <w:bCs/>
                <w:noProof/>
                <w:lang w:val="en-US"/>
              </w:rPr>
            </w:pPr>
            <w:r w:rsidRPr="001A1EFF">
              <w:rPr>
                <w:rFonts w:ascii="Arial" w:hAnsi="Arial" w:cs="Arial"/>
                <w:b/>
                <w:bCs/>
                <w:noProof/>
                <w:lang w:val="en-US"/>
              </w:rPr>
              <w:t xml:space="preserve">            </w:t>
            </w:r>
          </w:p>
        </w:tc>
        <w:tc>
          <w:tcPr>
            <w:tcW w:w="2254" w:type="dxa"/>
            <w:vAlign w:val="center"/>
          </w:tcPr>
          <w:p w14:paraId="6B1D65B7" w14:textId="77777777" w:rsidR="001A1EFF" w:rsidRPr="001A1EFF" w:rsidRDefault="001A1EFF" w:rsidP="001A1EFF">
            <w:pPr>
              <w:spacing w:line="480" w:lineRule="auto"/>
              <w:rPr>
                <w:rFonts w:ascii="Arial" w:hAnsi="Arial" w:cs="Arial"/>
                <w:b/>
                <w:bCs/>
                <w:noProof/>
                <w:lang w:val="en-US"/>
              </w:rPr>
            </w:pPr>
            <w:r w:rsidRPr="001A1EFF">
              <w:rPr>
                <w:rFonts w:ascii="Arial" w:hAnsi="Arial" w:cs="Arial"/>
                <w:b/>
                <w:bCs/>
                <w:noProof/>
                <w:lang w:val="en-US"/>
              </w:rPr>
              <w:t xml:space="preserve">       </w:t>
            </w:r>
          </w:p>
        </w:tc>
        <w:tc>
          <w:tcPr>
            <w:tcW w:w="2254" w:type="dxa"/>
            <w:vAlign w:val="center"/>
          </w:tcPr>
          <w:p w14:paraId="61D418D0" w14:textId="77777777" w:rsidR="001A1EFF" w:rsidRPr="001A1EFF" w:rsidRDefault="001A1EFF" w:rsidP="001A1EFF">
            <w:pPr>
              <w:spacing w:line="480" w:lineRule="auto"/>
              <w:jc w:val="center"/>
              <w:rPr>
                <w:rFonts w:ascii="Arial" w:hAnsi="Arial" w:cs="Arial"/>
                <w:b/>
                <w:bCs/>
                <w:noProof/>
                <w:lang w:val="en-US"/>
              </w:rPr>
            </w:pPr>
            <w:r w:rsidRPr="001A1EFF">
              <w:rPr>
                <w:rFonts w:ascii="Arial" w:hAnsi="Arial" w:cs="Arial"/>
                <w:b/>
                <w:bCs/>
                <w:noProof/>
                <w:lang w:val="en-US"/>
              </w:rPr>
              <w:t xml:space="preserve">      </w:t>
            </w:r>
          </w:p>
        </w:tc>
        <w:tc>
          <w:tcPr>
            <w:tcW w:w="2254" w:type="dxa"/>
            <w:vAlign w:val="center"/>
          </w:tcPr>
          <w:p w14:paraId="20C8BCCE" w14:textId="77777777" w:rsidR="001A1EFF" w:rsidRPr="001A1EFF" w:rsidRDefault="001A1EFF" w:rsidP="001A1EFF">
            <w:pPr>
              <w:spacing w:line="480" w:lineRule="auto"/>
              <w:rPr>
                <w:rFonts w:ascii="Arial" w:hAnsi="Arial" w:cs="Arial"/>
                <w:b/>
                <w:bCs/>
                <w:noProof/>
                <w:lang w:val="en-US"/>
              </w:rPr>
            </w:pPr>
            <w:r w:rsidRPr="001A1EFF">
              <w:rPr>
                <w:rFonts w:ascii="Arial" w:hAnsi="Arial" w:cs="Arial"/>
                <w:b/>
                <w:bCs/>
                <w:noProof/>
                <w:lang w:val="en-US"/>
              </w:rPr>
              <w:t xml:space="preserve">      </w:t>
            </w:r>
          </w:p>
        </w:tc>
      </w:tr>
    </w:tbl>
    <w:p w14:paraId="27EBFE9F" w14:textId="77777777" w:rsidR="001A1EFF" w:rsidRPr="001A1EFF" w:rsidRDefault="001A1EFF" w:rsidP="001A1EFF">
      <w:pPr>
        <w:spacing w:before="100" w:beforeAutospacing="1" w:after="100" w:afterAutospacing="1" w:line="480" w:lineRule="auto"/>
        <w:jc w:val="both"/>
        <w:rPr>
          <w:rFonts w:ascii="Arial" w:hAnsi="Arial" w:cs="Arial"/>
          <w:sz w:val="24"/>
          <w:szCs w:val="24"/>
        </w:rPr>
      </w:pPr>
      <w:r w:rsidRPr="001A1EFF">
        <w:rPr>
          <w:rFonts w:ascii="Arial" w:hAnsi="Arial" w:cs="Arial"/>
          <w:b/>
          <w:bCs/>
          <w:sz w:val="24"/>
          <w:szCs w:val="24"/>
        </w:rPr>
        <w:t>Figure S3</w:t>
      </w:r>
      <w:r w:rsidRPr="001A1EFF">
        <w:rPr>
          <w:rFonts w:ascii="Arial" w:hAnsi="Arial" w:cs="Arial"/>
          <w:sz w:val="24"/>
          <w:szCs w:val="24"/>
        </w:rPr>
        <w:t xml:space="preserve">: </w:t>
      </w:r>
      <w:r w:rsidRPr="001A1EFF">
        <w:rPr>
          <w:rFonts w:ascii="Arial" w:hAnsi="Arial" w:cs="Arial"/>
          <w:b/>
          <w:bCs/>
          <w:sz w:val="24"/>
          <w:szCs w:val="24"/>
        </w:rPr>
        <w:t xml:space="preserve">Gut microbiota community variation mainly explained by mammal phylogeny as oppose to location. </w:t>
      </w:r>
      <w:r w:rsidRPr="001A1EFF">
        <w:rPr>
          <w:rFonts w:ascii="Arial" w:hAnsi="Arial" w:cs="Arial"/>
          <w:sz w:val="24"/>
          <w:szCs w:val="24"/>
        </w:rPr>
        <w:t>Multiple regression on matrices (MRMs) was used to evaluate the gut microbiome (species) variation that associated with phylogeny and location, with location given by the Zoo’s geographical locations and humans home-country. The analysis was performed for both relative abundances (</w:t>
      </w:r>
      <w:r w:rsidRPr="001A1EFF">
        <w:rPr>
          <w:rFonts w:ascii="Arial" w:hAnsi="Arial" w:cs="Arial"/>
          <w:b/>
          <w:bCs/>
          <w:sz w:val="24"/>
          <w:szCs w:val="24"/>
        </w:rPr>
        <w:t>left</w:t>
      </w:r>
      <w:r w:rsidRPr="001A1EFF">
        <w:rPr>
          <w:rFonts w:ascii="Arial" w:hAnsi="Arial" w:cs="Arial"/>
          <w:sz w:val="24"/>
          <w:szCs w:val="24"/>
        </w:rPr>
        <w:t>) and presence/absence (</w:t>
      </w:r>
      <w:r w:rsidRPr="001A1EFF">
        <w:rPr>
          <w:rFonts w:ascii="Arial" w:hAnsi="Arial" w:cs="Arial"/>
          <w:b/>
          <w:bCs/>
          <w:sz w:val="24"/>
          <w:szCs w:val="24"/>
        </w:rPr>
        <w:t>right</w:t>
      </w:r>
      <w:r w:rsidRPr="001A1EFF">
        <w:rPr>
          <w:rFonts w:ascii="Arial" w:hAnsi="Arial" w:cs="Arial"/>
          <w:sz w:val="24"/>
          <w:szCs w:val="24"/>
        </w:rPr>
        <w:t>) of the microbiota species composition. In both analyses, host phylogeny explained a significant amount of variation (median p-value&lt;0.05), while the variation explained by location was insignificant (median p-value&gt;0.05).</w:t>
      </w:r>
    </w:p>
    <w:p w14:paraId="2393E4FE" w14:textId="77777777" w:rsidR="001A1EFF" w:rsidRPr="001A1EFF" w:rsidRDefault="001A1EFF" w:rsidP="001A1EFF">
      <w:pPr>
        <w:spacing w:before="100" w:beforeAutospacing="1" w:after="100" w:afterAutospacing="1" w:line="480" w:lineRule="auto"/>
        <w:jc w:val="center"/>
        <w:rPr>
          <w:rFonts w:ascii="Arial" w:hAnsi="Arial" w:cs="Arial"/>
          <w:b/>
          <w:bCs/>
          <w:sz w:val="24"/>
          <w:szCs w:val="24"/>
        </w:rPr>
      </w:pPr>
      <w:r w:rsidRPr="001A1EFF">
        <w:rPr>
          <w:rFonts w:ascii="Arial" w:hAnsi="Arial" w:cs="Arial"/>
          <w:b/>
          <w:bCs/>
          <w:noProof/>
          <w:sz w:val="24"/>
          <w:szCs w:val="24"/>
        </w:rPr>
        <w:lastRenderedPageBreak/>
        <w:drawing>
          <wp:inline distT="0" distB="0" distL="0" distR="0" wp14:anchorId="57FFF0B9" wp14:editId="03E035C4">
            <wp:extent cx="3705225" cy="5557838"/>
            <wp:effectExtent l="0" t="0" r="0" b="5080"/>
            <wp:docPr id="10" name="Picture 10"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ox and whisker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10607" cy="5565911"/>
                    </a:xfrm>
                    <a:prstGeom prst="rect">
                      <a:avLst/>
                    </a:prstGeom>
                  </pic:spPr>
                </pic:pic>
              </a:graphicData>
            </a:graphic>
          </wp:inline>
        </w:drawing>
      </w:r>
    </w:p>
    <w:p w14:paraId="7BC4A5D5" w14:textId="77777777" w:rsidR="001A1EFF" w:rsidRPr="001A1EFF" w:rsidRDefault="001A1EFF" w:rsidP="001A1EFF">
      <w:pPr>
        <w:spacing w:before="100" w:beforeAutospacing="1" w:after="100" w:afterAutospacing="1" w:line="480" w:lineRule="auto"/>
        <w:jc w:val="both"/>
        <w:rPr>
          <w:rFonts w:ascii="Arial" w:hAnsi="Arial" w:cs="Arial"/>
          <w:sz w:val="24"/>
          <w:szCs w:val="24"/>
        </w:rPr>
      </w:pPr>
      <w:r w:rsidRPr="001A1EFF">
        <w:rPr>
          <w:rFonts w:ascii="Arial" w:hAnsi="Arial" w:cs="Arial"/>
          <w:b/>
          <w:bCs/>
          <w:sz w:val="24"/>
          <w:szCs w:val="24"/>
        </w:rPr>
        <w:t>Figure S4</w:t>
      </w:r>
      <w:r w:rsidRPr="001A1EFF">
        <w:rPr>
          <w:rFonts w:ascii="Arial" w:hAnsi="Arial" w:cs="Arial"/>
          <w:sz w:val="24"/>
          <w:szCs w:val="24"/>
        </w:rPr>
        <w:t xml:space="preserve">: </w:t>
      </w:r>
      <w:r w:rsidRPr="001A1EFF">
        <w:rPr>
          <w:rFonts w:ascii="Arial" w:hAnsi="Arial" w:cs="Arial"/>
          <w:b/>
          <w:bCs/>
          <w:sz w:val="24"/>
          <w:szCs w:val="24"/>
        </w:rPr>
        <w:t>Microbial Shannon (A) and Chao (B) alpha diversity along hosts grouped by genus with humans further segregated by location.</w:t>
      </w:r>
      <w:r w:rsidRPr="001A1EFF">
        <w:rPr>
          <w:rFonts w:ascii="Arial" w:hAnsi="Arial" w:cs="Arial"/>
          <w:sz w:val="24"/>
          <w:szCs w:val="24"/>
        </w:rPr>
        <w:t xml:space="preserve"> Comparison of the alpha diversity measure Shannon between host clades and location for humans, showed a higher diversity for the none-human mammals, followed by none-westernized Guinea-Bissau human subjects and then westernized German human subjects. A small subgroup of zookeepers (n=4) showed a large spread in diversity. </w:t>
      </w:r>
    </w:p>
    <w:sectPr w:rsidR="001A1EFF" w:rsidRPr="001A1E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30A19" w14:textId="77777777" w:rsidR="007C2F43" w:rsidRDefault="007C2F43" w:rsidP="00EB368A">
      <w:pPr>
        <w:spacing w:after="0" w:line="240" w:lineRule="auto"/>
      </w:pPr>
      <w:r>
        <w:separator/>
      </w:r>
    </w:p>
  </w:endnote>
  <w:endnote w:type="continuationSeparator" w:id="0">
    <w:p w14:paraId="2DC1023D" w14:textId="77777777" w:rsidR="007C2F43" w:rsidRDefault="007C2F43" w:rsidP="00EB3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6E713" w14:textId="77777777" w:rsidR="007C2F43" w:rsidRDefault="007C2F43" w:rsidP="00EB368A">
      <w:pPr>
        <w:spacing w:after="0" w:line="240" w:lineRule="auto"/>
      </w:pPr>
      <w:r>
        <w:separator/>
      </w:r>
    </w:p>
  </w:footnote>
  <w:footnote w:type="continuationSeparator" w:id="0">
    <w:p w14:paraId="21B28ED7" w14:textId="77777777" w:rsidR="007C2F43" w:rsidRDefault="007C2F43" w:rsidP="00EB3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F74C9E"/>
    <w:rsid w:val="00007D4C"/>
    <w:rsid w:val="00035D13"/>
    <w:rsid w:val="000613E9"/>
    <w:rsid w:val="00087D4F"/>
    <w:rsid w:val="00156272"/>
    <w:rsid w:val="001A1EFF"/>
    <w:rsid w:val="001A29FB"/>
    <w:rsid w:val="002028A0"/>
    <w:rsid w:val="00237961"/>
    <w:rsid w:val="0034526E"/>
    <w:rsid w:val="003B7366"/>
    <w:rsid w:val="003D09DA"/>
    <w:rsid w:val="003D34A5"/>
    <w:rsid w:val="003E643F"/>
    <w:rsid w:val="00425B7B"/>
    <w:rsid w:val="00455709"/>
    <w:rsid w:val="004A41A0"/>
    <w:rsid w:val="004B45CB"/>
    <w:rsid w:val="004B7C8C"/>
    <w:rsid w:val="005646B2"/>
    <w:rsid w:val="005B273F"/>
    <w:rsid w:val="0062569E"/>
    <w:rsid w:val="0074357B"/>
    <w:rsid w:val="0076370E"/>
    <w:rsid w:val="007901EE"/>
    <w:rsid w:val="007C1552"/>
    <w:rsid w:val="007C2F43"/>
    <w:rsid w:val="007D08A1"/>
    <w:rsid w:val="007F3854"/>
    <w:rsid w:val="00912875"/>
    <w:rsid w:val="009D1AEB"/>
    <w:rsid w:val="00A11D05"/>
    <w:rsid w:val="00AF268D"/>
    <w:rsid w:val="00B87FFD"/>
    <w:rsid w:val="00C167DA"/>
    <w:rsid w:val="00CE7358"/>
    <w:rsid w:val="00D668B5"/>
    <w:rsid w:val="00DF3C3F"/>
    <w:rsid w:val="00EB368A"/>
    <w:rsid w:val="00F50DE5"/>
    <w:rsid w:val="00F53A95"/>
    <w:rsid w:val="014436F2"/>
    <w:rsid w:val="028947A8"/>
    <w:rsid w:val="02BF0A03"/>
    <w:rsid w:val="0334491B"/>
    <w:rsid w:val="03E01BAE"/>
    <w:rsid w:val="06CD0FA1"/>
    <w:rsid w:val="070FB2A0"/>
    <w:rsid w:val="07C590CE"/>
    <w:rsid w:val="08730E6E"/>
    <w:rsid w:val="09DEA6C2"/>
    <w:rsid w:val="0AB9DE4C"/>
    <w:rsid w:val="0B9038CE"/>
    <w:rsid w:val="0D7AB72E"/>
    <w:rsid w:val="0E15C919"/>
    <w:rsid w:val="0E4E0AE0"/>
    <w:rsid w:val="0E5A54E6"/>
    <w:rsid w:val="0EB64C78"/>
    <w:rsid w:val="0FD67B1F"/>
    <w:rsid w:val="12E98628"/>
    <w:rsid w:val="145C8A9F"/>
    <w:rsid w:val="160A65D4"/>
    <w:rsid w:val="16179636"/>
    <w:rsid w:val="16386EB5"/>
    <w:rsid w:val="17A9640D"/>
    <w:rsid w:val="1894D0E3"/>
    <w:rsid w:val="198E4FB9"/>
    <w:rsid w:val="1AA4C8D5"/>
    <w:rsid w:val="1ACB2F21"/>
    <w:rsid w:val="1AD91345"/>
    <w:rsid w:val="1B34B45D"/>
    <w:rsid w:val="1C482BF4"/>
    <w:rsid w:val="1C4A3AAD"/>
    <w:rsid w:val="1CC45AAC"/>
    <w:rsid w:val="1D4A9612"/>
    <w:rsid w:val="1E1E7E47"/>
    <w:rsid w:val="1EA369B3"/>
    <w:rsid w:val="1F49D54C"/>
    <w:rsid w:val="206BB0F5"/>
    <w:rsid w:val="20C7BD42"/>
    <w:rsid w:val="21C07786"/>
    <w:rsid w:val="21D7C2F4"/>
    <w:rsid w:val="22AA95F8"/>
    <w:rsid w:val="230D6D73"/>
    <w:rsid w:val="230FFAEA"/>
    <w:rsid w:val="235E17E8"/>
    <w:rsid w:val="23F61A95"/>
    <w:rsid w:val="24926414"/>
    <w:rsid w:val="25D1261E"/>
    <w:rsid w:val="29D3806C"/>
    <w:rsid w:val="2A08DDEB"/>
    <w:rsid w:val="2A21CBAB"/>
    <w:rsid w:val="2A224BD2"/>
    <w:rsid w:val="2AF5D8EC"/>
    <w:rsid w:val="2AF95CF1"/>
    <w:rsid w:val="2BA54783"/>
    <w:rsid w:val="2BE44550"/>
    <w:rsid w:val="2C03C284"/>
    <w:rsid w:val="2C81D5A7"/>
    <w:rsid w:val="2E9A45A5"/>
    <w:rsid w:val="2F0224DA"/>
    <w:rsid w:val="2FFC06D2"/>
    <w:rsid w:val="3037F3C6"/>
    <w:rsid w:val="30BDD716"/>
    <w:rsid w:val="318565D5"/>
    <w:rsid w:val="3254DD5E"/>
    <w:rsid w:val="337718BC"/>
    <w:rsid w:val="33879343"/>
    <w:rsid w:val="33DF873D"/>
    <w:rsid w:val="33EA4267"/>
    <w:rsid w:val="35913A4B"/>
    <w:rsid w:val="35953D9C"/>
    <w:rsid w:val="35A82258"/>
    <w:rsid w:val="379978A9"/>
    <w:rsid w:val="37DD598C"/>
    <w:rsid w:val="37DE7632"/>
    <w:rsid w:val="3838E1F0"/>
    <w:rsid w:val="38A59E10"/>
    <w:rsid w:val="38F74C9E"/>
    <w:rsid w:val="39CE5417"/>
    <w:rsid w:val="3ADE37B3"/>
    <w:rsid w:val="3B190264"/>
    <w:rsid w:val="3B8982FD"/>
    <w:rsid w:val="3BE8AEB5"/>
    <w:rsid w:val="3C9F49E2"/>
    <w:rsid w:val="3D212457"/>
    <w:rsid w:val="3EC7D43D"/>
    <w:rsid w:val="3EED59CE"/>
    <w:rsid w:val="3F73B3B4"/>
    <w:rsid w:val="3F959ED6"/>
    <w:rsid w:val="40342869"/>
    <w:rsid w:val="41113D95"/>
    <w:rsid w:val="4166F8D5"/>
    <w:rsid w:val="42BA1B52"/>
    <w:rsid w:val="43597182"/>
    <w:rsid w:val="43D5815F"/>
    <w:rsid w:val="440A021A"/>
    <w:rsid w:val="4524D850"/>
    <w:rsid w:val="45AF0ECE"/>
    <w:rsid w:val="461EF6D9"/>
    <w:rsid w:val="491C3096"/>
    <w:rsid w:val="4A0DAE12"/>
    <w:rsid w:val="4A693F0B"/>
    <w:rsid w:val="4AB4F8AD"/>
    <w:rsid w:val="4B017BCC"/>
    <w:rsid w:val="4BE45330"/>
    <w:rsid w:val="4C512106"/>
    <w:rsid w:val="4C98D54C"/>
    <w:rsid w:val="4D2D3017"/>
    <w:rsid w:val="4D69B99B"/>
    <w:rsid w:val="4E3CC724"/>
    <w:rsid w:val="4E48D70D"/>
    <w:rsid w:val="4E78947D"/>
    <w:rsid w:val="4EC22EAA"/>
    <w:rsid w:val="4ED573C1"/>
    <w:rsid w:val="51055355"/>
    <w:rsid w:val="52A96CC8"/>
    <w:rsid w:val="5328B315"/>
    <w:rsid w:val="536AA333"/>
    <w:rsid w:val="5382C1C1"/>
    <w:rsid w:val="5383298A"/>
    <w:rsid w:val="559DB42C"/>
    <w:rsid w:val="55B993BE"/>
    <w:rsid w:val="562E5790"/>
    <w:rsid w:val="566F2221"/>
    <w:rsid w:val="57A34C91"/>
    <w:rsid w:val="5988AF8C"/>
    <w:rsid w:val="5A118573"/>
    <w:rsid w:val="5B40638A"/>
    <w:rsid w:val="5B915B13"/>
    <w:rsid w:val="5BFB6487"/>
    <w:rsid w:val="5CF4D3A2"/>
    <w:rsid w:val="5D5BCD4C"/>
    <w:rsid w:val="5D708CDE"/>
    <w:rsid w:val="5D8935EF"/>
    <w:rsid w:val="5DF3B68A"/>
    <w:rsid w:val="5EAF57B3"/>
    <w:rsid w:val="5FBF6E4E"/>
    <w:rsid w:val="5FFDFC56"/>
    <w:rsid w:val="60324D71"/>
    <w:rsid w:val="6033AC22"/>
    <w:rsid w:val="60E011E5"/>
    <w:rsid w:val="60E8A0B8"/>
    <w:rsid w:val="615B0ABC"/>
    <w:rsid w:val="615D162A"/>
    <w:rsid w:val="61B17CCC"/>
    <w:rsid w:val="629045FC"/>
    <w:rsid w:val="637BA82A"/>
    <w:rsid w:val="63AF2448"/>
    <w:rsid w:val="641F9F0E"/>
    <w:rsid w:val="6489C1DB"/>
    <w:rsid w:val="6620E62C"/>
    <w:rsid w:val="6640DE32"/>
    <w:rsid w:val="669A8D30"/>
    <w:rsid w:val="66CF0CFF"/>
    <w:rsid w:val="6706465B"/>
    <w:rsid w:val="68417FA4"/>
    <w:rsid w:val="6A7E410D"/>
    <w:rsid w:val="6B7D04E7"/>
    <w:rsid w:val="6C2BBD27"/>
    <w:rsid w:val="6DEE7754"/>
    <w:rsid w:val="6E0DCFA8"/>
    <w:rsid w:val="6E89B7F3"/>
    <w:rsid w:val="6EF9B009"/>
    <w:rsid w:val="6F452874"/>
    <w:rsid w:val="706409EC"/>
    <w:rsid w:val="708E2CF1"/>
    <w:rsid w:val="709EC182"/>
    <w:rsid w:val="70BD7B26"/>
    <w:rsid w:val="7109822E"/>
    <w:rsid w:val="71382EF6"/>
    <w:rsid w:val="722FAB26"/>
    <w:rsid w:val="7231B3B3"/>
    <w:rsid w:val="7315D7B9"/>
    <w:rsid w:val="766D16DB"/>
    <w:rsid w:val="7DA4812B"/>
    <w:rsid w:val="7DCB196D"/>
    <w:rsid w:val="7E17A953"/>
    <w:rsid w:val="7E46FB69"/>
    <w:rsid w:val="7E54B7C7"/>
    <w:rsid w:val="7F94F3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4C9E"/>
  <w15:chartTrackingRefBased/>
  <w15:docId w15:val="{5F14A1DE-4D93-4F81-A5E0-06648C73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1EE"/>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da-DK"/>
    </w:rPr>
  </w:style>
  <w:style w:type="paragraph" w:styleId="Heading2">
    <w:name w:val="heading 2"/>
    <w:basedOn w:val="Normal"/>
    <w:next w:val="Normal"/>
    <w:link w:val="Heading2Char"/>
    <w:uiPriority w:val="9"/>
    <w:unhideWhenUsed/>
    <w:qFormat/>
    <w:rsid w:val="007901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68A"/>
  </w:style>
  <w:style w:type="paragraph" w:styleId="Footer">
    <w:name w:val="footer"/>
    <w:basedOn w:val="Normal"/>
    <w:link w:val="FooterChar"/>
    <w:uiPriority w:val="99"/>
    <w:unhideWhenUsed/>
    <w:rsid w:val="00EB3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68A"/>
  </w:style>
  <w:style w:type="character" w:customStyle="1" w:styleId="Heading1Char">
    <w:name w:val="Heading 1 Char"/>
    <w:basedOn w:val="DefaultParagraphFont"/>
    <w:link w:val="Heading1"/>
    <w:uiPriority w:val="9"/>
    <w:rsid w:val="007901EE"/>
    <w:rPr>
      <w:rFonts w:asciiTheme="majorHAnsi" w:eastAsiaTheme="majorEastAsia" w:hAnsiTheme="majorHAnsi" w:cstheme="majorBidi"/>
      <w:color w:val="2F5496" w:themeColor="accent1" w:themeShade="BF"/>
      <w:sz w:val="32"/>
      <w:szCs w:val="32"/>
      <w:lang w:val="da-DK"/>
    </w:rPr>
  </w:style>
  <w:style w:type="character" w:customStyle="1" w:styleId="Heading2Char">
    <w:name w:val="Heading 2 Char"/>
    <w:basedOn w:val="DefaultParagraphFont"/>
    <w:link w:val="Heading2"/>
    <w:uiPriority w:val="9"/>
    <w:rsid w:val="007901E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B4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5CB"/>
    <w:rPr>
      <w:rFonts w:ascii="Segoe UI" w:hAnsi="Segoe UI" w:cs="Segoe UI"/>
      <w:sz w:val="18"/>
      <w:szCs w:val="18"/>
    </w:rPr>
  </w:style>
  <w:style w:type="paragraph" w:styleId="Revision">
    <w:name w:val="Revision"/>
    <w:hidden/>
    <w:uiPriority w:val="99"/>
    <w:semiHidden/>
    <w:rsid w:val="007C1552"/>
    <w:pPr>
      <w:spacing w:after="0" w:line="240" w:lineRule="auto"/>
    </w:pPr>
  </w:style>
  <w:style w:type="character" w:styleId="CommentReference">
    <w:name w:val="annotation reference"/>
    <w:basedOn w:val="DefaultParagraphFont"/>
    <w:uiPriority w:val="99"/>
    <w:semiHidden/>
    <w:unhideWhenUsed/>
    <w:rsid w:val="002028A0"/>
    <w:rPr>
      <w:sz w:val="16"/>
      <w:szCs w:val="16"/>
    </w:rPr>
  </w:style>
  <w:style w:type="paragraph" w:styleId="CommentText">
    <w:name w:val="annotation text"/>
    <w:basedOn w:val="Normal"/>
    <w:link w:val="CommentTextChar"/>
    <w:uiPriority w:val="99"/>
    <w:semiHidden/>
    <w:unhideWhenUsed/>
    <w:rsid w:val="002028A0"/>
    <w:pPr>
      <w:spacing w:line="240" w:lineRule="auto"/>
    </w:pPr>
    <w:rPr>
      <w:sz w:val="20"/>
      <w:szCs w:val="20"/>
    </w:rPr>
  </w:style>
  <w:style w:type="character" w:customStyle="1" w:styleId="CommentTextChar">
    <w:name w:val="Comment Text Char"/>
    <w:basedOn w:val="DefaultParagraphFont"/>
    <w:link w:val="CommentText"/>
    <w:uiPriority w:val="99"/>
    <w:semiHidden/>
    <w:rsid w:val="002028A0"/>
    <w:rPr>
      <w:sz w:val="20"/>
      <w:szCs w:val="20"/>
    </w:rPr>
  </w:style>
  <w:style w:type="paragraph" w:styleId="CommentSubject">
    <w:name w:val="annotation subject"/>
    <w:basedOn w:val="CommentText"/>
    <w:next w:val="CommentText"/>
    <w:link w:val="CommentSubjectChar"/>
    <w:uiPriority w:val="99"/>
    <w:semiHidden/>
    <w:unhideWhenUsed/>
    <w:rsid w:val="002028A0"/>
    <w:rPr>
      <w:b/>
      <w:bCs/>
    </w:rPr>
  </w:style>
  <w:style w:type="character" w:customStyle="1" w:styleId="CommentSubjectChar">
    <w:name w:val="Comment Subject Char"/>
    <w:basedOn w:val="CommentTextChar"/>
    <w:link w:val="CommentSubject"/>
    <w:uiPriority w:val="99"/>
    <w:semiHidden/>
    <w:rsid w:val="002028A0"/>
    <w:rPr>
      <w:b/>
      <w:bCs/>
      <w:sz w:val="20"/>
      <w:szCs w:val="20"/>
    </w:rPr>
  </w:style>
  <w:style w:type="table" w:styleId="TableGrid">
    <w:name w:val="Table Grid"/>
    <w:basedOn w:val="TableNormal"/>
    <w:uiPriority w:val="39"/>
    <w:rsid w:val="001A1EFF"/>
    <w:pPr>
      <w:spacing w:after="0" w:line="240" w:lineRule="auto"/>
    </w:pPr>
    <w:rPr>
      <w:sz w:val="24"/>
      <w:szCs w:val="24"/>
      <w:lang w:val="en-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96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A65504A6385F438D2E9BD64AF0CD37" ma:contentTypeVersion="12" ma:contentTypeDescription="Create a new document." ma:contentTypeScope="" ma:versionID="442f303cc4ed75a7854c437e9391e711">
  <xsd:schema xmlns:xsd="http://www.w3.org/2001/XMLSchema" xmlns:xs="http://www.w3.org/2001/XMLSchema" xmlns:p="http://schemas.microsoft.com/office/2006/metadata/properties" xmlns:ns2="fb8a36c6-11b2-4973-bea5-286cdd1441d3" xmlns:ns3="ef9b89e8-cc29-40cf-b7f4-294ce81b60bd" targetNamespace="http://schemas.microsoft.com/office/2006/metadata/properties" ma:root="true" ma:fieldsID="2af2aea2b1b8e22c5a04a3594f4d11a6" ns2:_="" ns3:_="">
    <xsd:import namespace="fb8a36c6-11b2-4973-bea5-286cdd1441d3"/>
    <xsd:import namespace="ef9b89e8-cc29-40cf-b7f4-294ce81b60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a36c6-11b2-4973-bea5-286cdd14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9b89e8-cc29-40cf-b7f4-294ce81b60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11E05-DC55-436D-8F7A-51F8BB7B4893}">
  <ds:schemaRefs>
    <ds:schemaRef ds:uri="http://schemas.openxmlformats.org/officeDocument/2006/bibliography"/>
  </ds:schemaRefs>
</ds:datastoreItem>
</file>

<file path=customXml/itemProps2.xml><?xml version="1.0" encoding="utf-8"?>
<ds:datastoreItem xmlns:ds="http://schemas.openxmlformats.org/officeDocument/2006/customXml" ds:itemID="{64F6DC11-451B-4E32-A9BD-1652B77FE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a36c6-11b2-4973-bea5-286cdd1441d3"/>
    <ds:schemaRef ds:uri="ef9b89e8-cc29-40cf-b7f4-294ce81b6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15523-3F91-41CF-B88A-71E872CAE2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F5C860-3885-4621-AD0C-762ECCCA5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Moitinho-Silva</dc:creator>
  <cp:keywords/>
  <dc:description/>
  <cp:lastModifiedBy>Corinna Bang</cp:lastModifiedBy>
  <cp:revision>23</cp:revision>
  <dcterms:created xsi:type="dcterms:W3CDTF">2020-05-04T06:46:00Z</dcterms:created>
  <dcterms:modified xsi:type="dcterms:W3CDTF">2020-12-16T16:46:00Z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0x01010090A65504A6385F438D2E9BD64AF0CD37</vt:lpwstr>
  </property>
</Properties>
</file>