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A0B9" w14:textId="535B81A2" w:rsidR="00B474EE" w:rsidRDefault="00B474EE" w:rsidP="00B474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Supp</w:t>
      </w:r>
      <w:r>
        <w:rPr>
          <w:rFonts w:ascii="Times New Roman" w:hAnsi="Times New Roman" w:cs="Times New Roman"/>
          <w:b/>
          <w:bCs/>
        </w:rPr>
        <w:t>lementary Figure Legend</w:t>
      </w:r>
    </w:p>
    <w:p w14:paraId="45B02610" w14:textId="51B49DC0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1. </w:t>
      </w:r>
      <w:r>
        <w:rPr>
          <w:rFonts w:ascii="Times New Roman" w:hAnsi="Times New Roman" w:cs="Times New Roman"/>
          <w:b/>
        </w:rPr>
        <w:t>Survival comparisons between H</w:t>
      </w: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 xml:space="preserve">C patients stratified by TP53 mutational status.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The Overall survival of patients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and WT group. The Kaplan-Meier plot as well as number of patients at risk for each group was shown.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Similar with (A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using Disease-specific survival information. </w:t>
      </w:r>
    </w:p>
    <w:p w14:paraId="11B10C62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Figure 2.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The intersection of </w:t>
      </w:r>
      <w:r>
        <w:rPr>
          <w:rFonts w:ascii="Times New Roman" w:hAnsi="Times New Roman" w:cs="Times New Roman"/>
          <w:b/>
        </w:rPr>
        <w:t xml:space="preserve">up-regulated differentially expressed genes identified by the three methods.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Up-regulated DEMs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Up-regulated DEMs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WT group.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Up-regulated DELs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Up-regulated DELs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WT group. </w:t>
      </w:r>
      <w:r>
        <w:rPr>
          <w:rFonts w:ascii="Times New Roman" w:hAnsi="Times New Roman" w:cs="Times New Roman"/>
          <w:bCs/>
        </w:rPr>
        <w:t>(E)</w:t>
      </w:r>
      <w:r>
        <w:rPr>
          <w:rFonts w:ascii="Times New Roman" w:hAnsi="Times New Roman" w:cs="Times New Roman"/>
        </w:rPr>
        <w:t xml:space="preserve"> Up-regulated </w:t>
      </w:r>
      <w:proofErr w:type="spellStart"/>
      <w:r>
        <w:rPr>
          <w:rFonts w:ascii="Times New Roman" w:hAnsi="Times New Roman" w:cs="Times New Roman"/>
        </w:rPr>
        <w:t>DEmis</w:t>
      </w:r>
      <w:proofErr w:type="spellEnd"/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(F)</w:t>
      </w:r>
      <w:r>
        <w:rPr>
          <w:rFonts w:ascii="Times New Roman" w:hAnsi="Times New Roman" w:cs="Times New Roman"/>
        </w:rPr>
        <w:t xml:space="preserve"> Up-regulated </w:t>
      </w:r>
      <w:proofErr w:type="spellStart"/>
      <w:r>
        <w:rPr>
          <w:rFonts w:ascii="Times New Roman" w:hAnsi="Times New Roman" w:cs="Times New Roman"/>
        </w:rPr>
        <w:t>DEmis</w:t>
      </w:r>
      <w:proofErr w:type="spellEnd"/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>WT group.</w:t>
      </w:r>
    </w:p>
    <w:p w14:paraId="5034B38A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3. The intersection of </w:t>
      </w:r>
      <w:r>
        <w:rPr>
          <w:rFonts w:ascii="Times New Roman" w:hAnsi="Times New Roman" w:cs="Times New Roman"/>
          <w:b/>
        </w:rPr>
        <w:t>down-regulated differentially expressed genes identified by the three methods.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Down-regulated DEMs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Down-regulated DEMs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WT group.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Down-regulated DELs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Down-regulated DELs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WT group. </w:t>
      </w:r>
      <w:r>
        <w:rPr>
          <w:rFonts w:ascii="Times New Roman" w:hAnsi="Times New Roman" w:cs="Times New Roman"/>
          <w:bCs/>
        </w:rPr>
        <w:t>(E)</w:t>
      </w:r>
      <w:r>
        <w:rPr>
          <w:rFonts w:ascii="Times New Roman" w:hAnsi="Times New Roman" w:cs="Times New Roman"/>
        </w:rPr>
        <w:t xml:space="preserve"> Down-regulated </w:t>
      </w:r>
      <w:proofErr w:type="spellStart"/>
      <w:r>
        <w:rPr>
          <w:rFonts w:ascii="Times New Roman" w:hAnsi="Times New Roman" w:cs="Times New Roman"/>
        </w:rPr>
        <w:t>DEmis</w:t>
      </w:r>
      <w:proofErr w:type="spellEnd"/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 xml:space="preserve">MT group. </w:t>
      </w:r>
      <w:r>
        <w:rPr>
          <w:rFonts w:ascii="Times New Roman" w:hAnsi="Times New Roman" w:cs="Times New Roman"/>
          <w:bCs/>
        </w:rPr>
        <w:t>(F)</w:t>
      </w:r>
      <w:r>
        <w:rPr>
          <w:rFonts w:ascii="Times New Roman" w:hAnsi="Times New Roman" w:cs="Times New Roman"/>
        </w:rPr>
        <w:t xml:space="preserve"> Down-regulated </w:t>
      </w:r>
      <w:proofErr w:type="spellStart"/>
      <w:r>
        <w:rPr>
          <w:rFonts w:ascii="Times New Roman" w:hAnsi="Times New Roman" w:cs="Times New Roman"/>
        </w:rPr>
        <w:t>DEmis</w:t>
      </w:r>
      <w:proofErr w:type="spellEnd"/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  <w:iCs/>
        </w:rPr>
        <w:t xml:space="preserve">TP53 </w:t>
      </w:r>
      <w:r>
        <w:rPr>
          <w:rFonts w:ascii="Times New Roman" w:hAnsi="Times New Roman" w:cs="Times New Roman"/>
        </w:rPr>
        <w:t>WT group.</w:t>
      </w:r>
    </w:p>
    <w:p w14:paraId="10D887DB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4. </w:t>
      </w:r>
      <w:r>
        <w:rPr>
          <w:rFonts w:ascii="Times New Roman" w:hAnsi="Times New Roman" w:cs="Times New Roman"/>
          <w:b/>
        </w:rPr>
        <w:t xml:space="preserve">Enrichment analysis </w:t>
      </w:r>
      <w:r>
        <w:rPr>
          <w:rFonts w:ascii="Times New Roman" w:hAnsi="Times New Roman" w:cs="Times New Roman" w:hint="eastAsia"/>
          <w:b/>
        </w:rPr>
        <w:t>on</w:t>
      </w:r>
      <w:r>
        <w:rPr>
          <w:rFonts w:ascii="Times New Roman" w:hAnsi="Times New Roman" w:cs="Times New Roman"/>
          <w:b/>
        </w:rPr>
        <w:t xml:space="preserve"> DEMs identified from TP53 WT H</w:t>
      </w: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 xml:space="preserve">C samples. </w:t>
      </w:r>
      <w:r>
        <w:rPr>
          <w:rFonts w:ascii="Times New Roman" w:hAnsi="Times New Roman" w:cs="Times New Roman" w:hint="eastAsia"/>
          <w:bCs/>
        </w:rPr>
        <w:t>(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 w:hint="eastAsia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GO Biological Process enrichment analysis results. The enriched terms for up-regulated and down-regulated DEMs were marked with red and cyan colors. </w:t>
      </w:r>
      <w:r>
        <w:rPr>
          <w:rFonts w:ascii="Times New Roman" w:hAnsi="Times New Roman" w:cs="Times New Roman"/>
          <w:bCs/>
        </w:rPr>
        <w:t>(B) Similar with (A</w:t>
      </w:r>
      <w:proofErr w:type="gramStart"/>
      <w:r>
        <w:rPr>
          <w:rFonts w:ascii="Times New Roman" w:hAnsi="Times New Roman" w:cs="Times New Roman"/>
          <w:bCs/>
        </w:rPr>
        <w:t>), but</w:t>
      </w:r>
      <w:proofErr w:type="gramEnd"/>
      <w:r>
        <w:rPr>
          <w:rFonts w:ascii="Times New Roman" w:hAnsi="Times New Roman" w:cs="Times New Roman"/>
          <w:bCs/>
        </w:rPr>
        <w:t xml:space="preserve"> using </w:t>
      </w:r>
      <w:r>
        <w:rPr>
          <w:rFonts w:ascii="Times New Roman" w:hAnsi="Times New Roman" w:cs="Times New Roman"/>
        </w:rPr>
        <w:t>KEGG database. (C) Similar with (A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using </w:t>
      </w:r>
      <w:proofErr w:type="spellStart"/>
      <w:r>
        <w:rPr>
          <w:rFonts w:ascii="Times New Roman" w:hAnsi="Times New Roman" w:cs="Times New Roman"/>
        </w:rPr>
        <w:t>Reactome</w:t>
      </w:r>
      <w:proofErr w:type="spellEnd"/>
      <w:r>
        <w:rPr>
          <w:rFonts w:ascii="Times New Roman" w:hAnsi="Times New Roman" w:cs="Times New Roman"/>
        </w:rPr>
        <w:t xml:space="preserve"> database.</w:t>
      </w:r>
    </w:p>
    <w:p w14:paraId="5DE0A46A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Figure 5. Survival analysis on patients stratified by expressions of </w:t>
      </w:r>
      <w:proofErr w:type="spellStart"/>
      <w:r>
        <w:rPr>
          <w:rFonts w:ascii="Times New Roman" w:hAnsi="Times New Roman" w:cs="Times New Roman"/>
          <w:b/>
        </w:rPr>
        <w:t>ceRNA</w:t>
      </w:r>
      <w:proofErr w:type="spellEnd"/>
      <w:r>
        <w:rPr>
          <w:rFonts w:ascii="Times New Roman" w:hAnsi="Times New Roman" w:cs="Times New Roman"/>
          <w:b/>
        </w:rPr>
        <w:t xml:space="preserve"> network nodes. </w:t>
      </w:r>
      <w:r>
        <w:rPr>
          <w:rFonts w:ascii="Times New Roman" w:hAnsi="Times New Roman" w:cs="Times New Roman"/>
        </w:rPr>
        <w:t>(A-C) Kaplan–Meier survival curves showed the overall survival of patients stratified by high/low (A)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AC017104.6, (B) RP5-1092A11.5 and (C) RP11-365O16.6 expression. (D) Heatmap illustrating the concomitant expressional patterns of </w:t>
      </w:r>
      <w:proofErr w:type="spellStart"/>
      <w:r>
        <w:rPr>
          <w:rFonts w:ascii="Times New Roman" w:hAnsi="Times New Roman" w:cs="Times New Roman"/>
        </w:rPr>
        <w:t>ceRNA</w:t>
      </w:r>
      <w:proofErr w:type="spellEnd"/>
      <w:r>
        <w:rPr>
          <w:rFonts w:ascii="Times New Roman" w:hAnsi="Times New Roman" w:cs="Times New Roman"/>
        </w:rPr>
        <w:t xml:space="preserve"> network nodes. </w:t>
      </w:r>
      <w:r>
        <w:rPr>
          <w:rFonts w:ascii="Times New Roman" w:hAnsi="Times New Roman" w:cs="Times New Roman"/>
          <w:bCs/>
        </w:rPr>
        <w:t>(E-F)</w:t>
      </w:r>
      <w:r>
        <w:rPr>
          <w:rFonts w:ascii="Times New Roman" w:hAnsi="Times New Roman" w:cs="Times New Roman"/>
        </w:rPr>
        <w:t xml:space="preserve"> Kaplan–Meier survival curves showed the (E) overall survival and (F) disease-specific survival of patients stratified by high/low network node expression.</w:t>
      </w:r>
    </w:p>
    <w:p w14:paraId="0E1057C5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6. Associations between expression of </w:t>
      </w:r>
      <w:r>
        <w:rPr>
          <w:rFonts w:ascii="Times New Roman" w:hAnsi="Times New Roman" w:cs="Times New Roman"/>
          <w:b/>
        </w:rPr>
        <w:t xml:space="preserve">RP5-1092A11.5 and immune infiltrating cells </w:t>
      </w:r>
      <w:r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/>
          <w:b/>
        </w:rPr>
        <w:t xml:space="preserve"> TP53 MT </w:t>
      </w:r>
      <w:r>
        <w:rPr>
          <w:rFonts w:ascii="Times New Roman" w:hAnsi="Times New Roman" w:cs="Times New Roman" w:hint="eastAsia"/>
          <w:b/>
        </w:rPr>
        <w:t>group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(A-D) C</w:t>
      </w:r>
      <w:r>
        <w:rPr>
          <w:rFonts w:ascii="Times New Roman" w:hAnsi="Times New Roman" w:cs="Times New Roman" w:hint="eastAsia"/>
          <w:bCs/>
        </w:rPr>
        <w:t>orre</w:t>
      </w:r>
      <w:r>
        <w:rPr>
          <w:rFonts w:ascii="Times New Roman" w:hAnsi="Times New Roman" w:cs="Times New Roman"/>
          <w:bCs/>
        </w:rPr>
        <w:t xml:space="preserve">lation analysis results </w:t>
      </w:r>
      <w:r>
        <w:rPr>
          <w:rFonts w:ascii="Times New Roman" w:hAnsi="Times New Roman" w:cs="Times New Roman"/>
        </w:rPr>
        <w:t xml:space="preserve">on four cell types, including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Common lymphoid progenitor,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T cell CD4+ T helper (Th) 2,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T cell CD4+ memory and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Mast cell. Correlations were quantified by Spearman’s rank correlation coefficients.</w:t>
      </w:r>
    </w:p>
    <w:p w14:paraId="2403CB34" w14:textId="77777777" w:rsidR="00B474EE" w:rsidRDefault="00B474EE" w:rsidP="00B474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Figure 7. Associations between expression of </w:t>
      </w:r>
      <w:r>
        <w:rPr>
          <w:rFonts w:ascii="Times New Roman" w:hAnsi="Times New Roman" w:cs="Times New Roman"/>
          <w:b/>
        </w:rPr>
        <w:t xml:space="preserve">AC017104.6 and immune infiltrating cells </w:t>
      </w:r>
      <w:r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/>
          <w:b/>
        </w:rPr>
        <w:t xml:space="preserve"> TP53 MT </w:t>
      </w:r>
      <w:r>
        <w:rPr>
          <w:rFonts w:ascii="Times New Roman" w:hAnsi="Times New Roman" w:cs="Times New Roman" w:hint="eastAsia"/>
          <w:b/>
        </w:rPr>
        <w:t>group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(A-D) C</w:t>
      </w:r>
      <w:r>
        <w:rPr>
          <w:rFonts w:ascii="Times New Roman" w:hAnsi="Times New Roman" w:cs="Times New Roman" w:hint="eastAsia"/>
          <w:bCs/>
        </w:rPr>
        <w:t>orre</w:t>
      </w:r>
      <w:r>
        <w:rPr>
          <w:rFonts w:ascii="Times New Roman" w:hAnsi="Times New Roman" w:cs="Times New Roman"/>
          <w:bCs/>
        </w:rPr>
        <w:t xml:space="preserve">lation analysis results </w:t>
      </w:r>
      <w:r>
        <w:rPr>
          <w:rFonts w:ascii="Times New Roman" w:hAnsi="Times New Roman" w:cs="Times New Roman"/>
        </w:rPr>
        <w:t xml:space="preserve">on four cell types, including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Common lymphoid progenitor,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T cell CD4+ T helper (Th) 2,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T cell CD4+ memory and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Mast cell. Correlations were quantified by Spearman’s rank correlation coefficients.</w:t>
      </w:r>
    </w:p>
    <w:p w14:paraId="40974AEE" w14:textId="77777777" w:rsidR="00B474EE" w:rsidRDefault="00B474EE" w:rsidP="00B474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Figure 8. Associations between expression of </w:t>
      </w:r>
      <w:r>
        <w:rPr>
          <w:rFonts w:ascii="Times New Roman" w:hAnsi="Times New Roman" w:cs="Times New Roman"/>
          <w:b/>
        </w:rPr>
        <w:t xml:space="preserve">RP11-365O16.6 and immune infiltrating cells </w:t>
      </w:r>
      <w:r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/>
          <w:b/>
        </w:rPr>
        <w:t xml:space="preserve"> TP53 MT </w:t>
      </w:r>
      <w:r>
        <w:rPr>
          <w:rFonts w:ascii="Times New Roman" w:hAnsi="Times New Roman" w:cs="Times New Roman" w:hint="eastAsia"/>
          <w:b/>
        </w:rPr>
        <w:t>group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(A-D) C</w:t>
      </w:r>
      <w:r>
        <w:rPr>
          <w:rFonts w:ascii="Times New Roman" w:hAnsi="Times New Roman" w:cs="Times New Roman" w:hint="eastAsia"/>
          <w:bCs/>
        </w:rPr>
        <w:t>orre</w:t>
      </w:r>
      <w:r>
        <w:rPr>
          <w:rFonts w:ascii="Times New Roman" w:hAnsi="Times New Roman" w:cs="Times New Roman"/>
          <w:bCs/>
        </w:rPr>
        <w:t xml:space="preserve">lation analysis results </w:t>
      </w:r>
      <w:r>
        <w:rPr>
          <w:rFonts w:ascii="Times New Roman" w:hAnsi="Times New Roman" w:cs="Times New Roman"/>
        </w:rPr>
        <w:t xml:space="preserve">on four cell types, including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Common lymphoid progenitor,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T cell CD4+ T helper (Th) 2,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T cell CD4+ memory and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Mast cell. Correlations were quantified by Spearman’s rank correlation coefficients.</w:t>
      </w:r>
    </w:p>
    <w:p w14:paraId="0722596B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9. Comparisons on immune cell infiltrations between patients stratified by TP53 mutational status as well as survival analysis results incorporating tumor microenvironment difference. </w:t>
      </w:r>
      <w:r>
        <w:rPr>
          <w:rFonts w:ascii="Times New Roman" w:hAnsi="Times New Roman" w:cs="Times New Roman"/>
          <w:bCs/>
        </w:rPr>
        <w:t xml:space="preserve">(A) Statistical </w:t>
      </w:r>
      <w:r>
        <w:rPr>
          <w:rFonts w:ascii="Times New Roman" w:hAnsi="Times New Roman" w:cs="Times New Roman"/>
        </w:rPr>
        <w:t xml:space="preserve">differences of immune cell infiltrations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and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WT group. Significantly different immune cell types were marked with cyan color while types positively correlated with </w:t>
      </w:r>
      <w:proofErr w:type="spellStart"/>
      <w:r>
        <w:rPr>
          <w:rFonts w:ascii="Times New Roman" w:hAnsi="Times New Roman" w:cs="Times New Roman"/>
        </w:rPr>
        <w:t>ceRNA</w:t>
      </w:r>
      <w:proofErr w:type="spellEnd"/>
      <w:r>
        <w:rPr>
          <w:rFonts w:ascii="Times New Roman" w:hAnsi="Times New Roman" w:cs="Times New Roman"/>
        </w:rPr>
        <w:t xml:space="preserve"> network nodes were marked with red. Infiltration levels were compared using Wilcoxon rank sum test adjusted by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Benjamini</w:t>
      </w:r>
      <w:proofErr w:type="spellEnd"/>
      <w:r>
        <w:rPr>
          <w:rFonts w:ascii="Times New Roman" w:hAnsi="Times New Roman" w:cs="Times New Roman"/>
        </w:rPr>
        <w:t xml:space="preserve"> &amp; Hochberg method. </w:t>
      </w:r>
      <w:r>
        <w:rPr>
          <w:rFonts w:ascii="Times New Roman" w:hAnsi="Times New Roman" w:cs="Times New Roman"/>
          <w:bCs/>
        </w:rPr>
        <w:t xml:space="preserve">(B) </w:t>
      </w:r>
      <w:r>
        <w:rPr>
          <w:rFonts w:ascii="Times New Roman" w:hAnsi="Times New Roman" w:cs="Times New Roman"/>
        </w:rPr>
        <w:t xml:space="preserve">Kaplan–Meier survival curve showed the overall survival of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patients with different </w:t>
      </w:r>
      <w:r>
        <w:rPr>
          <w:rFonts w:ascii="Times New Roman" w:hAnsi="Times New Roman" w:cs="Times New Roman"/>
        </w:rPr>
        <w:lastRenderedPageBreak/>
        <w:t>infiltrations of T cell CD4+ T helper (Th) 2. (C) Similar with (B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using disease-specific survival. (D) Similar with (B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focusing on Mast cell. (E) Similar with (D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using disease-specific survival. (F) Similar with (B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focusing on T cell CD4+ memory. (G) Similar with (F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using disease-specific survival.</w:t>
      </w:r>
    </w:p>
    <w:p w14:paraId="4BCCFFE3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10. Relationship between </w:t>
      </w:r>
      <w:r>
        <w:rPr>
          <w:rFonts w:ascii="Times New Roman" w:hAnsi="Times New Roman" w:cs="Times New Roman"/>
          <w:b/>
        </w:rPr>
        <w:t xml:space="preserve">cancer-immunity cycle activity and </w:t>
      </w:r>
      <w:proofErr w:type="spellStart"/>
      <w:r>
        <w:rPr>
          <w:rFonts w:ascii="Times New Roman" w:hAnsi="Times New Roman" w:cs="Times New Roman"/>
          <w:b/>
        </w:rPr>
        <w:t>ceRNA</w:t>
      </w:r>
      <w:proofErr w:type="spellEnd"/>
      <w:r>
        <w:rPr>
          <w:rFonts w:ascii="Times New Roman" w:hAnsi="Times New Roman" w:cs="Times New Roman"/>
          <w:b/>
        </w:rPr>
        <w:t xml:space="preserve"> network nodes.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Heatmap illustrating the correlations between cancer-immunity cycle steps and </w:t>
      </w:r>
      <w:proofErr w:type="spellStart"/>
      <w:r>
        <w:rPr>
          <w:rFonts w:ascii="Times New Roman" w:hAnsi="Times New Roman" w:cs="Times New Roman"/>
        </w:rPr>
        <w:t>ceRNA</w:t>
      </w:r>
      <w:proofErr w:type="spellEnd"/>
      <w:r>
        <w:rPr>
          <w:rFonts w:ascii="Times New Roman" w:hAnsi="Times New Roman" w:cs="Times New Roman"/>
        </w:rPr>
        <w:t xml:space="preserve"> network nodes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patients. Clusters with high correlation values were marked with red rectangle. </w:t>
      </w:r>
      <w:r>
        <w:rPr>
          <w:rFonts w:ascii="Times New Roman" w:hAnsi="Times New Roman" w:cs="Times New Roman"/>
          <w:bCs/>
        </w:rPr>
        <w:t>(B-E)</w:t>
      </w:r>
      <w:r>
        <w:rPr>
          <w:rFonts w:ascii="Times New Roman" w:hAnsi="Times New Roman" w:cs="Times New Roman"/>
        </w:rPr>
        <w:t xml:space="preserve"> Correlation analyses between the activity of “infiltration of immune cells into tumors” step and expressions of </w:t>
      </w:r>
      <w:proofErr w:type="spellStart"/>
      <w:r>
        <w:rPr>
          <w:rFonts w:ascii="Times New Roman" w:hAnsi="Times New Roman" w:cs="Times New Roman"/>
        </w:rPr>
        <w:t>ceRNA</w:t>
      </w:r>
      <w:proofErr w:type="spellEnd"/>
      <w:r>
        <w:rPr>
          <w:rFonts w:ascii="Times New Roman" w:hAnsi="Times New Roman" w:cs="Times New Roman"/>
        </w:rPr>
        <w:t xml:space="preserve"> network nodes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group, including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PTBP1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AC017104.6,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RP5-1092A11.5 and </w:t>
      </w:r>
      <w:r>
        <w:rPr>
          <w:rFonts w:ascii="Times New Roman" w:hAnsi="Times New Roman" w:cs="Times New Roman"/>
          <w:bCs/>
        </w:rPr>
        <w:t xml:space="preserve">(E) </w:t>
      </w:r>
      <w:r>
        <w:rPr>
          <w:rFonts w:ascii="Times New Roman" w:hAnsi="Times New Roman" w:cs="Times New Roman"/>
        </w:rPr>
        <w:t>RP11-365O16.6. Correlations were quantified by Spearman’s rank correlation coefficients.</w:t>
      </w:r>
    </w:p>
    <w:p w14:paraId="12819324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11. </w:t>
      </w:r>
      <w:r>
        <w:rPr>
          <w:rFonts w:ascii="Times New Roman" w:hAnsi="Times New Roman" w:cs="Times New Roman"/>
          <w:b/>
        </w:rPr>
        <w:t xml:space="preserve">Correlation between chemotherapy resistance-related genes and the expression of </w:t>
      </w:r>
      <w:proofErr w:type="spellStart"/>
      <w:r>
        <w:rPr>
          <w:rFonts w:ascii="Times New Roman" w:hAnsi="Times New Roman" w:cs="Times New Roman"/>
          <w:b/>
        </w:rPr>
        <w:t>ceRNA</w:t>
      </w:r>
      <w:proofErr w:type="spellEnd"/>
      <w:r>
        <w:rPr>
          <w:rFonts w:ascii="Times New Roman" w:hAnsi="Times New Roman" w:cs="Times New Roman"/>
          <w:b/>
        </w:rPr>
        <w:t xml:space="preserve"> network nodes.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w:r>
        <w:rPr>
          <w:rFonts w:ascii="Times New Roman" w:hAnsi="Times New Roman" w:cs="Times New Roman"/>
        </w:rPr>
        <w:t xml:space="preserve">Heatmap illustrating the correlations between chemoresistance genes and </w:t>
      </w:r>
      <w:proofErr w:type="spellStart"/>
      <w:r>
        <w:rPr>
          <w:rFonts w:ascii="Times New Roman" w:hAnsi="Times New Roman" w:cs="Times New Roman"/>
        </w:rPr>
        <w:t>ceRNA</w:t>
      </w:r>
      <w:proofErr w:type="spellEnd"/>
      <w:r>
        <w:rPr>
          <w:rFonts w:ascii="Times New Roman" w:hAnsi="Times New Roman" w:cs="Times New Roman"/>
        </w:rPr>
        <w:t xml:space="preserve"> network nodes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 patients. Clusters with high correlation values as well as the corresponding nodes were marked with red rectangle. (B) Expressions of </w:t>
      </w:r>
      <w:r>
        <w:rPr>
          <w:rFonts w:ascii="Times New Roman" w:hAnsi="Times New Roman" w:cs="Times New Roman"/>
          <w:i/>
          <w:iCs/>
        </w:rPr>
        <w:t>PTBP1</w:t>
      </w:r>
      <w:r>
        <w:rPr>
          <w:rFonts w:ascii="Times New Roman" w:hAnsi="Times New Roman" w:cs="Times New Roman"/>
        </w:rPr>
        <w:t xml:space="preserve">-associated chemoresistance genes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MT,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WT and normal group.</w:t>
      </w:r>
    </w:p>
    <w:p w14:paraId="0FF6803B" w14:textId="77777777" w:rsidR="00B474EE" w:rsidRDefault="00B474EE" w:rsidP="00B4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12. </w:t>
      </w:r>
      <w:r>
        <w:rPr>
          <w:rFonts w:ascii="Times New Roman" w:hAnsi="Times New Roman" w:cs="Times New Roman"/>
          <w:b/>
        </w:rPr>
        <w:t xml:space="preserve">Dynamics on the DNA methylation level of PTBP1-related probes and their associations between DNA methylation regulators.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Line plot depicting the alternation trend of </w:t>
      </w:r>
      <w:r>
        <w:rPr>
          <w:rFonts w:ascii="Times New Roman" w:hAnsi="Times New Roman" w:cs="Times New Roman"/>
          <w:i/>
          <w:iCs/>
        </w:rPr>
        <w:t>PTBP1</w:t>
      </w:r>
      <w:r>
        <w:rPr>
          <w:rFonts w:ascii="Times New Roman" w:hAnsi="Times New Roman" w:cs="Times New Roman"/>
        </w:rPr>
        <w:t xml:space="preserve">-related probes with observable group-wise methylation difference. The only probe with methylation level inversely correlated with the expression trend of </w:t>
      </w:r>
      <w:r>
        <w:rPr>
          <w:rFonts w:ascii="Times New Roman" w:hAnsi="Times New Roman" w:cs="Times New Roman"/>
          <w:i/>
          <w:iCs/>
        </w:rPr>
        <w:t>PTBP1</w:t>
      </w:r>
      <w:r>
        <w:rPr>
          <w:rFonts w:ascii="Times New Roman" w:hAnsi="Times New Roman" w:cs="Times New Roman"/>
        </w:rPr>
        <w:t xml:space="preserve"> was marked with red color.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The distribution of DNA methylation levels of probe cg02086742 probe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MT, </w:t>
      </w:r>
      <w:proofErr w:type="gramStart"/>
      <w:r>
        <w:rPr>
          <w:rFonts w:ascii="Times New Roman" w:hAnsi="Times New Roman" w:cs="Times New Roman"/>
        </w:rPr>
        <w:t>WT</w:t>
      </w:r>
      <w:proofErr w:type="gramEnd"/>
      <w:r>
        <w:rPr>
          <w:rFonts w:ascii="Times New Roman" w:hAnsi="Times New Roman" w:cs="Times New Roman"/>
        </w:rPr>
        <w:t xml:space="preserve"> and normal group. </w:t>
      </w:r>
      <w:r>
        <w:rPr>
          <w:rFonts w:ascii="Times New Roman" w:hAnsi="Times New Roman" w:cs="Times New Roman"/>
          <w:bCs/>
        </w:rPr>
        <w:t>(C-D)</w:t>
      </w:r>
      <w:r>
        <w:rPr>
          <w:rFonts w:ascii="Times New Roman" w:hAnsi="Times New Roman" w:cs="Times New Roman"/>
        </w:rPr>
        <w:t xml:space="preserve"> The distribution of two DNA methylation erasers’ expression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MT, </w:t>
      </w:r>
      <w:proofErr w:type="gramStart"/>
      <w:r>
        <w:rPr>
          <w:rFonts w:ascii="Times New Roman" w:hAnsi="Times New Roman" w:cs="Times New Roman"/>
        </w:rPr>
        <w:t>WT</w:t>
      </w:r>
      <w:proofErr w:type="gramEnd"/>
      <w:r>
        <w:rPr>
          <w:rFonts w:ascii="Times New Roman" w:hAnsi="Times New Roman" w:cs="Times New Roman"/>
        </w:rPr>
        <w:t xml:space="preserve"> and normal group, including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TET1 and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TET3 protein. Values were compared using Wilcoxon rank sum test. ns: not significant, *: p-value&lt;=0.05; **: p-value&lt;=0.01, ***: p-value&lt;=0.001, ****: p-value&lt;=0.0001.</w:t>
      </w:r>
    </w:p>
    <w:p w14:paraId="256274BA" w14:textId="6B7523D6" w:rsidR="00F34314" w:rsidRPr="00A244A9" w:rsidRDefault="00B474E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  <w:bCs/>
        </w:rPr>
        <w:t xml:space="preserve">Supplementary Figure 13. </w:t>
      </w:r>
      <w:r>
        <w:rPr>
          <w:rFonts w:ascii="Times New Roman" w:hAnsi="Times New Roman" w:cs="Times New Roman"/>
          <w:b/>
        </w:rPr>
        <w:t xml:space="preserve">Distribution on the sensitivity of drugs better responded to TP53 WT group. </w:t>
      </w:r>
      <w:r>
        <w:rPr>
          <w:rFonts w:ascii="Times New Roman" w:hAnsi="Times New Roman" w:cs="Times New Roman"/>
        </w:rPr>
        <w:t xml:space="preserve">(A-D) Comparisons on IC50 values of drugs with higher sensitivity in </w:t>
      </w:r>
      <w:r>
        <w:rPr>
          <w:rFonts w:ascii="Times New Roman" w:hAnsi="Times New Roman" w:cs="Times New Roman"/>
          <w:i/>
          <w:iCs/>
        </w:rPr>
        <w:t>TP53</w:t>
      </w:r>
      <w:r>
        <w:rPr>
          <w:rFonts w:ascii="Times New Roman" w:hAnsi="Times New Roman" w:cs="Times New Roman"/>
        </w:rPr>
        <w:t xml:space="preserve"> WT patients, including </w:t>
      </w: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JQ1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(B)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NU7441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(C)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SB216763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Cs/>
        </w:rPr>
        <w:t>(D)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ZM447439</w:t>
      </w:r>
      <w:r>
        <w:rPr>
          <w:rFonts w:ascii="Times New Roman" w:hAnsi="Times New Roman" w:cs="Times New Roman"/>
        </w:rPr>
        <w:t>. Values were compared using Wilcoxon rank sum test. *: p-value&lt;=0.05, ****: p-value&lt;=0.0001.</w:t>
      </w:r>
    </w:p>
    <w:sectPr w:rsidR="00F34314" w:rsidRPr="00A24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0CA4" w14:textId="77777777" w:rsidR="00A244A9" w:rsidRDefault="00A244A9" w:rsidP="00A244A9">
      <w:r>
        <w:separator/>
      </w:r>
    </w:p>
  </w:endnote>
  <w:endnote w:type="continuationSeparator" w:id="0">
    <w:p w14:paraId="46B8A8D0" w14:textId="77777777" w:rsidR="00A244A9" w:rsidRDefault="00A244A9" w:rsidP="00A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B70F" w14:textId="77777777" w:rsidR="00A244A9" w:rsidRDefault="00A244A9" w:rsidP="00A244A9">
      <w:r>
        <w:separator/>
      </w:r>
    </w:p>
  </w:footnote>
  <w:footnote w:type="continuationSeparator" w:id="0">
    <w:p w14:paraId="57167AAA" w14:textId="77777777" w:rsidR="00A244A9" w:rsidRDefault="00A244A9" w:rsidP="00A2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EE"/>
    <w:rsid w:val="00A244A9"/>
    <w:rsid w:val="00B474EE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E0FB9"/>
  <w15:chartTrackingRefBased/>
  <w15:docId w15:val="{CC5864FF-CF4B-433F-9627-BA48930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4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t075098</dc:creator>
  <cp:keywords/>
  <dc:description/>
  <cp:lastModifiedBy>t075098</cp:lastModifiedBy>
  <cp:revision>2</cp:revision>
  <dcterms:created xsi:type="dcterms:W3CDTF">2022-03-17T00:13:00Z</dcterms:created>
  <dcterms:modified xsi:type="dcterms:W3CDTF">2022-03-17T03:33:00Z</dcterms:modified>
</cp:coreProperties>
</file>