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14493" w14:textId="77777777" w:rsidR="00426423" w:rsidRPr="002C6E2D" w:rsidRDefault="00426423" w:rsidP="00426423">
      <w:pPr>
        <w:jc w:val="center"/>
        <w:rPr>
          <w:rFonts w:ascii="Times New Roman" w:hAnsi="Times New Roman"/>
          <w:color w:val="000000"/>
          <w:sz w:val="32"/>
          <w:szCs w:val="32"/>
        </w:rPr>
      </w:pPr>
      <w:r w:rsidRPr="002C6E2D">
        <w:rPr>
          <w:rFonts w:ascii="Times New Roman" w:hAnsi="Times New Roman"/>
          <w:color w:val="000000"/>
          <w:sz w:val="32"/>
          <w:szCs w:val="32"/>
        </w:rPr>
        <w:t>Supplemental Information</w:t>
      </w:r>
    </w:p>
    <w:p w14:paraId="56C841A8" w14:textId="77777777" w:rsidR="00426423" w:rsidRDefault="00426423" w:rsidP="00426423">
      <w:pPr>
        <w:spacing w:line="360" w:lineRule="auto"/>
        <w:rPr>
          <w:rFonts w:ascii="Times New Roman" w:eastAsia="ＭＳ 明朝" w:hAnsi="Times New Roman" w:cs="Times New Roman"/>
          <w:bCs/>
        </w:rPr>
      </w:pPr>
      <w:bookmarkStart w:id="0" w:name="_Hlk60867915"/>
    </w:p>
    <w:p w14:paraId="6E23EE32" w14:textId="5B8BBF4B" w:rsidR="00426423" w:rsidRPr="00C4319D" w:rsidRDefault="00426423" w:rsidP="00426423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C4319D">
        <w:rPr>
          <w:rFonts w:ascii="Times New Roman" w:eastAsia="ＭＳ 明朝" w:hAnsi="Times New Roman" w:cs="Times New Roman"/>
          <w:b/>
        </w:rPr>
        <w:t xml:space="preserve">Characteristics of colon crypt stem cells in preserved epithelial cell clumps in </w:t>
      </w:r>
      <w:r w:rsidRPr="00C4319D">
        <w:rPr>
          <w:rFonts w:ascii="Times New Roman" w:eastAsia="Times New Roman" w:hAnsi="Times New Roman" w:cs="Times New Roman"/>
          <w:b/>
        </w:rPr>
        <w:t>dextran sulfate sodium-induced mouse model of ulcerative colitis</w:t>
      </w:r>
      <w:bookmarkEnd w:id="0"/>
      <w:r w:rsidRPr="00C4319D">
        <w:rPr>
          <w:rFonts w:ascii="Times New Roman" w:eastAsia="Times New Roman" w:hAnsi="Times New Roman" w:cs="Times New Roman"/>
          <w:b/>
        </w:rPr>
        <w:t>.</w:t>
      </w:r>
    </w:p>
    <w:p w14:paraId="7375D3FF" w14:textId="77777777" w:rsidR="00426423" w:rsidRPr="00EE5B46" w:rsidRDefault="00426423" w:rsidP="00426423">
      <w:pPr>
        <w:spacing w:line="360" w:lineRule="auto"/>
        <w:jc w:val="center"/>
        <w:rPr>
          <w:rFonts w:ascii="Times New Roman" w:eastAsia="ＭＳ 明朝" w:hAnsi="Times New Roman" w:cs="Times New Roman"/>
          <w:bCs/>
        </w:rPr>
      </w:pPr>
    </w:p>
    <w:p w14:paraId="0A52C3C5" w14:textId="77777777" w:rsidR="00426423" w:rsidRPr="00EE5B46" w:rsidRDefault="00426423" w:rsidP="00426423">
      <w:pPr>
        <w:spacing w:line="360" w:lineRule="auto"/>
        <w:jc w:val="center"/>
        <w:rPr>
          <w:rFonts w:ascii="Times New Roman" w:eastAsia="ＭＳ 明朝" w:hAnsi="Times New Roman" w:cs="Times New Roman"/>
          <w:bCs/>
        </w:rPr>
      </w:pPr>
      <w:bookmarkStart w:id="1" w:name="_Hlk60867984"/>
      <w:r w:rsidRPr="00EE5B46">
        <w:rPr>
          <w:rFonts w:ascii="Times New Roman" w:eastAsia="ＭＳ 明朝" w:hAnsi="Times New Roman" w:cs="Times New Roman" w:hint="eastAsia"/>
          <w:bCs/>
        </w:rPr>
        <w:t>M</w:t>
      </w:r>
      <w:r w:rsidRPr="00EE5B46">
        <w:rPr>
          <w:rFonts w:ascii="Times New Roman" w:eastAsia="ＭＳ 明朝" w:hAnsi="Times New Roman" w:cs="Times New Roman"/>
          <w:bCs/>
        </w:rPr>
        <w:t>io Kobayashi</w:t>
      </w:r>
      <w:bookmarkStart w:id="2" w:name="_Hlk61108231"/>
      <w:r w:rsidRPr="00EE5B46">
        <w:rPr>
          <w:rFonts w:ascii="Times New Roman" w:eastAsia="ＭＳ 明朝" w:hAnsi="Times New Roman" w:cs="Times New Roman"/>
          <w:bCs/>
          <w:vertAlign w:val="superscript"/>
        </w:rPr>
        <w:t>1</w:t>
      </w:r>
      <w:bookmarkEnd w:id="2"/>
      <w:r w:rsidRPr="00EE5B46">
        <w:rPr>
          <w:rFonts w:ascii="Times New Roman" w:eastAsia="ＭＳ 明朝" w:hAnsi="Times New Roman" w:cs="Times New Roman"/>
          <w:bCs/>
        </w:rPr>
        <w:t>, Risako Yamashita</w:t>
      </w:r>
      <w:r w:rsidRPr="00EE5B46">
        <w:rPr>
          <w:rFonts w:ascii="Times New Roman" w:eastAsia="ＭＳ 明朝" w:hAnsi="Times New Roman" w:cs="Times New Roman"/>
          <w:bCs/>
          <w:vertAlign w:val="superscript"/>
        </w:rPr>
        <w:t>1</w:t>
      </w:r>
      <w:r w:rsidRPr="00EE5B46">
        <w:rPr>
          <w:rFonts w:ascii="Times New Roman" w:eastAsia="ＭＳ 明朝" w:hAnsi="Times New Roman" w:cs="Times New Roman"/>
          <w:bCs/>
        </w:rPr>
        <w:t>, Ryo Ichikawa,</w:t>
      </w:r>
      <w:r w:rsidRPr="00EE5B46">
        <w:rPr>
          <w:rFonts w:ascii="Times New Roman" w:eastAsia="ＭＳ 明朝" w:hAnsi="Times New Roman" w:cs="Times New Roman"/>
          <w:bCs/>
          <w:vertAlign w:val="superscript"/>
        </w:rPr>
        <w:t xml:space="preserve"> 1</w:t>
      </w:r>
      <w:r w:rsidRPr="00EE5B46">
        <w:rPr>
          <w:rFonts w:ascii="Times New Roman" w:eastAsia="ＭＳ 明朝" w:hAnsi="Times New Roman" w:cs="Times New Roman"/>
          <w:bCs/>
        </w:rPr>
        <w:t xml:space="preserve"> Makoto Shibutani</w:t>
      </w:r>
      <w:bookmarkEnd w:id="1"/>
      <w:r w:rsidRPr="00EE5B46">
        <w:rPr>
          <w:rFonts w:ascii="Times New Roman" w:eastAsia="ＭＳ 明朝" w:hAnsi="Times New Roman" w:cs="Times New Roman"/>
          <w:bCs/>
          <w:vertAlign w:val="superscript"/>
        </w:rPr>
        <w:t>1</w:t>
      </w:r>
      <w:r w:rsidRPr="00EE5B46">
        <w:rPr>
          <w:rFonts w:ascii="Times New Roman" w:eastAsia="ＭＳ 明朝" w:hAnsi="Times New Roman" w:cs="Times New Roman"/>
          <w:bCs/>
        </w:rPr>
        <w:t>, Toshinori Yoshida</w:t>
      </w:r>
      <w:r w:rsidRPr="00EE5B46">
        <w:rPr>
          <w:rFonts w:ascii="Times New Roman" w:eastAsia="ＭＳ 明朝" w:hAnsi="Times New Roman" w:cs="Times New Roman"/>
          <w:bCs/>
          <w:vertAlign w:val="superscript"/>
        </w:rPr>
        <w:t>1</w:t>
      </w:r>
    </w:p>
    <w:p w14:paraId="242CFFDC" w14:textId="77777777" w:rsidR="00426423" w:rsidRPr="00EE5B46" w:rsidRDefault="00426423" w:rsidP="00426423">
      <w:pPr>
        <w:spacing w:line="360" w:lineRule="auto"/>
        <w:jc w:val="center"/>
        <w:rPr>
          <w:rFonts w:ascii="Times New Roman" w:eastAsia="ＭＳ 明朝" w:hAnsi="Times New Roman" w:cs="Times New Roman"/>
          <w:bCs/>
        </w:rPr>
      </w:pPr>
    </w:p>
    <w:p w14:paraId="6D60639A" w14:textId="77777777" w:rsidR="00426423" w:rsidRPr="00EE5B46" w:rsidRDefault="00426423" w:rsidP="00426423">
      <w:pPr>
        <w:spacing w:line="480" w:lineRule="auto"/>
        <w:jc w:val="center"/>
        <w:rPr>
          <w:rFonts w:ascii="Times New Roman" w:eastAsia="ＭＳ 明朝" w:hAnsi="Times New Roman" w:cs="Times New Roman"/>
          <w:kern w:val="2"/>
        </w:rPr>
      </w:pPr>
      <w:r w:rsidRPr="00EE5B46">
        <w:rPr>
          <w:rFonts w:ascii="Times New Roman" w:eastAsia="ＭＳ 明朝" w:hAnsi="Times New Roman" w:cs="Times New Roman"/>
          <w:kern w:val="2"/>
          <w:vertAlign w:val="superscript"/>
        </w:rPr>
        <w:t>1</w:t>
      </w:r>
      <w:r w:rsidRPr="00EE5B46">
        <w:rPr>
          <w:rFonts w:ascii="Times New Roman" w:eastAsia="ＭＳ 明朝" w:hAnsi="Times New Roman" w:cs="Times New Roman"/>
        </w:rPr>
        <w:t xml:space="preserve">Laboratory of Veterinary Pathology, </w:t>
      </w:r>
      <w:r w:rsidRPr="00EE5B46">
        <w:rPr>
          <w:rFonts w:ascii="Times New Roman" w:eastAsia="ＭＳ 明朝" w:hAnsi="Times New Roman" w:cs="Times New Roman"/>
          <w:kern w:val="2"/>
        </w:rPr>
        <w:t>Laboratory of Veterinary Pathology, Tokyo University of Agriculture and Technology, 3-5-8 Saiwai-cho, Fuchu-shi, Tokyo 183-8509, Japan.</w:t>
      </w:r>
    </w:p>
    <w:p w14:paraId="25D9EC21" w14:textId="77777777" w:rsidR="00426423" w:rsidRPr="00EE5B46" w:rsidRDefault="00426423" w:rsidP="00426423">
      <w:pPr>
        <w:spacing w:line="480" w:lineRule="auto"/>
        <w:rPr>
          <w:rFonts w:ascii="Times New Roman" w:eastAsia="ＭＳ 明朝" w:hAnsi="Times New Roman" w:cs="Times New Roman"/>
          <w:kern w:val="2"/>
        </w:rPr>
      </w:pPr>
    </w:p>
    <w:p w14:paraId="34447818" w14:textId="77777777" w:rsidR="00426423" w:rsidRPr="00EE5B46" w:rsidRDefault="00426423" w:rsidP="00426423">
      <w:pPr>
        <w:tabs>
          <w:tab w:val="left" w:pos="0"/>
          <w:tab w:val="left" w:pos="720"/>
        </w:tabs>
        <w:spacing w:line="480" w:lineRule="auto"/>
        <w:rPr>
          <w:rFonts w:ascii="Times New Roman" w:eastAsia="ＭＳ 明朝" w:hAnsi="Times New Roman" w:cs="Times New Roman"/>
          <w:kern w:val="2"/>
        </w:rPr>
      </w:pPr>
      <w:r w:rsidRPr="00EE5B46">
        <w:rPr>
          <w:rFonts w:ascii="Times New Roman" w:eastAsia="ＭＳ 明朝" w:hAnsi="Times New Roman" w:cs="Times New Roman"/>
          <w:kern w:val="2"/>
        </w:rPr>
        <w:t xml:space="preserve">Address correspondence to: </w:t>
      </w:r>
      <w:bookmarkStart w:id="3" w:name="_Hlk60868190"/>
      <w:r w:rsidRPr="00EE5B46">
        <w:rPr>
          <w:rFonts w:ascii="Times New Roman" w:eastAsia="ＭＳ 明朝" w:hAnsi="Times New Roman" w:cs="Times New Roman"/>
          <w:kern w:val="2"/>
        </w:rPr>
        <w:t>Toshinori Yoshida, D.V.M., Ph.D.</w:t>
      </w:r>
    </w:p>
    <w:p w14:paraId="41BFFCD9" w14:textId="77777777" w:rsidR="00426423" w:rsidRPr="00EE5B46" w:rsidRDefault="00426423" w:rsidP="00426423">
      <w:pPr>
        <w:tabs>
          <w:tab w:val="left" w:pos="0"/>
          <w:tab w:val="left" w:pos="720"/>
        </w:tabs>
        <w:spacing w:line="480" w:lineRule="auto"/>
        <w:rPr>
          <w:rFonts w:ascii="Times New Roman" w:eastAsia="ＭＳ 明朝" w:hAnsi="Times New Roman" w:cs="Times New Roman"/>
          <w:kern w:val="2"/>
        </w:rPr>
      </w:pPr>
      <w:r w:rsidRPr="00EE5B46">
        <w:rPr>
          <w:rFonts w:ascii="Times New Roman" w:eastAsia="ＭＳ 明朝" w:hAnsi="Times New Roman" w:cs="Times New Roman"/>
          <w:kern w:val="2"/>
        </w:rPr>
        <w:t>Laboratory of Veterinary Pathology, Tokyo University of Agriculture and Technology, 3-5-8 Saiwai-cho, Fuchu-shi, Tokyo 183-8509, Japan</w:t>
      </w:r>
    </w:p>
    <w:p w14:paraId="7D53D949" w14:textId="77777777" w:rsidR="00426423" w:rsidRPr="00EE5B46" w:rsidRDefault="00426423" w:rsidP="00426423">
      <w:pPr>
        <w:tabs>
          <w:tab w:val="left" w:pos="0"/>
          <w:tab w:val="left" w:pos="720"/>
        </w:tabs>
        <w:spacing w:line="480" w:lineRule="auto"/>
        <w:rPr>
          <w:rFonts w:ascii="Times New Roman" w:eastAsia="ＭＳ 明朝" w:hAnsi="Times New Roman" w:cs="Times New Roman"/>
          <w:kern w:val="2"/>
        </w:rPr>
      </w:pPr>
      <w:r w:rsidRPr="00EE5B46">
        <w:rPr>
          <w:rFonts w:ascii="Times New Roman" w:eastAsia="ＭＳ 明朝" w:hAnsi="Times New Roman" w:cs="Times New Roman"/>
          <w:kern w:val="2"/>
        </w:rPr>
        <w:t xml:space="preserve">Tel: +81-42-367-5874; Fax: +8142-367-5771; E-mail: </w:t>
      </w:r>
      <w:hyperlink r:id="rId4" w:history="1">
        <w:r w:rsidRPr="00EE5B46">
          <w:rPr>
            <w:rFonts w:ascii="Times New Roman" w:eastAsia="ＭＳ 明朝" w:hAnsi="Times New Roman" w:cs="Times New Roman"/>
            <w:kern w:val="2"/>
            <w:u w:val="single"/>
          </w:rPr>
          <w:t>yoshida7@cc.tuat.ac.jp</w:t>
        </w:r>
      </w:hyperlink>
    </w:p>
    <w:bookmarkEnd w:id="3"/>
    <w:p w14:paraId="7ED8307D" w14:textId="77777777" w:rsidR="00C4319D" w:rsidRDefault="00C4319D">
      <w:r>
        <w:br w:type="page"/>
      </w:r>
    </w:p>
    <w:p w14:paraId="15803DF3" w14:textId="71202AAE" w:rsidR="00B3409B" w:rsidRDefault="00426423"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A12374A" wp14:editId="2872F752">
            <wp:extent cx="5400040" cy="1252772"/>
            <wp:effectExtent l="0" t="0" r="0" b="508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3E93D" w14:textId="60D16B9C" w:rsidR="00426423" w:rsidRDefault="00426423"/>
    <w:p w14:paraId="5D1A3874" w14:textId="77777777" w:rsidR="00C4319D" w:rsidRDefault="00C4319D"/>
    <w:p w14:paraId="419DA222" w14:textId="0BEB8DDD" w:rsidR="00426423" w:rsidRDefault="00426423">
      <w:r>
        <w:rPr>
          <w:noProof/>
        </w:rPr>
        <w:drawing>
          <wp:inline distT="0" distB="0" distL="0" distR="0" wp14:anchorId="3946FCD8" wp14:editId="7118C63D">
            <wp:extent cx="5901690" cy="1377950"/>
            <wp:effectExtent l="0" t="0" r="381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0EBB" w14:textId="0D18F994" w:rsidR="00426423" w:rsidRDefault="00426423">
      <w:r>
        <w:br w:type="page"/>
      </w:r>
    </w:p>
    <w:p w14:paraId="122B58F1" w14:textId="01878F3E" w:rsidR="00426423" w:rsidRDefault="00426423">
      <w:r>
        <w:rPr>
          <w:noProof/>
        </w:rPr>
        <w:lastRenderedPageBreak/>
        <w:drawing>
          <wp:inline distT="0" distB="0" distL="0" distR="0" wp14:anchorId="1B87FE06" wp14:editId="2F2DFD13">
            <wp:extent cx="5749290" cy="4432300"/>
            <wp:effectExtent l="0" t="0" r="381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EDC52" w14:textId="3B08DEDA" w:rsidR="00426423" w:rsidRDefault="00426423">
      <w:r>
        <w:br w:type="page"/>
      </w:r>
    </w:p>
    <w:p w14:paraId="5E5A1E12" w14:textId="2B056BEE" w:rsidR="00426423" w:rsidRDefault="00426423">
      <w:r>
        <w:rPr>
          <w:noProof/>
        </w:rPr>
        <w:lastRenderedPageBreak/>
        <w:drawing>
          <wp:inline distT="0" distB="0" distL="0" distR="0" wp14:anchorId="02C903D2" wp14:editId="3B8A5092">
            <wp:extent cx="3907790" cy="4603115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35B2" w14:textId="006D8A3B" w:rsidR="00426423" w:rsidRPr="00EE5B46" w:rsidRDefault="00426423" w:rsidP="004264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ＭＳ 明朝" w:hAnsi="Times New Roman" w:cs="Times New Roman"/>
        </w:rPr>
      </w:pPr>
      <w:r w:rsidRPr="00EE5B46">
        <w:rPr>
          <w:rFonts w:ascii="Times New Roman" w:eastAsia="Times New Roman" w:hAnsi="Times New Roman" w:cs="Times New Roman"/>
        </w:rPr>
        <w:t>Supplemental Fig 1. Histopathological classification of epithelial clumps in the lamina propria in mice administered 5% DSS in drinking water for 6 days (Day 6), followed by withdrawal of DSS for 6 days (Day 12). Epithelial clumps are classified into types a and b, according to the presence of luminal structure: type a exhibits luminal structure, and type b lacks luminal structure. The clumps are also classified as types 1 to 4, according to the number of nuclei: type 1 has a single nucleus; type 1, two or three nuclei; type 3, 4 to 9 nuclei; and type 4, 10 or more nuclei. Combining types a and b and types 1 to 4, there are seven subtypes of epithelial clumps, as shown in the figure</w:t>
      </w:r>
      <w:r w:rsidR="00C4319D">
        <w:rPr>
          <w:rFonts w:ascii="Times New Roman" w:eastAsia="Times New Roman" w:hAnsi="Times New Roman" w:cs="Times New Roman"/>
        </w:rPr>
        <w:t xml:space="preserve"> (arrows)</w:t>
      </w:r>
      <w:r w:rsidRPr="00EE5B46">
        <w:rPr>
          <w:rFonts w:ascii="Times New Roman" w:eastAsia="Times New Roman" w:hAnsi="Times New Roman" w:cs="Times New Roman"/>
        </w:rPr>
        <w:t xml:space="preserve">, except for type 4b. Bar=10 μm. </w:t>
      </w:r>
    </w:p>
    <w:p w14:paraId="0A0A4CFA" w14:textId="35D1C3E8" w:rsidR="00426423" w:rsidRDefault="00426423">
      <w:r>
        <w:br w:type="page"/>
      </w:r>
    </w:p>
    <w:p w14:paraId="4B5577BE" w14:textId="095C2380" w:rsidR="00426423" w:rsidRDefault="000666D2">
      <w:r>
        <w:rPr>
          <w:noProof/>
        </w:rPr>
        <w:lastRenderedPageBreak/>
        <w:drawing>
          <wp:inline distT="0" distB="0" distL="0" distR="0" wp14:anchorId="6E0FA3B1" wp14:editId="68D8EDFA">
            <wp:extent cx="5380355" cy="2673196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47" cy="26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2702" w14:textId="77777777" w:rsidR="00426423" w:rsidRPr="00EE5B46" w:rsidRDefault="00426423" w:rsidP="004264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</w:pPr>
      <w:r w:rsidRPr="00EE5B46">
        <w:rPr>
          <w:rFonts w:ascii="Times New Roman" w:eastAsia="Times New Roman" w:hAnsi="Times New Roman" w:cs="Times New Roman"/>
        </w:rPr>
        <w:t>Supplemental Fig 2. Expression of stem cell and progenitor cell markers in colorectal crypts. Normal crypts were observed in the control mice; remaining crypts were observed in the mice administered 5% DSS in drinking water for 6 days; and regenerative crypts were observed in the mice administered 5% DSS in drinking water for 6 days, followed by withdrawal of DSS for 6 days. (A) LGR5. (B) BMI1. (C) DLL1. (D) SOX9. Arrows indicate positive signals for each marker. Bar=30 μm.</w:t>
      </w:r>
    </w:p>
    <w:p w14:paraId="558F45EC" w14:textId="1331C637" w:rsidR="00426423" w:rsidRDefault="00426423">
      <w:r>
        <w:br w:type="page"/>
      </w:r>
    </w:p>
    <w:p w14:paraId="778DD4BD" w14:textId="7ABA76A0" w:rsidR="00426423" w:rsidRDefault="007644AB">
      <w:r>
        <w:rPr>
          <w:noProof/>
        </w:rPr>
        <w:lastRenderedPageBreak/>
        <w:drawing>
          <wp:inline distT="0" distB="0" distL="0" distR="0" wp14:anchorId="4C7B33E0" wp14:editId="4ADF7C90">
            <wp:extent cx="5090795" cy="346265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ABD6A" w14:textId="77777777" w:rsidR="00C4319D" w:rsidRDefault="00C4319D"/>
    <w:p w14:paraId="0960062B" w14:textId="49F3BF20" w:rsidR="00426423" w:rsidRPr="00EE5B46" w:rsidRDefault="00426423" w:rsidP="00426423">
      <w:pPr>
        <w:spacing w:line="360" w:lineRule="auto"/>
        <w:rPr>
          <w:rFonts w:ascii="Times New Roman" w:eastAsia="ＭＳ 明朝" w:hAnsi="Times New Roman" w:cs="Times New Roman"/>
        </w:rPr>
      </w:pPr>
      <w:r w:rsidRPr="00EE5B46">
        <w:rPr>
          <w:rFonts w:ascii="Times New Roman" w:eastAsia="Times New Roman" w:hAnsi="Times New Roman" w:cs="Times New Roman"/>
        </w:rPr>
        <w:t>Supplemental Fig 3. Representative images of co-expression of SOX9 and DLL1 in the colorectal crypt. Normal crypts were observed in the control mice; remaining crypts were observed in the mice administered 5% DSS in drinking water for 6 days (Day 6); and regenerative crypts were observed in the mice that were administered 5% DSS in drinking water for 6 days, followed by withdrawal of DSS for 6 days (Day 12). SOX9 was visualized using HRP-DAB staining (brown</w:t>
      </w:r>
      <w:r w:rsidR="00C4319D">
        <w:rPr>
          <w:rFonts w:ascii="Times New Roman" w:eastAsia="Times New Roman" w:hAnsi="Times New Roman" w:cs="Times New Roman"/>
        </w:rPr>
        <w:t xml:space="preserve"> arrows</w:t>
      </w:r>
      <w:r w:rsidRPr="00EE5B46">
        <w:rPr>
          <w:rFonts w:ascii="Times New Roman" w:eastAsia="Times New Roman" w:hAnsi="Times New Roman" w:cs="Times New Roman"/>
        </w:rPr>
        <w:t>), and DLL1 was visualized using AP-vector blue</w:t>
      </w:r>
      <w:r w:rsidR="00C4319D">
        <w:rPr>
          <w:rFonts w:ascii="Times New Roman" w:eastAsia="Times New Roman" w:hAnsi="Times New Roman" w:cs="Times New Roman"/>
        </w:rPr>
        <w:t xml:space="preserve"> (blue arrows)</w:t>
      </w:r>
      <w:r w:rsidRPr="00EE5B46">
        <w:rPr>
          <w:rFonts w:ascii="Times New Roman" w:eastAsia="Times New Roman" w:hAnsi="Times New Roman" w:cs="Times New Roman"/>
        </w:rPr>
        <w:t xml:space="preserve">. </w:t>
      </w:r>
      <w:r w:rsidR="00C4319D">
        <w:rPr>
          <w:rFonts w:ascii="Times New Roman" w:eastAsia="Times New Roman" w:hAnsi="Times New Roman" w:cs="Times New Roman"/>
        </w:rPr>
        <w:t>Purple a</w:t>
      </w:r>
      <w:r w:rsidR="00C4319D" w:rsidRPr="00EE5B46">
        <w:rPr>
          <w:rFonts w:ascii="Times New Roman" w:eastAsia="Times New Roman" w:hAnsi="Times New Roman" w:cs="Times New Roman"/>
        </w:rPr>
        <w:t xml:space="preserve">rrows indicate </w:t>
      </w:r>
      <w:r w:rsidR="007644AB">
        <w:rPr>
          <w:rFonts w:ascii="Times New Roman" w:eastAsia="Times New Roman" w:hAnsi="Times New Roman" w:cs="Times New Roman"/>
        </w:rPr>
        <w:t>double</w:t>
      </w:r>
      <w:r w:rsidR="00D613BB">
        <w:rPr>
          <w:rFonts w:ascii="Times New Roman" w:eastAsia="Times New Roman" w:hAnsi="Times New Roman" w:cs="Times New Roman"/>
        </w:rPr>
        <w:t>-</w:t>
      </w:r>
      <w:r w:rsidR="00C4319D" w:rsidRPr="00EE5B46">
        <w:rPr>
          <w:rFonts w:ascii="Times New Roman" w:eastAsia="Times New Roman" w:hAnsi="Times New Roman" w:cs="Times New Roman"/>
        </w:rPr>
        <w:t xml:space="preserve">positive signals for </w:t>
      </w:r>
      <w:r w:rsidR="00C4319D">
        <w:rPr>
          <w:rFonts w:ascii="Times New Roman" w:eastAsia="Times New Roman" w:hAnsi="Times New Roman" w:cs="Times New Roman"/>
        </w:rPr>
        <w:t xml:space="preserve">SOX9 and DLL1 </w:t>
      </w:r>
      <w:r w:rsidRPr="00EE5B46">
        <w:rPr>
          <w:rFonts w:ascii="Times New Roman" w:eastAsia="Times New Roman" w:hAnsi="Times New Roman" w:cs="Times New Roman"/>
        </w:rPr>
        <w:t>Bar=30 μm.</w:t>
      </w:r>
    </w:p>
    <w:p w14:paraId="481A4223" w14:textId="77777777" w:rsidR="00426423" w:rsidRDefault="00426423"/>
    <w:p w14:paraId="5A283A72" w14:textId="77777777" w:rsidR="00426423" w:rsidRDefault="00426423"/>
    <w:p w14:paraId="445E9CBD" w14:textId="77777777" w:rsidR="00426423" w:rsidRDefault="00426423"/>
    <w:sectPr w:rsidR="0042642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23"/>
    <w:rsid w:val="000666D2"/>
    <w:rsid w:val="00426423"/>
    <w:rsid w:val="007644AB"/>
    <w:rsid w:val="00B3409B"/>
    <w:rsid w:val="00C4319D"/>
    <w:rsid w:val="00D42217"/>
    <w:rsid w:val="00D6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84C83A"/>
  <w15:chartTrackingRefBased/>
  <w15:docId w15:val="{CB8393F8-E8E5-428D-B4DD-C3D54DA3E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423"/>
    <w:rPr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yoshida7@cc.tuat.ac.jp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</dc:creator>
  <cp:keywords/>
  <dc:description/>
  <cp:lastModifiedBy>TY</cp:lastModifiedBy>
  <cp:revision>3</cp:revision>
  <dcterms:created xsi:type="dcterms:W3CDTF">2021-01-12T02:30:00Z</dcterms:created>
  <dcterms:modified xsi:type="dcterms:W3CDTF">2021-01-12T12:37:00Z</dcterms:modified>
</cp:coreProperties>
</file>