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C8D" w:rsidRPr="00051B39" w:rsidRDefault="00026152" w:rsidP="00AD408A">
      <w:pPr>
        <w:spacing w:line="360" w:lineRule="auto"/>
        <w:ind w:firstLine="0"/>
        <w:jc w:val="center"/>
        <w:rPr>
          <w:rFonts w:ascii="Arial" w:hAnsi="Arial" w:cs="Arial"/>
          <w:b/>
          <w:sz w:val="24"/>
          <w:szCs w:val="24"/>
          <w:lang w:val="en-US"/>
        </w:rPr>
      </w:pPr>
      <w:r w:rsidRPr="00051B39">
        <w:rPr>
          <w:rFonts w:ascii="Arial" w:hAnsi="Arial" w:cs="Arial"/>
          <w:b/>
          <w:sz w:val="24"/>
          <w:szCs w:val="24"/>
          <w:lang w:val="en-US"/>
        </w:rPr>
        <w:t>SUPPLEMENTARY MATERIAL</w:t>
      </w:r>
    </w:p>
    <w:p w:rsidR="007F2C8D" w:rsidRPr="00051B39" w:rsidRDefault="00DF5D54" w:rsidP="00AD408A">
      <w:pPr>
        <w:spacing w:after="0" w:line="360" w:lineRule="auto"/>
        <w:ind w:firstLine="0"/>
        <w:jc w:val="center"/>
        <w:rPr>
          <w:rFonts w:ascii="Arial" w:eastAsia="Arial" w:hAnsi="Arial" w:cs="Arial"/>
          <w:b/>
          <w:sz w:val="24"/>
          <w:szCs w:val="24"/>
        </w:rPr>
      </w:pPr>
      <w:r w:rsidRPr="00051B39">
        <w:rPr>
          <w:rFonts w:ascii="Arial" w:eastAsia="Arial" w:hAnsi="Arial" w:cs="Arial"/>
          <w:b/>
          <w:sz w:val="24"/>
          <w:szCs w:val="24"/>
        </w:rPr>
        <w:t xml:space="preserve">In </w:t>
      </w:r>
      <w:r w:rsidRPr="00051B39">
        <w:rPr>
          <w:rFonts w:ascii="Arial" w:eastAsia="Arial" w:hAnsi="Arial" w:cs="Arial"/>
          <w:b/>
          <w:i/>
          <w:sz w:val="24"/>
          <w:szCs w:val="24"/>
        </w:rPr>
        <w:t xml:space="preserve">vitro </w:t>
      </w:r>
      <w:r w:rsidRPr="00051B39">
        <w:rPr>
          <w:rFonts w:ascii="Arial" w:eastAsia="Arial" w:hAnsi="Arial" w:cs="Arial"/>
          <w:b/>
          <w:sz w:val="24"/>
          <w:szCs w:val="24"/>
        </w:rPr>
        <w:t xml:space="preserve">colonic </w:t>
      </w:r>
      <w:r w:rsidR="00087578" w:rsidRPr="00051B39">
        <w:rPr>
          <w:rFonts w:ascii="Arial" w:eastAsia="Arial" w:hAnsi="Arial" w:cs="Arial"/>
          <w:b/>
          <w:sz w:val="24"/>
          <w:szCs w:val="24"/>
        </w:rPr>
        <w:t xml:space="preserve">fermentation </w:t>
      </w:r>
      <w:r w:rsidRPr="00051B39">
        <w:rPr>
          <w:rFonts w:ascii="Arial" w:eastAsia="Arial" w:hAnsi="Arial" w:cs="Arial"/>
          <w:b/>
          <w:sz w:val="24"/>
          <w:szCs w:val="24"/>
        </w:rPr>
        <w:t>of ultrasonicated blackberry (</w:t>
      </w:r>
      <w:r w:rsidRPr="00051B39">
        <w:rPr>
          <w:rFonts w:ascii="Arial" w:eastAsia="Arial" w:hAnsi="Arial" w:cs="Arial"/>
          <w:b/>
          <w:i/>
          <w:sz w:val="24"/>
          <w:szCs w:val="24"/>
        </w:rPr>
        <w:t>Rubus fruticosus</w:t>
      </w:r>
      <w:r w:rsidRPr="00051B39">
        <w:rPr>
          <w:rFonts w:ascii="Arial" w:eastAsia="Arial" w:hAnsi="Arial" w:cs="Arial"/>
          <w:b/>
          <w:sz w:val="24"/>
          <w:szCs w:val="24"/>
        </w:rPr>
        <w:t>) residues cv. Tupy</w:t>
      </w:r>
    </w:p>
    <w:p w:rsidR="00AD408A" w:rsidRPr="00051B39" w:rsidRDefault="00AD408A" w:rsidP="007F2C8D">
      <w:pPr>
        <w:spacing w:line="360" w:lineRule="auto"/>
        <w:ind w:firstLine="0"/>
        <w:jc w:val="center"/>
        <w:rPr>
          <w:rFonts w:ascii="Arial" w:hAnsi="Arial" w:cs="Arial"/>
          <w:b/>
          <w:sz w:val="24"/>
          <w:szCs w:val="24"/>
          <w:lang w:val="en-US"/>
        </w:rPr>
      </w:pPr>
    </w:p>
    <w:p w:rsidR="00026152" w:rsidRPr="00051B39" w:rsidRDefault="00026152" w:rsidP="007F2C8D">
      <w:pPr>
        <w:spacing w:line="360" w:lineRule="auto"/>
        <w:ind w:firstLine="0"/>
        <w:jc w:val="center"/>
        <w:rPr>
          <w:rFonts w:ascii="Arial" w:hAnsi="Arial" w:cs="Arial"/>
          <w:b/>
          <w:sz w:val="24"/>
          <w:szCs w:val="24"/>
          <w:lang w:val="en-US"/>
        </w:rPr>
      </w:pPr>
      <w:r w:rsidRPr="00051B39">
        <w:rPr>
          <w:rFonts w:ascii="Arial" w:hAnsi="Arial" w:cs="Arial"/>
          <w:b/>
          <w:sz w:val="24"/>
          <w:szCs w:val="24"/>
          <w:lang w:val="en-US"/>
        </w:rPr>
        <w:t>Plant Foods for Human Nutrition</w:t>
      </w:r>
    </w:p>
    <w:p w:rsidR="007F2C8D" w:rsidRPr="00051B39" w:rsidRDefault="007F2C8D" w:rsidP="007F2C8D">
      <w:pPr>
        <w:spacing w:after="0" w:line="360" w:lineRule="auto"/>
        <w:ind w:firstLine="0"/>
        <w:rPr>
          <w:rFonts w:ascii="Arial" w:eastAsia="Arial" w:hAnsi="Arial" w:cs="Arial"/>
          <w:sz w:val="24"/>
          <w:szCs w:val="24"/>
        </w:rPr>
      </w:pPr>
    </w:p>
    <w:p w:rsidR="00DF5D54" w:rsidRPr="00051B39" w:rsidRDefault="00DF5D54" w:rsidP="007F2C8D">
      <w:pPr>
        <w:spacing w:after="0" w:line="360" w:lineRule="auto"/>
        <w:ind w:firstLine="0"/>
        <w:rPr>
          <w:rFonts w:ascii="Arial" w:eastAsia="Arial" w:hAnsi="Arial" w:cs="Arial"/>
          <w:sz w:val="24"/>
          <w:szCs w:val="24"/>
        </w:rPr>
      </w:pPr>
      <w:r w:rsidRPr="00051B39">
        <w:rPr>
          <w:rFonts w:ascii="Arial" w:eastAsia="Arial" w:hAnsi="Arial" w:cs="Arial"/>
          <w:sz w:val="24"/>
          <w:szCs w:val="24"/>
        </w:rPr>
        <w:t>Quinatzin Yadira Zafra-Rojas</w:t>
      </w:r>
      <w:r w:rsidRPr="00051B39">
        <w:rPr>
          <w:rFonts w:ascii="Arial" w:eastAsia="Arial" w:hAnsi="Arial" w:cs="Arial"/>
          <w:sz w:val="24"/>
          <w:szCs w:val="24"/>
          <w:vertAlign w:val="superscript"/>
        </w:rPr>
        <w:t>1</w:t>
      </w:r>
      <w:r w:rsidRPr="00051B39">
        <w:rPr>
          <w:rFonts w:ascii="Arial" w:eastAsia="Arial" w:hAnsi="Arial" w:cs="Arial"/>
          <w:sz w:val="24"/>
          <w:szCs w:val="24"/>
        </w:rPr>
        <w:t xml:space="preserve"> • Nelly del Socorro Cruz-Cansino</w:t>
      </w:r>
      <w:r w:rsidRPr="00051B39">
        <w:rPr>
          <w:rFonts w:ascii="Arial" w:eastAsia="Arial" w:hAnsi="Arial" w:cs="Arial"/>
          <w:sz w:val="24"/>
          <w:szCs w:val="24"/>
          <w:vertAlign w:val="superscript"/>
        </w:rPr>
        <w:t>1</w:t>
      </w:r>
      <w:r w:rsidRPr="00051B39">
        <w:rPr>
          <w:rFonts w:ascii="Arial" w:eastAsia="Arial" w:hAnsi="Arial" w:cs="Arial"/>
          <w:sz w:val="24"/>
          <w:szCs w:val="24"/>
        </w:rPr>
        <w:t xml:space="preserve"> • Alicia Cervantes-Elizarrarás</w:t>
      </w:r>
      <w:r w:rsidRPr="00051B39">
        <w:rPr>
          <w:rFonts w:ascii="Arial" w:eastAsia="Arial" w:hAnsi="Arial" w:cs="Arial"/>
          <w:sz w:val="24"/>
          <w:szCs w:val="24"/>
          <w:vertAlign w:val="superscript"/>
        </w:rPr>
        <w:t>1</w:t>
      </w:r>
      <w:r w:rsidRPr="00051B39">
        <w:rPr>
          <w:rFonts w:ascii="Arial" w:eastAsia="Arial" w:hAnsi="Arial" w:cs="Arial"/>
          <w:sz w:val="24"/>
          <w:szCs w:val="24"/>
        </w:rPr>
        <w:t xml:space="preserve"> • José Alberto Ariza-Ortega</w:t>
      </w:r>
      <w:r w:rsidRPr="00051B39">
        <w:rPr>
          <w:rFonts w:ascii="Arial" w:eastAsia="Arial" w:hAnsi="Arial" w:cs="Arial"/>
          <w:sz w:val="24"/>
          <w:szCs w:val="24"/>
          <w:vertAlign w:val="superscript"/>
        </w:rPr>
        <w:t>1</w:t>
      </w:r>
      <w:r w:rsidRPr="00051B39">
        <w:rPr>
          <w:rFonts w:ascii="Arial" w:eastAsia="Arial" w:hAnsi="Arial" w:cs="Arial"/>
          <w:sz w:val="24"/>
          <w:szCs w:val="24"/>
        </w:rPr>
        <w:t xml:space="preserve"> • Hilda María Hernández-Hernández</w:t>
      </w:r>
      <w:r w:rsidRPr="00051B39">
        <w:rPr>
          <w:rFonts w:ascii="Arial" w:eastAsia="Arial" w:hAnsi="Arial" w:cs="Arial"/>
          <w:sz w:val="24"/>
          <w:szCs w:val="24"/>
          <w:vertAlign w:val="superscript"/>
        </w:rPr>
        <w:t>2</w:t>
      </w:r>
      <w:r w:rsidRPr="00051B39">
        <w:rPr>
          <w:rFonts w:ascii="Arial" w:eastAsia="Arial" w:hAnsi="Arial" w:cs="Arial"/>
          <w:sz w:val="24"/>
          <w:szCs w:val="24"/>
        </w:rPr>
        <w:t xml:space="preserve"> • Luis Díaz-Batalla</w:t>
      </w:r>
      <w:r w:rsidRPr="00051B39">
        <w:rPr>
          <w:rFonts w:ascii="Arial" w:eastAsia="Arial" w:hAnsi="Arial" w:cs="Arial"/>
          <w:sz w:val="24"/>
          <w:szCs w:val="24"/>
          <w:vertAlign w:val="superscript"/>
        </w:rPr>
        <w:t>3</w:t>
      </w:r>
      <w:r w:rsidRPr="00051B39">
        <w:rPr>
          <w:rFonts w:ascii="Arial" w:eastAsia="Arial" w:hAnsi="Arial" w:cs="Arial"/>
          <w:sz w:val="24"/>
          <w:szCs w:val="24"/>
        </w:rPr>
        <w:t xml:space="preserve"> • Enrique J. Olloqui</w:t>
      </w:r>
      <w:r w:rsidRPr="00051B39">
        <w:rPr>
          <w:rFonts w:ascii="Arial" w:eastAsia="Arial" w:hAnsi="Arial" w:cs="Arial"/>
          <w:sz w:val="24"/>
          <w:szCs w:val="24"/>
          <w:vertAlign w:val="superscript"/>
        </w:rPr>
        <w:t>4</w:t>
      </w:r>
      <w:r w:rsidRPr="00051B39">
        <w:rPr>
          <w:rFonts w:ascii="Arial" w:eastAsia="Arial" w:hAnsi="Arial" w:cs="Arial"/>
          <w:sz w:val="24"/>
          <w:szCs w:val="24"/>
        </w:rPr>
        <w:t xml:space="preserve"> • Esther Ramírez-Moreno </w:t>
      </w:r>
      <w:r w:rsidRPr="00051B39">
        <w:rPr>
          <w:rFonts w:ascii="Arial" w:eastAsia="Arial" w:hAnsi="Arial" w:cs="Arial"/>
          <w:sz w:val="24"/>
          <w:szCs w:val="24"/>
          <w:vertAlign w:val="superscript"/>
        </w:rPr>
        <w:t>1</w:t>
      </w:r>
      <w:r w:rsidRPr="00051B39">
        <w:rPr>
          <w:rFonts w:ascii="Arial" w:eastAsia="Arial" w:hAnsi="Arial" w:cs="Arial"/>
          <w:sz w:val="24"/>
          <w:szCs w:val="24"/>
        </w:rPr>
        <w:t>*</w:t>
      </w:r>
    </w:p>
    <w:p w:rsidR="00CD5491" w:rsidRPr="00051B39" w:rsidRDefault="00CD5491" w:rsidP="007F2C8D">
      <w:pPr>
        <w:spacing w:after="0" w:line="360" w:lineRule="auto"/>
        <w:ind w:firstLine="0"/>
        <w:rPr>
          <w:rFonts w:ascii="Arial" w:eastAsia="Arial" w:hAnsi="Arial" w:cs="Arial"/>
          <w:sz w:val="24"/>
          <w:szCs w:val="24"/>
        </w:rPr>
      </w:pPr>
    </w:p>
    <w:p w:rsidR="00DF5D54" w:rsidRPr="00051B39" w:rsidRDefault="00DF5D54" w:rsidP="007F2C8D">
      <w:pPr>
        <w:spacing w:after="0" w:line="360" w:lineRule="auto"/>
        <w:ind w:firstLine="0"/>
        <w:rPr>
          <w:rFonts w:ascii="Arial" w:eastAsia="Arial" w:hAnsi="Arial" w:cs="Arial"/>
          <w:sz w:val="24"/>
          <w:szCs w:val="24"/>
        </w:rPr>
      </w:pPr>
      <w:r w:rsidRPr="00051B39">
        <w:rPr>
          <w:rFonts w:ascii="Arial" w:eastAsia="Arial" w:hAnsi="Arial" w:cs="Arial"/>
          <w:sz w:val="24"/>
          <w:szCs w:val="24"/>
          <w:vertAlign w:val="superscript"/>
        </w:rPr>
        <w:t xml:space="preserve">1 </w:t>
      </w:r>
      <w:proofErr w:type="gramStart"/>
      <w:r w:rsidRPr="00051B39">
        <w:rPr>
          <w:rFonts w:ascii="Arial" w:eastAsia="Arial" w:hAnsi="Arial" w:cs="Arial"/>
          <w:sz w:val="24"/>
          <w:szCs w:val="24"/>
        </w:rPr>
        <w:t>Universidad</w:t>
      </w:r>
      <w:proofErr w:type="gramEnd"/>
      <w:r w:rsidRPr="00051B39">
        <w:rPr>
          <w:rFonts w:ascii="Arial" w:eastAsia="Arial" w:hAnsi="Arial" w:cs="Arial"/>
          <w:sz w:val="24"/>
          <w:szCs w:val="24"/>
        </w:rPr>
        <w:t xml:space="preserve"> Autónoma del Estado de Hidalgo, Instituto de Ciencias de la Salud, Área Académica de Nutrición, Centro de Investigación Interdisciplinario, Circuito Actopan-Tilcuautla s/n. Ex-hacienda La Concepción, 42160, San Agustín Tlaxiaca, Hidalgo, México.</w:t>
      </w:r>
    </w:p>
    <w:p w:rsidR="00DF5D54" w:rsidRPr="00051B39" w:rsidRDefault="00DF5D54" w:rsidP="007F2C8D">
      <w:pPr>
        <w:spacing w:after="0" w:line="360" w:lineRule="auto"/>
        <w:ind w:firstLine="0"/>
        <w:rPr>
          <w:rFonts w:ascii="Arial" w:eastAsia="Arial" w:hAnsi="Arial" w:cs="Arial"/>
          <w:sz w:val="24"/>
          <w:szCs w:val="24"/>
        </w:rPr>
      </w:pPr>
      <w:r w:rsidRPr="00051B39">
        <w:rPr>
          <w:rFonts w:ascii="Arial" w:eastAsia="Arial" w:hAnsi="Arial" w:cs="Arial"/>
          <w:sz w:val="24"/>
          <w:szCs w:val="24"/>
          <w:vertAlign w:val="superscript"/>
        </w:rPr>
        <w:t xml:space="preserve">2 </w:t>
      </w:r>
      <w:r w:rsidRPr="00051B39">
        <w:rPr>
          <w:rFonts w:ascii="Arial" w:eastAsia="Arial" w:hAnsi="Arial" w:cs="Arial"/>
          <w:sz w:val="24"/>
          <w:szCs w:val="24"/>
        </w:rPr>
        <w:t>CONACYT – Centro de Investigación y Asistencia en Tecnología y Diseño del Estado de Jalisco, A.C. (CIATEJ), Av. Normalistas 800, Colinas de la Normal, 44270, Guadalajara, Jalisco, México.</w:t>
      </w:r>
    </w:p>
    <w:p w:rsidR="00DF5D54" w:rsidRPr="00051B39" w:rsidRDefault="00DF5D54" w:rsidP="007F2C8D">
      <w:pPr>
        <w:spacing w:after="0" w:line="360" w:lineRule="auto"/>
        <w:ind w:firstLine="0"/>
        <w:rPr>
          <w:rFonts w:ascii="Arial" w:eastAsia="Arial" w:hAnsi="Arial" w:cs="Arial"/>
          <w:sz w:val="24"/>
          <w:szCs w:val="24"/>
        </w:rPr>
      </w:pPr>
      <w:r w:rsidRPr="00051B39">
        <w:rPr>
          <w:rFonts w:ascii="Arial" w:eastAsia="Arial" w:hAnsi="Arial" w:cs="Arial"/>
          <w:sz w:val="24"/>
          <w:szCs w:val="24"/>
          <w:vertAlign w:val="superscript"/>
        </w:rPr>
        <w:t xml:space="preserve">3 </w:t>
      </w:r>
      <w:proofErr w:type="gramStart"/>
      <w:r w:rsidRPr="00051B39">
        <w:rPr>
          <w:rFonts w:ascii="Arial" w:eastAsia="Arial" w:hAnsi="Arial" w:cs="Arial"/>
          <w:sz w:val="24"/>
          <w:szCs w:val="24"/>
        </w:rPr>
        <w:t>Universidad</w:t>
      </w:r>
      <w:proofErr w:type="gramEnd"/>
      <w:r w:rsidRPr="00051B39">
        <w:rPr>
          <w:rFonts w:ascii="Arial" w:eastAsia="Arial" w:hAnsi="Arial" w:cs="Arial"/>
          <w:sz w:val="24"/>
          <w:szCs w:val="24"/>
        </w:rPr>
        <w:t xml:space="preserve"> Politécnica de Francisco I. Madero, Ingeniería Agroindustrial, Carr. Tepatepec-San Juan Tepa km. 2, 42660, Tepatepec, Hidalgo, México.</w:t>
      </w:r>
    </w:p>
    <w:p w:rsidR="00DF5D54" w:rsidRPr="00051B39" w:rsidRDefault="00DF5D54" w:rsidP="007F2C8D">
      <w:pPr>
        <w:spacing w:after="0" w:line="360" w:lineRule="auto"/>
        <w:ind w:firstLine="0"/>
        <w:rPr>
          <w:rFonts w:ascii="Arial" w:eastAsia="Arial" w:hAnsi="Arial" w:cs="Arial"/>
          <w:sz w:val="24"/>
          <w:szCs w:val="24"/>
          <w:highlight w:val="yellow"/>
        </w:rPr>
      </w:pPr>
      <w:r w:rsidRPr="00051B39">
        <w:rPr>
          <w:rFonts w:ascii="Arial" w:eastAsia="Arial" w:hAnsi="Arial" w:cs="Arial"/>
          <w:sz w:val="24"/>
          <w:szCs w:val="24"/>
          <w:vertAlign w:val="superscript"/>
        </w:rPr>
        <w:t xml:space="preserve">4 </w:t>
      </w:r>
      <w:r w:rsidRPr="00051B39">
        <w:rPr>
          <w:rFonts w:ascii="Arial" w:eastAsia="Arial" w:hAnsi="Arial" w:cs="Arial"/>
          <w:sz w:val="24"/>
          <w:szCs w:val="24"/>
        </w:rPr>
        <w:t>CONACYT, Colegio de Postgraduados Campus Montecillo, Carretera México-Texcoco, Km. 63.5, Estado de México, 56230, Montecillo, Texcoco, México</w:t>
      </w:r>
    </w:p>
    <w:p w:rsidR="007F2C8D" w:rsidRPr="00051B39" w:rsidRDefault="007F2C8D" w:rsidP="007F2C8D">
      <w:pPr>
        <w:spacing w:after="0" w:line="360" w:lineRule="auto"/>
        <w:ind w:firstLine="0"/>
        <w:rPr>
          <w:rFonts w:ascii="Arial" w:eastAsia="Arial" w:hAnsi="Arial" w:cs="Arial"/>
          <w:sz w:val="24"/>
          <w:szCs w:val="24"/>
        </w:rPr>
      </w:pPr>
    </w:p>
    <w:p w:rsidR="00DF5D54" w:rsidRPr="00051B39" w:rsidRDefault="00DF5D54" w:rsidP="007F2C8D">
      <w:pPr>
        <w:spacing w:after="0" w:line="360" w:lineRule="auto"/>
        <w:ind w:firstLine="0"/>
        <w:rPr>
          <w:rFonts w:ascii="Arial" w:eastAsia="Arial" w:hAnsi="Arial" w:cs="Arial"/>
          <w:sz w:val="24"/>
          <w:szCs w:val="24"/>
        </w:rPr>
      </w:pPr>
      <w:r w:rsidRPr="00051B39">
        <w:rPr>
          <w:rFonts w:ascii="Arial" w:eastAsia="Arial" w:hAnsi="Arial" w:cs="Arial"/>
          <w:sz w:val="24"/>
          <w:szCs w:val="24"/>
        </w:rPr>
        <w:t>* Corresponding author:</w:t>
      </w:r>
    </w:p>
    <w:p w:rsidR="00DF5D54" w:rsidRPr="00051B39" w:rsidRDefault="00DF5D54" w:rsidP="007F2C8D">
      <w:pPr>
        <w:spacing w:after="0" w:line="360" w:lineRule="auto"/>
        <w:ind w:firstLine="0"/>
        <w:rPr>
          <w:rFonts w:ascii="Arial" w:eastAsia="Arial" w:hAnsi="Arial" w:cs="Arial"/>
          <w:sz w:val="24"/>
          <w:szCs w:val="24"/>
        </w:rPr>
      </w:pPr>
      <w:r w:rsidRPr="00051B39">
        <w:rPr>
          <w:rFonts w:ascii="Arial" w:eastAsia="Arial" w:hAnsi="Arial" w:cs="Arial"/>
          <w:sz w:val="24"/>
          <w:szCs w:val="24"/>
        </w:rPr>
        <w:t>Universidad Autónoma del Estado de Hidalgo, Instituto de Ciencias de la Salud, Área Académica de Nutrición, Centro de Investigación Interdisciplinario, Circuito Actopan-Tilcuautla s/n. Ex-hacienda La Concepción, 42160, San Agustín Tlaxiaca, Hidalgo, México</w:t>
      </w:r>
    </w:p>
    <w:p w:rsidR="00DF5D54" w:rsidRPr="00051B39" w:rsidRDefault="00DF5D54" w:rsidP="007F2C8D">
      <w:pPr>
        <w:spacing w:after="0" w:line="360" w:lineRule="auto"/>
        <w:ind w:firstLine="0"/>
        <w:rPr>
          <w:rFonts w:ascii="Arial" w:eastAsia="Arial" w:hAnsi="Arial" w:cs="Arial"/>
          <w:b/>
          <w:sz w:val="24"/>
          <w:szCs w:val="24"/>
        </w:rPr>
      </w:pPr>
      <w:r w:rsidRPr="00051B39">
        <w:rPr>
          <w:rFonts w:ascii="Arial" w:eastAsia="Arial" w:hAnsi="Arial" w:cs="Arial"/>
          <w:sz w:val="24"/>
          <w:szCs w:val="24"/>
        </w:rPr>
        <w:t>E-mail address: esther_ramirez@uaeh.edu.mx</w:t>
      </w:r>
    </w:p>
    <w:p w:rsidR="007F2C8D" w:rsidRPr="00051B39" w:rsidRDefault="007F2C8D" w:rsidP="00DF5D54">
      <w:pPr>
        <w:pBdr>
          <w:top w:val="nil"/>
          <w:left w:val="nil"/>
          <w:bottom w:val="nil"/>
          <w:right w:val="nil"/>
          <w:between w:val="nil"/>
        </w:pBdr>
        <w:tabs>
          <w:tab w:val="left" w:pos="284"/>
        </w:tabs>
        <w:spacing w:after="0" w:line="480" w:lineRule="auto"/>
        <w:ind w:firstLine="0"/>
        <w:rPr>
          <w:rFonts w:ascii="Arial" w:eastAsia="Arial" w:hAnsi="Arial" w:cs="Arial"/>
          <w:b/>
          <w:color w:val="000000"/>
          <w:sz w:val="24"/>
          <w:szCs w:val="24"/>
        </w:rPr>
      </w:pPr>
    </w:p>
    <w:p w:rsidR="00AD408A" w:rsidRPr="00051B39" w:rsidRDefault="00AD408A" w:rsidP="00DF5D54">
      <w:pPr>
        <w:pBdr>
          <w:top w:val="nil"/>
          <w:left w:val="nil"/>
          <w:bottom w:val="nil"/>
          <w:right w:val="nil"/>
          <w:between w:val="nil"/>
        </w:pBdr>
        <w:tabs>
          <w:tab w:val="left" w:pos="284"/>
        </w:tabs>
        <w:spacing w:after="0" w:line="480" w:lineRule="auto"/>
        <w:ind w:firstLine="0"/>
        <w:rPr>
          <w:rFonts w:ascii="Arial" w:eastAsia="Arial" w:hAnsi="Arial" w:cs="Arial"/>
          <w:b/>
          <w:color w:val="000000"/>
          <w:sz w:val="24"/>
          <w:szCs w:val="24"/>
        </w:rPr>
      </w:pPr>
    </w:p>
    <w:p w:rsidR="00DF5D54" w:rsidRPr="00051B39" w:rsidRDefault="00DF5D54" w:rsidP="00DF5D54">
      <w:pPr>
        <w:pBdr>
          <w:top w:val="nil"/>
          <w:left w:val="nil"/>
          <w:bottom w:val="nil"/>
          <w:right w:val="nil"/>
          <w:between w:val="nil"/>
        </w:pBdr>
        <w:tabs>
          <w:tab w:val="left" w:pos="284"/>
        </w:tabs>
        <w:spacing w:after="0" w:line="480" w:lineRule="auto"/>
        <w:ind w:firstLine="0"/>
        <w:rPr>
          <w:rFonts w:ascii="Arial" w:eastAsia="Arial" w:hAnsi="Arial" w:cs="Arial"/>
          <w:sz w:val="24"/>
          <w:szCs w:val="24"/>
          <w:highlight w:val="green"/>
        </w:rPr>
      </w:pPr>
      <w:r w:rsidRPr="00051B39">
        <w:rPr>
          <w:rFonts w:ascii="Arial" w:eastAsia="Arial" w:hAnsi="Arial" w:cs="Arial"/>
          <w:b/>
          <w:color w:val="000000"/>
          <w:sz w:val="24"/>
          <w:szCs w:val="24"/>
        </w:rPr>
        <w:lastRenderedPageBreak/>
        <w:t>Material and Methods</w:t>
      </w:r>
      <w:r w:rsidR="00C80CF0" w:rsidRPr="00051B39">
        <w:rPr>
          <w:rFonts w:ascii="Arial" w:eastAsia="Arial" w:hAnsi="Arial" w:cs="Arial"/>
          <w:b/>
          <w:color w:val="000000"/>
          <w:sz w:val="24"/>
          <w:szCs w:val="24"/>
        </w:rPr>
        <w:t>.</w:t>
      </w:r>
    </w:p>
    <w:p w:rsidR="005971BC" w:rsidRDefault="005971BC" w:rsidP="00DF5D54">
      <w:pPr>
        <w:spacing w:after="0" w:line="480" w:lineRule="auto"/>
        <w:ind w:firstLine="0"/>
        <w:rPr>
          <w:rFonts w:ascii="Arial" w:eastAsia="Arial" w:hAnsi="Arial" w:cs="Arial"/>
          <w:b/>
          <w:sz w:val="24"/>
          <w:szCs w:val="24"/>
        </w:rPr>
      </w:pPr>
    </w:p>
    <w:p w:rsidR="0055350A" w:rsidRDefault="00C80CF0" w:rsidP="00DF5D54">
      <w:pPr>
        <w:spacing w:after="0" w:line="480" w:lineRule="auto"/>
        <w:ind w:firstLine="0"/>
        <w:rPr>
          <w:rFonts w:ascii="Arial" w:eastAsia="Arial" w:hAnsi="Arial" w:cs="Arial"/>
          <w:sz w:val="24"/>
          <w:szCs w:val="24"/>
        </w:rPr>
      </w:pPr>
      <w:r w:rsidRPr="00051B39">
        <w:rPr>
          <w:rFonts w:ascii="Arial" w:eastAsia="Arial" w:hAnsi="Arial" w:cs="Arial"/>
          <w:b/>
          <w:sz w:val="24"/>
          <w:szCs w:val="24"/>
        </w:rPr>
        <w:t xml:space="preserve">Sample. </w:t>
      </w:r>
      <w:r w:rsidRPr="00051B39">
        <w:rPr>
          <w:rFonts w:ascii="Arial" w:eastAsia="Arial" w:hAnsi="Arial" w:cs="Arial"/>
          <w:sz w:val="24"/>
          <w:szCs w:val="24"/>
        </w:rPr>
        <w:t>Blackberries (</w:t>
      </w:r>
      <w:r w:rsidRPr="00051B39">
        <w:rPr>
          <w:rFonts w:ascii="Arial" w:eastAsia="Arial" w:hAnsi="Arial" w:cs="Arial"/>
          <w:i/>
          <w:sz w:val="24"/>
          <w:szCs w:val="24"/>
        </w:rPr>
        <w:t>Rubus fruticosus</w:t>
      </w:r>
      <w:r w:rsidRPr="00051B39">
        <w:rPr>
          <w:rFonts w:ascii="Arial" w:eastAsia="Arial" w:hAnsi="Arial" w:cs="Arial"/>
          <w:sz w:val="24"/>
          <w:szCs w:val="24"/>
        </w:rPr>
        <w:t xml:space="preserve">) cv. Tupy fruits were obtained from Atotonilco el Grande, Hidalgo, Mexico. Fruit was used to prepare the juice and the blackberry residue (BR) was obtained. This was lyophilized (7753020, LABCONCO, MO, USA), milled (IKA® A11 basic, Wilmington, USA) and sieved to obtain a particle size of 500 μm. Sample was stored in sealed plastic bags at −30°C until further analysis </w:t>
      </w:r>
      <w:r w:rsidR="00FF4BED" w:rsidRPr="00051B39">
        <w:rPr>
          <w:rFonts w:ascii="Arial" w:eastAsia="Arial" w:hAnsi="Arial" w:cs="Arial"/>
          <w:sz w:val="24"/>
          <w:szCs w:val="24"/>
        </w:rPr>
        <w:t>[1]</w:t>
      </w:r>
      <w:r w:rsidR="00C32B26" w:rsidRPr="00051B39">
        <w:rPr>
          <w:rFonts w:ascii="Arial" w:eastAsia="Arial" w:hAnsi="Arial" w:cs="Arial"/>
          <w:sz w:val="24"/>
          <w:szCs w:val="24"/>
        </w:rPr>
        <w:t>.</w:t>
      </w:r>
    </w:p>
    <w:p w:rsidR="005971BC" w:rsidRPr="00051B39" w:rsidRDefault="005971BC" w:rsidP="00DF5D54">
      <w:pPr>
        <w:spacing w:after="0" w:line="480" w:lineRule="auto"/>
        <w:ind w:firstLine="0"/>
        <w:rPr>
          <w:rFonts w:ascii="Arial" w:eastAsia="Arial" w:hAnsi="Arial" w:cs="Arial"/>
          <w:b/>
          <w:sz w:val="24"/>
          <w:szCs w:val="24"/>
        </w:rPr>
      </w:pPr>
    </w:p>
    <w:p w:rsidR="00CC4CA0" w:rsidRPr="00051B39" w:rsidRDefault="0055350A" w:rsidP="00DF5D54">
      <w:pPr>
        <w:spacing w:after="0" w:line="480" w:lineRule="auto"/>
        <w:ind w:firstLine="0"/>
        <w:rPr>
          <w:rFonts w:ascii="Arial" w:eastAsia="Arial" w:hAnsi="Arial" w:cs="Arial"/>
          <w:b/>
          <w:sz w:val="24"/>
          <w:szCs w:val="24"/>
        </w:rPr>
      </w:pPr>
      <w:r w:rsidRPr="00051B39">
        <w:rPr>
          <w:rFonts w:ascii="Arial" w:eastAsia="Arial" w:hAnsi="Arial" w:cs="Arial"/>
          <w:b/>
          <w:sz w:val="24"/>
          <w:szCs w:val="24"/>
        </w:rPr>
        <w:t xml:space="preserve">Ultrasound Treatment. </w:t>
      </w:r>
      <w:r w:rsidR="00C80CF0" w:rsidRPr="00051B39">
        <w:rPr>
          <w:rFonts w:ascii="Arial" w:eastAsia="Arial" w:hAnsi="Arial" w:cs="Arial"/>
          <w:sz w:val="24"/>
          <w:szCs w:val="24"/>
        </w:rPr>
        <w:t xml:space="preserve">A solution at 4% (w/v) of lyophilized sample with deionized water (16 g/400 mL) was prepared and treated with ultrasound (VCX-1500, USA, 1500 W and 20 kHz) using a probe of 25 mm at conditions of amplitude and time (91% by 15 min, respectively) and 2 s duration pulse on and 4 s off. Later, the sample was placed in a chamber with a jacket vessel with water circulation (≈ 4°C) to control the temperature produced by the treatment of the ultrasound </w:t>
      </w:r>
      <w:r w:rsidR="00FF4BED" w:rsidRPr="00051B39">
        <w:rPr>
          <w:rFonts w:ascii="Arial" w:eastAsia="Arial" w:hAnsi="Arial" w:cs="Arial"/>
          <w:sz w:val="24"/>
          <w:szCs w:val="24"/>
        </w:rPr>
        <w:t>[2]</w:t>
      </w:r>
      <w:r w:rsidR="00C80CF0" w:rsidRPr="00051B39">
        <w:rPr>
          <w:rFonts w:ascii="Arial" w:eastAsia="Arial" w:hAnsi="Arial" w:cs="Arial"/>
          <w:sz w:val="24"/>
          <w:szCs w:val="24"/>
        </w:rPr>
        <w:t>. Then, the sample was centrifuged (Allegra 25™, Beckman Coulter, CA, USA) at 10,000 rpm for 30 min, at 4°C and supernatant (ultrasonicated blackberry residues (US-BR)) was lyophilized and stored at -30°C until further analysis.</w:t>
      </w:r>
    </w:p>
    <w:p w:rsidR="0055350A" w:rsidRPr="00051B39" w:rsidRDefault="0055350A" w:rsidP="00DF5D54">
      <w:pPr>
        <w:spacing w:after="0" w:line="480" w:lineRule="auto"/>
        <w:ind w:firstLine="0"/>
        <w:rPr>
          <w:rFonts w:ascii="Arial" w:eastAsia="Arial" w:hAnsi="Arial" w:cs="Arial"/>
          <w:b/>
          <w:i/>
          <w:sz w:val="24"/>
          <w:szCs w:val="24"/>
        </w:rPr>
      </w:pPr>
      <w:bookmarkStart w:id="0" w:name="_GoBack"/>
      <w:bookmarkEnd w:id="0"/>
    </w:p>
    <w:p w:rsidR="00DF5D54" w:rsidRPr="00051B39" w:rsidRDefault="00DF5D54" w:rsidP="00DF5D54">
      <w:pPr>
        <w:spacing w:after="0" w:line="480" w:lineRule="auto"/>
        <w:ind w:firstLine="0"/>
        <w:rPr>
          <w:rFonts w:ascii="Arial" w:eastAsia="Arial" w:hAnsi="Arial" w:cs="Arial"/>
          <w:b/>
          <w:sz w:val="24"/>
          <w:szCs w:val="24"/>
        </w:rPr>
      </w:pPr>
      <w:r w:rsidRPr="00051B39">
        <w:rPr>
          <w:rFonts w:ascii="Arial" w:eastAsia="Arial" w:hAnsi="Arial" w:cs="Arial"/>
          <w:b/>
          <w:i/>
          <w:sz w:val="24"/>
          <w:szCs w:val="24"/>
        </w:rPr>
        <w:t>In vitro</w:t>
      </w:r>
      <w:r w:rsidRPr="00051B39">
        <w:rPr>
          <w:rFonts w:ascii="Arial" w:eastAsia="Arial" w:hAnsi="Arial" w:cs="Arial"/>
          <w:b/>
          <w:sz w:val="24"/>
          <w:szCs w:val="24"/>
        </w:rPr>
        <w:t xml:space="preserve"> Colonic Fermentation</w:t>
      </w:r>
      <w:r w:rsidR="0055350A" w:rsidRPr="00051B39">
        <w:rPr>
          <w:rFonts w:ascii="Arial" w:eastAsia="Arial" w:hAnsi="Arial" w:cs="Arial"/>
          <w:b/>
          <w:sz w:val="24"/>
          <w:szCs w:val="24"/>
        </w:rPr>
        <w:t xml:space="preserve">. </w:t>
      </w:r>
      <w:r w:rsidRPr="00051B39">
        <w:rPr>
          <w:rFonts w:ascii="Arial" w:eastAsia="Arial" w:hAnsi="Arial" w:cs="Arial"/>
          <w:sz w:val="24"/>
          <w:szCs w:val="24"/>
        </w:rPr>
        <w:t xml:space="preserve">Before </w:t>
      </w:r>
      <w:r w:rsidRPr="00051B39">
        <w:rPr>
          <w:rFonts w:ascii="Arial" w:eastAsia="Arial" w:hAnsi="Arial" w:cs="Arial"/>
          <w:i/>
          <w:sz w:val="24"/>
          <w:szCs w:val="24"/>
        </w:rPr>
        <w:t>in vitro</w:t>
      </w:r>
      <w:r w:rsidRPr="00051B39">
        <w:rPr>
          <w:rFonts w:ascii="Arial" w:eastAsia="Arial" w:hAnsi="Arial" w:cs="Arial"/>
          <w:sz w:val="24"/>
          <w:szCs w:val="24"/>
        </w:rPr>
        <w:t xml:space="preserve"> colonic fermentation, </w:t>
      </w:r>
      <w:r w:rsidRPr="00051B39">
        <w:rPr>
          <w:rFonts w:ascii="Arial" w:eastAsia="Arial" w:hAnsi="Arial" w:cs="Arial"/>
          <w:i/>
          <w:sz w:val="24"/>
          <w:szCs w:val="24"/>
        </w:rPr>
        <w:t>in vitro</w:t>
      </w:r>
      <w:r w:rsidRPr="00051B39">
        <w:rPr>
          <w:rFonts w:ascii="Arial" w:eastAsia="Arial" w:hAnsi="Arial" w:cs="Arial"/>
          <w:sz w:val="24"/>
          <w:szCs w:val="24"/>
        </w:rPr>
        <w:t xml:space="preserve"> bioaccessibility was performed </w:t>
      </w:r>
      <w:r w:rsidR="004D3D16" w:rsidRPr="00051B39">
        <w:rPr>
          <w:rFonts w:ascii="Arial" w:eastAsia="Arial" w:hAnsi="Arial" w:cs="Arial"/>
          <w:sz w:val="24"/>
          <w:szCs w:val="24"/>
        </w:rPr>
        <w:t>[3</w:t>
      </w:r>
      <w:r w:rsidR="00C32B26" w:rsidRPr="00051B39">
        <w:rPr>
          <w:rFonts w:ascii="Arial" w:eastAsia="Arial" w:hAnsi="Arial" w:cs="Arial"/>
          <w:sz w:val="24"/>
          <w:szCs w:val="24"/>
        </w:rPr>
        <w:t>]</w:t>
      </w:r>
      <w:r w:rsidRPr="00051B39">
        <w:rPr>
          <w:rFonts w:ascii="Arial" w:eastAsia="Arial" w:hAnsi="Arial" w:cs="Arial"/>
          <w:sz w:val="24"/>
          <w:szCs w:val="24"/>
        </w:rPr>
        <w:t xml:space="preserve"> to take the non-bioaccessible fraction. This was lyophilized and used for </w:t>
      </w:r>
      <w:r w:rsidRPr="00051B39">
        <w:rPr>
          <w:rFonts w:ascii="Arial" w:eastAsia="Arial" w:hAnsi="Arial" w:cs="Arial"/>
          <w:i/>
          <w:sz w:val="24"/>
          <w:szCs w:val="24"/>
        </w:rPr>
        <w:t>in vitro</w:t>
      </w:r>
      <w:r w:rsidRPr="00051B39">
        <w:rPr>
          <w:rFonts w:ascii="Arial" w:eastAsia="Arial" w:hAnsi="Arial" w:cs="Arial"/>
          <w:sz w:val="24"/>
          <w:szCs w:val="24"/>
        </w:rPr>
        <w:t xml:space="preserve"> colonic fermentation methodology, which was developed by means in a</w:t>
      </w:r>
      <w:r w:rsidRPr="00051B39">
        <w:rPr>
          <w:rFonts w:ascii="Arial" w:eastAsia="Arial" w:hAnsi="Arial" w:cs="Arial"/>
          <w:color w:val="222222"/>
          <w:sz w:val="24"/>
          <w:szCs w:val="24"/>
        </w:rPr>
        <w:t xml:space="preserve"> batch culture system und</w:t>
      </w:r>
      <w:r w:rsidRPr="00051B39">
        <w:rPr>
          <w:rFonts w:ascii="Arial" w:eastAsia="Arial" w:hAnsi="Arial" w:cs="Arial"/>
          <w:sz w:val="24"/>
          <w:szCs w:val="24"/>
        </w:rPr>
        <w:t xml:space="preserve">er strict anaerobic conditions (using carbon dioxide) for 24 h. </w:t>
      </w:r>
      <w:r w:rsidRPr="00051B39">
        <w:rPr>
          <w:rFonts w:ascii="Arial" w:eastAsia="Arial" w:hAnsi="Arial" w:cs="Arial"/>
          <w:i/>
          <w:sz w:val="24"/>
          <w:szCs w:val="24"/>
        </w:rPr>
        <w:t>In vitro</w:t>
      </w:r>
      <w:r w:rsidRPr="00051B39">
        <w:rPr>
          <w:rFonts w:ascii="Arial" w:eastAsia="Arial" w:hAnsi="Arial" w:cs="Arial"/>
          <w:sz w:val="24"/>
          <w:szCs w:val="24"/>
        </w:rPr>
        <w:t xml:space="preserve"> fermentation method was described by Barry </w:t>
      </w:r>
      <w:r w:rsidRPr="00051B39">
        <w:rPr>
          <w:rFonts w:ascii="Arial" w:eastAsia="Arial" w:hAnsi="Arial" w:cs="Arial"/>
          <w:sz w:val="24"/>
          <w:szCs w:val="24"/>
        </w:rPr>
        <w:lastRenderedPageBreak/>
        <w:t xml:space="preserve">et al. </w:t>
      </w:r>
      <w:r w:rsidR="00FB5A97" w:rsidRPr="00051B39">
        <w:rPr>
          <w:rFonts w:ascii="Arial" w:eastAsia="Arial" w:hAnsi="Arial" w:cs="Arial"/>
          <w:sz w:val="24"/>
          <w:szCs w:val="24"/>
        </w:rPr>
        <w:t>[4]</w:t>
      </w:r>
      <w:r w:rsidRPr="00051B39">
        <w:rPr>
          <w:rFonts w:ascii="Arial" w:eastAsia="Arial" w:hAnsi="Arial" w:cs="Arial"/>
          <w:sz w:val="24"/>
          <w:szCs w:val="24"/>
        </w:rPr>
        <w:t xml:space="preserve"> and standardized by Goñi and Martin-Carrón </w:t>
      </w:r>
      <w:r w:rsidR="00206CB4" w:rsidRPr="00051B39">
        <w:rPr>
          <w:rFonts w:ascii="Arial" w:eastAsia="Arial" w:hAnsi="Arial" w:cs="Arial"/>
          <w:sz w:val="24"/>
          <w:szCs w:val="24"/>
        </w:rPr>
        <w:t>[5]</w:t>
      </w:r>
      <w:r w:rsidRPr="00051B39">
        <w:rPr>
          <w:rFonts w:ascii="Arial" w:eastAsia="Arial" w:hAnsi="Arial" w:cs="Arial"/>
          <w:sz w:val="24"/>
          <w:szCs w:val="24"/>
        </w:rPr>
        <w:t xml:space="preserve">, with minor modifications. Male Wistar rats with mean weight of 200 ± 5 g fed with standard maintenance diet were supplied by the Bioterio at Institute of Health Sciences (Autonomous University of Hidalgo State, Mexico). The inoculum was obtained from the cecum of rats, the cecal content was weighed and added to a flask containing sterile anaerobic medium (1:10 w/v). This was mixed and filtered before use. The anaerobic medium contained trypticase, micromineral solution, buffer, macromineral and resazurin (as anaerobic redox indicator) </w:t>
      </w:r>
      <w:r w:rsidR="00A14961" w:rsidRPr="00051B39">
        <w:rPr>
          <w:rFonts w:ascii="Arial" w:eastAsia="Arial" w:hAnsi="Arial" w:cs="Arial"/>
          <w:sz w:val="24"/>
          <w:szCs w:val="24"/>
        </w:rPr>
        <w:t>[6]</w:t>
      </w:r>
      <w:r w:rsidR="00C32B26" w:rsidRPr="00051B39">
        <w:rPr>
          <w:rFonts w:ascii="Arial" w:eastAsia="Arial" w:hAnsi="Arial" w:cs="Arial"/>
          <w:sz w:val="24"/>
          <w:szCs w:val="24"/>
        </w:rPr>
        <w:t>.</w:t>
      </w:r>
      <w:r w:rsidRPr="00051B39">
        <w:rPr>
          <w:rFonts w:ascii="Arial" w:eastAsia="Arial" w:hAnsi="Arial" w:cs="Arial"/>
          <w:sz w:val="24"/>
          <w:szCs w:val="24"/>
        </w:rPr>
        <w:t xml:space="preserve"> The anaerobic medium (16 mL) was added to the 50 mL Erlenmeyer flask that contained 100 mg of non-bioaccessible fraction; it was left for 16 hr at 4°C. After, 2 mL of inoculum was added t</w:t>
      </w:r>
      <w:r w:rsidR="0055350A" w:rsidRPr="00051B39">
        <w:rPr>
          <w:rFonts w:ascii="Arial" w:eastAsia="Arial" w:hAnsi="Arial" w:cs="Arial"/>
          <w:sz w:val="24"/>
          <w:szCs w:val="24"/>
        </w:rPr>
        <w:t>o the Erlenmeyer flask and then</w:t>
      </w:r>
      <w:r w:rsidRPr="00051B39">
        <w:rPr>
          <w:rFonts w:ascii="Arial" w:eastAsia="Arial" w:hAnsi="Arial" w:cs="Arial"/>
          <w:sz w:val="24"/>
          <w:szCs w:val="24"/>
        </w:rPr>
        <w:t xml:space="preserve"> incubated in a water bath with shaking (Labtech LSB-015S, Korea) at 37°C for 24 hr and 60 rpm i</w:t>
      </w:r>
      <w:r w:rsidR="0055350A" w:rsidRPr="00051B39">
        <w:rPr>
          <w:rFonts w:ascii="Arial" w:eastAsia="Arial" w:hAnsi="Arial" w:cs="Arial"/>
          <w:sz w:val="24"/>
          <w:szCs w:val="24"/>
        </w:rPr>
        <w:t xml:space="preserve">n anaerobic conditions. The pH </w:t>
      </w:r>
      <w:r w:rsidRPr="00051B39">
        <w:rPr>
          <w:rFonts w:ascii="Arial" w:eastAsia="Arial" w:hAnsi="Arial" w:cs="Arial"/>
          <w:sz w:val="24"/>
          <w:szCs w:val="24"/>
        </w:rPr>
        <w:t>(210, Hanna Instruments, USA) and lactic acid bacteria (LAB) were measured before and after incubation. Two controls containing lactulose (L-7877 Sigma-Aldrich, USA</w:t>
      </w:r>
      <w:r w:rsidR="00B14827" w:rsidRPr="00051B39">
        <w:rPr>
          <w:rFonts w:ascii="Arial" w:eastAsia="Arial" w:hAnsi="Arial" w:cs="Arial"/>
          <w:sz w:val="24"/>
          <w:szCs w:val="24"/>
        </w:rPr>
        <w:t xml:space="preserve">) and other without </w:t>
      </w:r>
      <w:r w:rsidRPr="00051B39">
        <w:rPr>
          <w:rFonts w:ascii="Arial" w:eastAsia="Arial" w:hAnsi="Arial" w:cs="Arial"/>
          <w:sz w:val="24"/>
          <w:szCs w:val="24"/>
        </w:rPr>
        <w:t>substrate, were included as completely fermentable and zero fermentable substrate, respectively. At the end of time, the fermentation was stopped with NaOH (1 M). Samples were centrifuged (Allegra 25, Beckman Coulter, USA) at 10,000 rpm by 10 min at 25°C, the supernatants and residue wer</w:t>
      </w:r>
      <w:r w:rsidR="00B14827" w:rsidRPr="00051B39">
        <w:rPr>
          <w:rFonts w:ascii="Arial" w:eastAsia="Arial" w:hAnsi="Arial" w:cs="Arial"/>
          <w:sz w:val="24"/>
          <w:szCs w:val="24"/>
        </w:rPr>
        <w:t>e collected and stored at -30°C</w:t>
      </w:r>
      <w:r w:rsidRPr="00051B39">
        <w:rPr>
          <w:rFonts w:ascii="Arial" w:eastAsia="Arial" w:hAnsi="Arial" w:cs="Arial"/>
          <w:sz w:val="24"/>
          <w:szCs w:val="24"/>
        </w:rPr>
        <w:t xml:space="preserve"> for further analysis.</w:t>
      </w:r>
      <w:r w:rsidRPr="00051B39">
        <w:rPr>
          <w:rFonts w:ascii="Arial" w:eastAsia="Arial" w:hAnsi="Arial" w:cs="Arial"/>
          <w:color w:val="FF0000"/>
          <w:sz w:val="24"/>
          <w:szCs w:val="24"/>
        </w:rPr>
        <w:t xml:space="preserve"> </w:t>
      </w:r>
      <w:r w:rsidRPr="00051B39">
        <w:rPr>
          <w:rFonts w:ascii="Arial" w:eastAsia="Arial" w:hAnsi="Arial" w:cs="Arial"/>
          <w:sz w:val="24"/>
          <w:szCs w:val="24"/>
        </w:rPr>
        <w:t xml:space="preserve">The supernatants were divided for the assays of short chain fatty acids (SCFA) and flavonoids, while the residue was used for determination of non-fermentable residue and disappeared organic matter. </w:t>
      </w:r>
    </w:p>
    <w:p w:rsidR="00CC4CA0" w:rsidRPr="00051B39" w:rsidRDefault="00CC4CA0" w:rsidP="00DF5D54">
      <w:pPr>
        <w:spacing w:after="0" w:line="480" w:lineRule="auto"/>
        <w:ind w:firstLine="0"/>
        <w:rPr>
          <w:rFonts w:ascii="Arial" w:eastAsia="Arial" w:hAnsi="Arial" w:cs="Arial"/>
          <w:b/>
          <w:sz w:val="24"/>
          <w:szCs w:val="24"/>
        </w:rPr>
      </w:pPr>
    </w:p>
    <w:p w:rsidR="00DF5D54" w:rsidRPr="00051B39" w:rsidRDefault="00DF5D54" w:rsidP="00DF5D54">
      <w:pPr>
        <w:spacing w:after="0" w:line="480" w:lineRule="auto"/>
        <w:ind w:firstLine="0"/>
        <w:rPr>
          <w:rFonts w:ascii="Arial" w:eastAsia="Arial" w:hAnsi="Arial" w:cs="Arial"/>
          <w:b/>
          <w:sz w:val="24"/>
          <w:szCs w:val="24"/>
        </w:rPr>
      </w:pPr>
      <w:r w:rsidRPr="00051B39">
        <w:rPr>
          <w:rFonts w:ascii="Arial" w:eastAsia="Arial" w:hAnsi="Arial" w:cs="Arial"/>
          <w:b/>
          <w:sz w:val="24"/>
          <w:szCs w:val="24"/>
        </w:rPr>
        <w:lastRenderedPageBreak/>
        <w:t>Non Fermented Residue (NFR)</w:t>
      </w:r>
      <w:r w:rsidR="0055350A" w:rsidRPr="00051B39">
        <w:rPr>
          <w:rFonts w:ascii="Arial" w:eastAsia="Arial" w:hAnsi="Arial" w:cs="Arial"/>
          <w:b/>
          <w:sz w:val="24"/>
          <w:szCs w:val="24"/>
        </w:rPr>
        <w:t xml:space="preserve">. </w:t>
      </w:r>
      <w:r w:rsidRPr="00051B39">
        <w:rPr>
          <w:rFonts w:ascii="Arial" w:eastAsia="Arial" w:hAnsi="Arial" w:cs="Arial"/>
          <w:sz w:val="24"/>
          <w:szCs w:val="24"/>
        </w:rPr>
        <w:t xml:space="preserve">According to Goñi </w:t>
      </w:r>
      <w:r w:rsidR="00C32B26" w:rsidRPr="00051B39">
        <w:rPr>
          <w:rFonts w:ascii="Arial" w:eastAsia="Arial" w:hAnsi="Arial" w:cs="Arial"/>
          <w:sz w:val="24"/>
          <w:szCs w:val="24"/>
        </w:rPr>
        <w:t>and</w:t>
      </w:r>
      <w:r w:rsidRPr="00051B39">
        <w:rPr>
          <w:rFonts w:ascii="Arial" w:eastAsia="Arial" w:hAnsi="Arial" w:cs="Arial"/>
          <w:sz w:val="24"/>
          <w:szCs w:val="24"/>
        </w:rPr>
        <w:t xml:space="preserve"> Martin-Carrón </w:t>
      </w:r>
      <w:r w:rsidR="00BF0723" w:rsidRPr="00051B39">
        <w:rPr>
          <w:rFonts w:ascii="Arial" w:eastAsia="Arial" w:hAnsi="Arial" w:cs="Arial"/>
          <w:sz w:val="24"/>
          <w:szCs w:val="24"/>
        </w:rPr>
        <w:t>[5]</w:t>
      </w:r>
      <w:r w:rsidRPr="00051B39">
        <w:rPr>
          <w:rFonts w:ascii="Arial" w:eastAsia="Arial" w:hAnsi="Arial" w:cs="Arial"/>
          <w:sz w:val="24"/>
          <w:szCs w:val="24"/>
        </w:rPr>
        <w:t>, the non-fermentable residue (NFR) is the fraction that is not used by the microbiota intestinal and that is excreted, this was calculated as follow:</w:t>
      </w:r>
    </w:p>
    <w:p w:rsidR="00DF5D54" w:rsidRPr="00051B39" w:rsidRDefault="00DF5D54" w:rsidP="00DF5D54">
      <w:pPr>
        <w:spacing w:after="0" w:line="480" w:lineRule="auto"/>
        <w:ind w:firstLine="0"/>
        <w:jc w:val="center"/>
        <w:rPr>
          <w:rFonts w:ascii="Arial" w:eastAsia="Arial" w:hAnsi="Arial" w:cs="Arial"/>
          <w:sz w:val="24"/>
          <w:szCs w:val="24"/>
        </w:rPr>
      </w:pPr>
      <w:r w:rsidRPr="00051B39">
        <w:rPr>
          <w:rFonts w:ascii="Arial" w:eastAsia="Arial" w:hAnsi="Arial" w:cs="Arial"/>
          <w:sz w:val="24"/>
          <w:szCs w:val="24"/>
        </w:rPr>
        <w:t>NFR (mg) = Sample residue weight - blank no substrate residue weight</w:t>
      </w:r>
    </w:p>
    <w:p w:rsidR="00CC4CA0" w:rsidRPr="00051B39" w:rsidRDefault="00CC4CA0" w:rsidP="00DF5D54">
      <w:pPr>
        <w:spacing w:after="0" w:line="480" w:lineRule="auto"/>
        <w:ind w:firstLine="0"/>
        <w:rPr>
          <w:rFonts w:ascii="Arial" w:eastAsia="Arial" w:hAnsi="Arial" w:cs="Arial"/>
          <w:b/>
          <w:sz w:val="24"/>
          <w:szCs w:val="24"/>
        </w:rPr>
      </w:pPr>
    </w:p>
    <w:p w:rsidR="00DF5D54" w:rsidRPr="00051B39" w:rsidRDefault="00DF5D54" w:rsidP="00DF5D54">
      <w:pPr>
        <w:spacing w:after="0" w:line="480" w:lineRule="auto"/>
        <w:ind w:firstLine="0"/>
        <w:rPr>
          <w:rFonts w:ascii="Arial" w:eastAsia="Arial" w:hAnsi="Arial" w:cs="Arial"/>
          <w:b/>
          <w:sz w:val="24"/>
          <w:szCs w:val="24"/>
        </w:rPr>
      </w:pPr>
      <w:r w:rsidRPr="00051B39">
        <w:rPr>
          <w:rFonts w:ascii="Arial" w:eastAsia="Arial" w:hAnsi="Arial" w:cs="Arial"/>
          <w:b/>
          <w:sz w:val="24"/>
          <w:szCs w:val="24"/>
        </w:rPr>
        <w:t>Determination of Disappeared Organic Matter (DOM)</w:t>
      </w:r>
      <w:r w:rsidR="0055350A" w:rsidRPr="00051B39">
        <w:rPr>
          <w:rFonts w:ascii="Arial" w:eastAsia="Arial" w:hAnsi="Arial" w:cs="Arial"/>
          <w:b/>
          <w:sz w:val="24"/>
          <w:szCs w:val="24"/>
        </w:rPr>
        <w:t xml:space="preserve">. </w:t>
      </w:r>
      <w:r w:rsidRPr="00051B39">
        <w:rPr>
          <w:rFonts w:ascii="Arial" w:eastAsia="Arial" w:hAnsi="Arial" w:cs="Arial"/>
          <w:sz w:val="24"/>
          <w:szCs w:val="24"/>
        </w:rPr>
        <w:t xml:space="preserve">The disappeared organic matter is the prediction of the production of final metabolites </w:t>
      </w:r>
      <w:r w:rsidR="00BF0723" w:rsidRPr="00051B39">
        <w:rPr>
          <w:rFonts w:ascii="Arial" w:eastAsia="Arial" w:hAnsi="Arial" w:cs="Arial"/>
          <w:sz w:val="24"/>
          <w:szCs w:val="24"/>
        </w:rPr>
        <w:t xml:space="preserve">[5] </w:t>
      </w:r>
      <w:r w:rsidRPr="00051B39">
        <w:rPr>
          <w:rFonts w:ascii="Arial" w:eastAsia="Arial" w:hAnsi="Arial" w:cs="Arial"/>
          <w:sz w:val="24"/>
          <w:szCs w:val="24"/>
        </w:rPr>
        <w:t xml:space="preserve">and was calculated according to </w:t>
      </w:r>
      <w:r w:rsidR="00940C8D" w:rsidRPr="00051B39">
        <w:rPr>
          <w:rFonts w:ascii="Arial" w:eastAsia="Arial" w:hAnsi="Arial" w:cs="Arial"/>
          <w:color w:val="222222"/>
          <w:sz w:val="24"/>
          <w:szCs w:val="24"/>
        </w:rPr>
        <w:t>Goñi</w:t>
      </w:r>
      <w:r w:rsidR="0063401A" w:rsidRPr="00051B39">
        <w:rPr>
          <w:rFonts w:ascii="Arial" w:eastAsia="Arial" w:hAnsi="Arial" w:cs="Arial"/>
          <w:color w:val="222222"/>
          <w:sz w:val="24"/>
          <w:szCs w:val="24"/>
        </w:rPr>
        <w:t xml:space="preserve"> et al.</w:t>
      </w:r>
      <w:r w:rsidR="0063401A" w:rsidRPr="00051B39">
        <w:rPr>
          <w:rFonts w:ascii="Arial" w:eastAsia="Arial" w:hAnsi="Arial" w:cs="Arial"/>
          <w:sz w:val="24"/>
          <w:szCs w:val="24"/>
        </w:rPr>
        <w:t xml:space="preserve"> </w:t>
      </w:r>
      <w:r w:rsidR="00C048C5" w:rsidRPr="00051B39">
        <w:rPr>
          <w:rFonts w:ascii="Arial" w:eastAsia="Arial" w:hAnsi="Arial" w:cs="Arial"/>
          <w:sz w:val="24"/>
          <w:szCs w:val="24"/>
        </w:rPr>
        <w:t xml:space="preserve">[7] </w:t>
      </w:r>
      <w:r w:rsidRPr="00051B39">
        <w:rPr>
          <w:rFonts w:ascii="Arial" w:eastAsia="Arial" w:hAnsi="Arial" w:cs="Arial"/>
          <w:sz w:val="24"/>
          <w:szCs w:val="24"/>
        </w:rPr>
        <w:t>as follow and expressed as percentage (%):</w:t>
      </w:r>
    </w:p>
    <w:p w:rsidR="00DF5D54" w:rsidRPr="00051B39" w:rsidRDefault="00DF5D54" w:rsidP="00DF5D54">
      <w:pPr>
        <w:spacing w:after="0" w:line="480" w:lineRule="auto"/>
        <w:ind w:firstLine="0"/>
        <w:jc w:val="center"/>
        <w:rPr>
          <w:rFonts w:ascii="Arial" w:eastAsia="Arial" w:hAnsi="Arial" w:cs="Arial"/>
          <w:sz w:val="24"/>
          <w:szCs w:val="24"/>
        </w:rPr>
      </w:pPr>
      <w:r w:rsidRPr="00051B39">
        <w:rPr>
          <w:rFonts w:ascii="Arial" w:eastAsia="Arial" w:hAnsi="Arial" w:cs="Arial"/>
          <w:sz w:val="24"/>
          <w:szCs w:val="24"/>
        </w:rPr>
        <w:t xml:space="preserve">DOM (%) = ((mg of substrate – mg </w:t>
      </w:r>
      <w:proofErr w:type="gramStart"/>
      <w:r w:rsidRPr="00051B39">
        <w:rPr>
          <w:rFonts w:ascii="Arial" w:eastAsia="Arial" w:hAnsi="Arial" w:cs="Arial"/>
          <w:sz w:val="24"/>
          <w:szCs w:val="24"/>
        </w:rPr>
        <w:t>NFR)/</w:t>
      </w:r>
      <w:proofErr w:type="gramEnd"/>
      <w:r w:rsidRPr="00051B39">
        <w:rPr>
          <w:rFonts w:ascii="Arial" w:eastAsia="Arial" w:hAnsi="Arial" w:cs="Arial"/>
          <w:sz w:val="24"/>
          <w:szCs w:val="24"/>
        </w:rPr>
        <w:t>mg substrate)*100</w:t>
      </w:r>
    </w:p>
    <w:p w:rsidR="00DF5D54" w:rsidRPr="00051B39" w:rsidRDefault="00DF5D54" w:rsidP="00DF5D54">
      <w:pPr>
        <w:spacing w:after="0" w:line="480" w:lineRule="auto"/>
        <w:ind w:firstLine="0"/>
        <w:jc w:val="left"/>
        <w:rPr>
          <w:rFonts w:ascii="Arial" w:eastAsia="Arial" w:hAnsi="Arial" w:cs="Arial"/>
          <w:sz w:val="24"/>
          <w:szCs w:val="24"/>
        </w:rPr>
      </w:pPr>
      <w:r w:rsidRPr="00051B39">
        <w:rPr>
          <w:rFonts w:ascii="Arial" w:eastAsia="Arial" w:hAnsi="Arial" w:cs="Arial"/>
          <w:sz w:val="24"/>
          <w:szCs w:val="24"/>
        </w:rPr>
        <w:t>where:</w:t>
      </w:r>
    </w:p>
    <w:p w:rsidR="00DF5D54" w:rsidRPr="00051B39" w:rsidRDefault="00DF5D54" w:rsidP="00DF5D54">
      <w:pPr>
        <w:spacing w:after="0" w:line="480" w:lineRule="auto"/>
        <w:ind w:firstLine="0"/>
        <w:rPr>
          <w:rFonts w:ascii="Arial" w:eastAsia="Arial" w:hAnsi="Arial" w:cs="Arial"/>
          <w:sz w:val="24"/>
          <w:szCs w:val="24"/>
        </w:rPr>
      </w:pPr>
      <w:r w:rsidRPr="00051B39">
        <w:rPr>
          <w:rFonts w:ascii="Arial" w:eastAsia="Arial" w:hAnsi="Arial" w:cs="Arial"/>
          <w:sz w:val="24"/>
          <w:szCs w:val="24"/>
        </w:rPr>
        <w:t>substrate = Initial dry substrate weight</w:t>
      </w:r>
    </w:p>
    <w:p w:rsidR="00DF5D54" w:rsidRPr="00051B39" w:rsidRDefault="00DF5D54" w:rsidP="00DF5D54">
      <w:pPr>
        <w:spacing w:after="0" w:line="480" w:lineRule="auto"/>
        <w:ind w:firstLine="0"/>
        <w:rPr>
          <w:rFonts w:ascii="Arial" w:eastAsia="Arial" w:hAnsi="Arial" w:cs="Arial"/>
          <w:color w:val="FF0000"/>
          <w:sz w:val="24"/>
          <w:szCs w:val="24"/>
        </w:rPr>
      </w:pPr>
      <w:r w:rsidRPr="00051B39">
        <w:rPr>
          <w:rFonts w:ascii="Arial" w:eastAsia="Arial" w:hAnsi="Arial" w:cs="Arial"/>
          <w:sz w:val="24"/>
          <w:szCs w:val="24"/>
        </w:rPr>
        <w:t>NFR = Non fermented dry substrate weight</w:t>
      </w:r>
    </w:p>
    <w:p w:rsidR="00CC4CA0" w:rsidRPr="00051B39" w:rsidRDefault="00CC4CA0" w:rsidP="00DF5D54">
      <w:pPr>
        <w:spacing w:after="0" w:line="480" w:lineRule="auto"/>
        <w:ind w:firstLine="0"/>
        <w:rPr>
          <w:rFonts w:ascii="Arial" w:eastAsia="Arial" w:hAnsi="Arial" w:cs="Arial"/>
          <w:b/>
          <w:sz w:val="24"/>
          <w:szCs w:val="24"/>
        </w:rPr>
      </w:pPr>
    </w:p>
    <w:p w:rsidR="00CC4CA0" w:rsidRPr="00051B39" w:rsidRDefault="00DF5D54" w:rsidP="00DF5D54">
      <w:pPr>
        <w:spacing w:after="0" w:line="480" w:lineRule="auto"/>
        <w:ind w:firstLine="0"/>
        <w:rPr>
          <w:rFonts w:ascii="Arial" w:eastAsia="Arial" w:hAnsi="Arial" w:cs="Arial"/>
          <w:b/>
          <w:sz w:val="24"/>
          <w:szCs w:val="24"/>
        </w:rPr>
      </w:pPr>
      <w:r w:rsidRPr="00051B39">
        <w:rPr>
          <w:rFonts w:ascii="Arial" w:eastAsia="Arial" w:hAnsi="Arial" w:cs="Arial"/>
          <w:b/>
          <w:sz w:val="24"/>
          <w:szCs w:val="24"/>
        </w:rPr>
        <w:t>pH and Lactic Acid Bacteria (LAB)</w:t>
      </w:r>
      <w:r w:rsidR="0055350A" w:rsidRPr="00051B39">
        <w:rPr>
          <w:rFonts w:ascii="Arial" w:eastAsia="Arial" w:hAnsi="Arial" w:cs="Arial"/>
          <w:b/>
          <w:sz w:val="24"/>
          <w:szCs w:val="24"/>
        </w:rPr>
        <w:t xml:space="preserve">. </w:t>
      </w:r>
      <w:r w:rsidRPr="00051B39">
        <w:rPr>
          <w:rFonts w:ascii="Arial" w:eastAsia="Arial" w:hAnsi="Arial" w:cs="Arial"/>
          <w:sz w:val="24"/>
          <w:szCs w:val="24"/>
        </w:rPr>
        <w:t xml:space="preserve">The pH was measured using a potentiometer (model pH 210, Hanna instruments, Microprocessor pH-meter, USA). Lactic acid bacteria (LAB) were counted at time 0 and 24 h after </w:t>
      </w:r>
      <w:r w:rsidRPr="00051B39">
        <w:rPr>
          <w:rFonts w:ascii="Arial" w:eastAsia="Arial" w:hAnsi="Arial" w:cs="Arial"/>
          <w:i/>
          <w:sz w:val="24"/>
          <w:szCs w:val="24"/>
        </w:rPr>
        <w:t>in vitro</w:t>
      </w:r>
      <w:r w:rsidRPr="00051B39">
        <w:rPr>
          <w:rFonts w:ascii="Arial" w:eastAsia="Arial" w:hAnsi="Arial" w:cs="Arial"/>
          <w:sz w:val="24"/>
          <w:szCs w:val="24"/>
        </w:rPr>
        <w:t xml:space="preserve"> colonic fermentation. Serial dilutions were performed in peptone water solution. 100 μL of samples were taken and diluted in 900 μL of peptone water (DIBICO, Mexico) previously sterilized (Wacs-1080, Wise Key, USA). 20 μL of each dilution was taken and the seeding was carried out by extension on a plate on Man, Rogosa and Sharpe (MRS) agar (DIBICO, Mexico) and was incubated at 37ºC for 24 h. The results were expressed as log colony forming units per milliliter (log CFU/mL) </w:t>
      </w:r>
      <w:r w:rsidR="00C048C5" w:rsidRPr="00051B39">
        <w:rPr>
          <w:rFonts w:ascii="Arial" w:eastAsia="Arial" w:hAnsi="Arial" w:cs="Arial"/>
          <w:sz w:val="24"/>
          <w:szCs w:val="24"/>
        </w:rPr>
        <w:t>[8]</w:t>
      </w:r>
      <w:r w:rsidR="00144E52" w:rsidRPr="00051B39">
        <w:rPr>
          <w:rFonts w:ascii="Arial" w:eastAsia="Arial" w:hAnsi="Arial" w:cs="Arial"/>
          <w:sz w:val="24"/>
          <w:szCs w:val="24"/>
        </w:rPr>
        <w:t>.</w:t>
      </w:r>
    </w:p>
    <w:p w:rsidR="00144E52" w:rsidRPr="00051B39" w:rsidRDefault="00144E52" w:rsidP="00DF5D54">
      <w:pPr>
        <w:spacing w:after="0" w:line="480" w:lineRule="auto"/>
        <w:ind w:firstLine="0"/>
        <w:rPr>
          <w:rFonts w:ascii="Arial" w:eastAsia="Arial" w:hAnsi="Arial" w:cs="Arial"/>
          <w:b/>
          <w:sz w:val="24"/>
          <w:szCs w:val="24"/>
        </w:rPr>
      </w:pPr>
    </w:p>
    <w:p w:rsidR="00DF5D54" w:rsidRPr="00051B39" w:rsidRDefault="00DF5D54" w:rsidP="00DF5D54">
      <w:pPr>
        <w:spacing w:after="0" w:line="480" w:lineRule="auto"/>
        <w:ind w:firstLine="0"/>
        <w:rPr>
          <w:rFonts w:ascii="Arial" w:eastAsia="Arial" w:hAnsi="Arial" w:cs="Arial"/>
          <w:b/>
          <w:sz w:val="24"/>
          <w:szCs w:val="24"/>
        </w:rPr>
      </w:pPr>
      <w:r w:rsidRPr="00051B39">
        <w:rPr>
          <w:rFonts w:ascii="Arial" w:eastAsia="Arial" w:hAnsi="Arial" w:cs="Arial"/>
          <w:b/>
          <w:sz w:val="24"/>
          <w:szCs w:val="24"/>
        </w:rPr>
        <w:lastRenderedPageBreak/>
        <w:t>Short Ch</w:t>
      </w:r>
      <w:r w:rsidR="0055350A" w:rsidRPr="00051B39">
        <w:rPr>
          <w:rFonts w:ascii="Arial" w:eastAsia="Arial" w:hAnsi="Arial" w:cs="Arial"/>
          <w:b/>
          <w:sz w:val="24"/>
          <w:szCs w:val="24"/>
        </w:rPr>
        <w:t xml:space="preserve">ain Fatty Acids (SCFA) Analysis. </w:t>
      </w:r>
      <w:r w:rsidRPr="00051B39">
        <w:rPr>
          <w:rFonts w:ascii="Arial" w:eastAsia="Arial" w:hAnsi="Arial" w:cs="Arial"/>
          <w:sz w:val="24"/>
          <w:szCs w:val="24"/>
        </w:rPr>
        <w:t>The method of Goñi and Martín-Carrón</w:t>
      </w:r>
      <w:r w:rsidR="00144E52" w:rsidRPr="00051B39">
        <w:rPr>
          <w:rFonts w:ascii="Arial" w:eastAsia="Arial" w:hAnsi="Arial" w:cs="Arial"/>
          <w:sz w:val="24"/>
          <w:szCs w:val="24"/>
        </w:rPr>
        <w:t xml:space="preserve"> </w:t>
      </w:r>
      <w:r w:rsidR="00BF0723" w:rsidRPr="00051B39">
        <w:rPr>
          <w:rFonts w:ascii="Arial" w:eastAsia="Arial" w:hAnsi="Arial" w:cs="Arial"/>
          <w:sz w:val="24"/>
          <w:szCs w:val="24"/>
        </w:rPr>
        <w:t>[5]</w:t>
      </w:r>
      <w:r w:rsidRPr="00051B39">
        <w:rPr>
          <w:rFonts w:ascii="Arial" w:eastAsia="Arial" w:hAnsi="Arial" w:cs="Arial"/>
          <w:sz w:val="24"/>
          <w:szCs w:val="24"/>
        </w:rPr>
        <w:t xml:space="preserve"> for the short chain fatty acids (SCFA) with some modifications was used.</w:t>
      </w:r>
      <w:r w:rsidRPr="00051B39">
        <w:rPr>
          <w:rFonts w:ascii="Arial" w:eastAsia="Arial" w:hAnsi="Arial" w:cs="Arial"/>
          <w:color w:val="FF0000"/>
          <w:sz w:val="24"/>
          <w:szCs w:val="24"/>
        </w:rPr>
        <w:t xml:space="preserve"> </w:t>
      </w:r>
      <w:r w:rsidRPr="00051B39">
        <w:rPr>
          <w:rFonts w:ascii="Arial" w:eastAsia="Arial" w:hAnsi="Arial" w:cs="Arial"/>
          <w:sz w:val="24"/>
          <w:szCs w:val="24"/>
        </w:rPr>
        <w:t>400 μL of aliquot of supernatant from the fermentation samples plus 50 μL of internal standard</w:t>
      </w:r>
      <w:r w:rsidRPr="00051B39">
        <w:rPr>
          <w:rFonts w:ascii="Arial" w:eastAsia="Arial" w:hAnsi="Arial" w:cs="Arial"/>
          <w:color w:val="FF0000"/>
          <w:sz w:val="24"/>
          <w:szCs w:val="24"/>
        </w:rPr>
        <w:t xml:space="preserve"> </w:t>
      </w:r>
      <w:r w:rsidRPr="00051B39">
        <w:rPr>
          <w:rFonts w:ascii="Arial" w:eastAsia="Arial" w:hAnsi="Arial" w:cs="Arial"/>
          <w:sz w:val="24"/>
          <w:szCs w:val="24"/>
        </w:rPr>
        <w:t xml:space="preserve">(2-ethylbutyric acid, Sigma-Aldrich, USA), 50 μL of phosphoric acid (Fisher, Scientific, USA) and 500 μL of Milli-Q water. The mixture was stirred and filtered (0.22 µm, 33 mm, SLGV033RB, Millex-GV, PVDF, Ireland). 1 µL was injected manually (Microliter, 701, HA-80330, Hamilton, USA) on gas chromatograph (Perkin Elmer, Clarus 500, USA) which had a capillary column DB-FFAP (Free Fatty Acid Phase, 15 m x 0.53 mm x 0.50 µm, Agilent J&amp;W GC, USA) and a detector flame ionization </w:t>
      </w:r>
      <w:r w:rsidR="00036668" w:rsidRPr="00051B39">
        <w:rPr>
          <w:rFonts w:ascii="Arial" w:eastAsia="Arial" w:hAnsi="Arial" w:cs="Arial"/>
          <w:sz w:val="24"/>
          <w:szCs w:val="24"/>
        </w:rPr>
        <w:t>[9]</w:t>
      </w:r>
      <w:r w:rsidR="00B357AA" w:rsidRPr="00051B39">
        <w:rPr>
          <w:rFonts w:ascii="Arial" w:eastAsia="Arial" w:hAnsi="Arial" w:cs="Arial"/>
          <w:sz w:val="24"/>
          <w:szCs w:val="24"/>
        </w:rPr>
        <w:t xml:space="preserve">. </w:t>
      </w:r>
      <w:r w:rsidRPr="00051B39">
        <w:rPr>
          <w:rFonts w:ascii="Arial" w:eastAsia="Arial" w:hAnsi="Arial" w:cs="Arial"/>
          <w:sz w:val="24"/>
          <w:szCs w:val="24"/>
        </w:rPr>
        <w:t xml:space="preserve">The initial oven temperature was 70°C, maintained for 2 min, raised to 180°C at 16°C/min and held for 1 min, then was increased to 200°C at 20°C/min, and finally held at 200°C for 15 min. Helium as a gas carrier was used. The temperature of the detector and injector was 240°C. SCFA were identified and quantified by comparison with known fatty acid standards (acetic, propionic and butyric acid (Sigma-Aldrich, USA)). SCFA produced were expressed as milligrams per liter (mg/L). </w:t>
      </w:r>
    </w:p>
    <w:p w:rsidR="00CC4CA0" w:rsidRPr="00051B39" w:rsidRDefault="00CC4CA0" w:rsidP="00DF5D54">
      <w:pPr>
        <w:spacing w:after="0" w:line="480" w:lineRule="auto"/>
        <w:ind w:firstLine="0"/>
        <w:rPr>
          <w:rFonts w:ascii="Arial" w:eastAsia="Arial" w:hAnsi="Arial" w:cs="Arial"/>
          <w:b/>
          <w:sz w:val="24"/>
          <w:szCs w:val="24"/>
        </w:rPr>
      </w:pPr>
    </w:p>
    <w:p w:rsidR="00DF5D54" w:rsidRPr="00051B39" w:rsidRDefault="00DF5D54" w:rsidP="00DF5D54">
      <w:pPr>
        <w:spacing w:after="0" w:line="480" w:lineRule="auto"/>
        <w:ind w:firstLine="0"/>
        <w:rPr>
          <w:rFonts w:ascii="Arial" w:eastAsia="Arial" w:hAnsi="Arial" w:cs="Arial"/>
          <w:b/>
          <w:sz w:val="24"/>
          <w:szCs w:val="24"/>
        </w:rPr>
      </w:pPr>
      <w:r w:rsidRPr="00051B39">
        <w:rPr>
          <w:rFonts w:ascii="Arial" w:eastAsia="Arial" w:hAnsi="Arial" w:cs="Arial"/>
          <w:b/>
          <w:sz w:val="24"/>
          <w:szCs w:val="24"/>
        </w:rPr>
        <w:t>Flavonoids by High Performance Liquid</w:t>
      </w:r>
      <w:r w:rsidR="00FA6080" w:rsidRPr="00051B39">
        <w:rPr>
          <w:rFonts w:ascii="Arial" w:eastAsia="Arial" w:hAnsi="Arial" w:cs="Arial"/>
          <w:b/>
          <w:sz w:val="24"/>
          <w:szCs w:val="24"/>
        </w:rPr>
        <w:t xml:space="preserve"> Chromatography (HPLC) Analysis. </w:t>
      </w:r>
      <w:r w:rsidRPr="00051B39">
        <w:rPr>
          <w:rFonts w:ascii="Arial" w:eastAsia="Arial" w:hAnsi="Arial" w:cs="Arial"/>
          <w:sz w:val="24"/>
          <w:szCs w:val="24"/>
        </w:rPr>
        <w:t xml:space="preserve">The quantification of flavonoids was carried out following the methodology proposed by Saura-Calixto et al. </w:t>
      </w:r>
      <w:r w:rsidR="008C70A3" w:rsidRPr="00051B39">
        <w:rPr>
          <w:rFonts w:ascii="Arial" w:eastAsia="Arial" w:hAnsi="Arial" w:cs="Arial"/>
          <w:sz w:val="24"/>
          <w:szCs w:val="24"/>
        </w:rPr>
        <w:t xml:space="preserve">[10] </w:t>
      </w:r>
      <w:r w:rsidRPr="00051B39">
        <w:rPr>
          <w:rFonts w:ascii="Arial" w:eastAsia="Arial" w:hAnsi="Arial" w:cs="Arial"/>
          <w:sz w:val="24"/>
          <w:szCs w:val="24"/>
        </w:rPr>
        <w:t xml:space="preserve">with slight modifications. The samples fermented by the intestinal microbiota were treated prior to their quantification. </w:t>
      </w:r>
      <w:r w:rsidRPr="00051B39">
        <w:rPr>
          <w:rFonts w:ascii="Arial" w:eastAsia="Arial" w:hAnsi="Arial" w:cs="Arial"/>
          <w:color w:val="222222"/>
          <w:sz w:val="24"/>
          <w:szCs w:val="24"/>
        </w:rPr>
        <w:t xml:space="preserve">Twenty milligrams of lyophilized fermented samples were previously taken and suspended in 500 µL of deionized water and stirred. Subsequently, a solid phase extraction (SPE) was carried out by means of Oasis HLB cartridge (60 mg, 3 cc, WAT094226, Waters, </w:t>
      </w:r>
      <w:r w:rsidRPr="00051B39">
        <w:rPr>
          <w:rFonts w:ascii="Arial" w:eastAsia="Arial" w:hAnsi="Arial" w:cs="Arial"/>
          <w:color w:val="222222"/>
          <w:sz w:val="24"/>
          <w:szCs w:val="24"/>
        </w:rPr>
        <w:lastRenderedPageBreak/>
        <w:t>USA) and was activated with 1 mL of methanol (Meyer, Mexico) and 2 mL of deionized water. The sample was then placed inside the cartridge and washed with 9 mL of water containing 5% methanol and 2% glacial acetic acid (Meyer, Mexico), with the objective of removing the interfering components. The compounds of interest (flavonoids) were eluted with 1 mL of methanol. Subsequently, the methanol was evaporated with nitrogen to dryness and reconstituted with 200 µL of aqueous solution of acetic acid (HPLC grade, Sigma-Aldrich, USA) and adjusted to pH 2.8 (initial mobile phase of HPLC). The samples were passed through a 0.45 μm Gelman filter (GHP, hydrophilic polypropylene membrane, 4426, Acrodisc 13 mm, Syringe Filters, Pall Life Sciences, USA) and stored at -20 °C until analysis.</w:t>
      </w:r>
    </w:p>
    <w:p w:rsidR="00CC4CA0" w:rsidRPr="00051B39" w:rsidRDefault="00DF5D54" w:rsidP="00DF5D54">
      <w:pPr>
        <w:spacing w:after="0" w:line="480" w:lineRule="auto"/>
        <w:ind w:firstLine="0"/>
        <w:rPr>
          <w:rFonts w:ascii="Arial" w:eastAsia="Arial" w:hAnsi="Arial" w:cs="Arial"/>
          <w:color w:val="222222"/>
          <w:sz w:val="24"/>
          <w:szCs w:val="24"/>
        </w:rPr>
      </w:pPr>
      <w:r w:rsidRPr="00051B39">
        <w:rPr>
          <w:rFonts w:ascii="Arial" w:eastAsia="Arial" w:hAnsi="Arial" w:cs="Arial"/>
          <w:color w:val="222222"/>
          <w:sz w:val="24"/>
          <w:szCs w:val="24"/>
        </w:rPr>
        <w:t xml:space="preserve">The flavonoids were quantified by HPLC according to the methodology established by Díaz-Batalla et al. </w:t>
      </w:r>
      <w:r w:rsidR="009D0862" w:rsidRPr="00051B39">
        <w:rPr>
          <w:rFonts w:ascii="Arial" w:eastAsia="Arial" w:hAnsi="Arial" w:cs="Arial"/>
          <w:color w:val="222222"/>
          <w:sz w:val="24"/>
          <w:szCs w:val="24"/>
        </w:rPr>
        <w:t>[11]</w:t>
      </w:r>
      <w:r w:rsidRPr="00051B39">
        <w:rPr>
          <w:rFonts w:ascii="Arial" w:eastAsia="Arial" w:hAnsi="Arial" w:cs="Arial"/>
          <w:color w:val="222222"/>
          <w:sz w:val="24"/>
          <w:szCs w:val="24"/>
        </w:rPr>
        <w:t xml:space="preserve"> with modifications, using a detector with diode array (Waters 2996, USA) with autosampler (Waters 717, USA) and a Symmetry C18 column (5 μm x 4.6 mm x 250 mm, WAT054275, Waters, Ireland). Mobile phase A was acetonitrile (JT Baker, USA) and mobile phase B was deionized water to a pH of 2.8 adjusted with acetic acid grade HPLC (Sigma-Aldrich, USA). The volume of injection was 20 μL and individual phenolic compounds standards (Sigma-Aldrich, USA) were used as reference. The gradient conditions for the elution of flavonoids were as follows: 35% B in 10 min; 20% B in 15 min; 5% B in 16 min; 4% B in 17 min; 80% B in 18 min; 100% B in 20 min. While that the gradient conditions for the elution of phenolic acids were: 50% B in 16 min; 35% B in 18 min; 5% B in 20 min; 4% B in 21 min; 80% B in 22 min and 100% B in 24 min. UV-Vis spectra were used to detect flavonoids and phenolic acids. The absorbance for myricetin, quercetin, apigenin and kaempferol was at 252, 254, 266 and 265 nm, respectively. Phenolic acids as </w:t>
      </w:r>
      <w:r w:rsidRPr="00051B39">
        <w:rPr>
          <w:rFonts w:ascii="Arial" w:eastAsia="Arial" w:hAnsi="Arial" w:cs="Arial"/>
          <w:color w:val="222222"/>
          <w:sz w:val="24"/>
          <w:szCs w:val="24"/>
        </w:rPr>
        <w:lastRenderedPageBreak/>
        <w:t>gallic, caffeic, vanillic, coumaric, ferulic, protocatechuic, and cinnamic were measured at 269, 323, 260, 309, 322, 259, and 274 nm, respectively.</w:t>
      </w:r>
    </w:p>
    <w:p w:rsidR="00BF0723" w:rsidRPr="00051B39" w:rsidRDefault="00BF0723" w:rsidP="00DF5D54">
      <w:pPr>
        <w:spacing w:after="0" w:line="480" w:lineRule="auto"/>
        <w:ind w:firstLine="0"/>
        <w:rPr>
          <w:rFonts w:ascii="Arial" w:eastAsia="Arial" w:hAnsi="Arial" w:cs="Arial"/>
          <w:color w:val="222222"/>
          <w:sz w:val="24"/>
          <w:szCs w:val="24"/>
        </w:rPr>
      </w:pPr>
    </w:p>
    <w:p w:rsidR="00CC4CA0" w:rsidRPr="00051B39" w:rsidRDefault="00DF5D54" w:rsidP="00DF5D54">
      <w:pPr>
        <w:spacing w:after="0" w:line="480" w:lineRule="auto"/>
        <w:ind w:firstLine="0"/>
        <w:rPr>
          <w:rFonts w:ascii="Arial" w:eastAsia="Arial" w:hAnsi="Arial" w:cs="Arial"/>
          <w:b/>
          <w:color w:val="222222"/>
          <w:sz w:val="24"/>
          <w:szCs w:val="24"/>
        </w:rPr>
      </w:pPr>
      <w:r w:rsidRPr="00051B39">
        <w:rPr>
          <w:rFonts w:ascii="Arial" w:eastAsia="Arial" w:hAnsi="Arial" w:cs="Arial"/>
          <w:b/>
          <w:sz w:val="24"/>
          <w:szCs w:val="24"/>
        </w:rPr>
        <w:t>Scanning Electron Microscopy (SEM)</w:t>
      </w:r>
      <w:r w:rsidR="00FA6080" w:rsidRPr="00051B39">
        <w:rPr>
          <w:rFonts w:ascii="Arial" w:eastAsia="Arial" w:hAnsi="Arial" w:cs="Arial"/>
          <w:b/>
          <w:sz w:val="24"/>
          <w:szCs w:val="24"/>
        </w:rPr>
        <w:t xml:space="preserve">. </w:t>
      </w:r>
      <w:r w:rsidRPr="00051B39">
        <w:rPr>
          <w:rFonts w:ascii="Arial" w:eastAsia="Arial" w:hAnsi="Arial" w:cs="Arial"/>
          <w:sz w:val="24"/>
          <w:szCs w:val="24"/>
        </w:rPr>
        <w:t>In order to identify morphological changes of BR and US- BR, before and after</w:t>
      </w:r>
      <w:r w:rsidRPr="00051B39">
        <w:rPr>
          <w:rFonts w:ascii="Arial" w:eastAsia="Arial" w:hAnsi="Arial" w:cs="Arial"/>
          <w:i/>
          <w:sz w:val="24"/>
          <w:szCs w:val="24"/>
        </w:rPr>
        <w:t xml:space="preserve"> in vitro</w:t>
      </w:r>
      <w:r w:rsidRPr="00051B39">
        <w:rPr>
          <w:rFonts w:ascii="Arial" w:eastAsia="Arial" w:hAnsi="Arial" w:cs="Arial"/>
          <w:sz w:val="24"/>
          <w:szCs w:val="24"/>
        </w:rPr>
        <w:t xml:space="preserve"> colonic fermentation were evaluated by scanning electron microscopy. Samples were deposited on the silicon wafer and coated with gold (Denton Vacuum Desk V, USA) applying 20 millitorr and 20 mA during 4 min. Samples were observed in a scanning electronic microscopy (JEOL JSM-6300, USA) at 250x and 500x amplifications</w:t>
      </w:r>
      <w:r w:rsidR="00A41D67" w:rsidRPr="00051B39">
        <w:rPr>
          <w:rFonts w:ascii="Arial" w:eastAsia="Arial" w:hAnsi="Arial" w:cs="Arial"/>
          <w:sz w:val="24"/>
          <w:szCs w:val="24"/>
        </w:rPr>
        <w:t xml:space="preserve"> [12]</w:t>
      </w:r>
      <w:r w:rsidR="00B357AA" w:rsidRPr="00051B39">
        <w:rPr>
          <w:rFonts w:ascii="Arial" w:eastAsia="Arial" w:hAnsi="Arial" w:cs="Arial"/>
          <w:sz w:val="24"/>
          <w:szCs w:val="24"/>
        </w:rPr>
        <w:t>.</w:t>
      </w:r>
    </w:p>
    <w:p w:rsidR="00B357AA" w:rsidRPr="00051B39" w:rsidRDefault="00B357AA" w:rsidP="00DF5D54">
      <w:pPr>
        <w:spacing w:after="0" w:line="480" w:lineRule="auto"/>
        <w:ind w:firstLine="0"/>
        <w:rPr>
          <w:rFonts w:ascii="Arial" w:eastAsia="Arial" w:hAnsi="Arial" w:cs="Arial"/>
          <w:b/>
          <w:color w:val="222222"/>
          <w:sz w:val="24"/>
          <w:szCs w:val="24"/>
        </w:rPr>
      </w:pPr>
    </w:p>
    <w:p w:rsidR="00DF5D54" w:rsidRPr="00051B39" w:rsidRDefault="00DF5D54" w:rsidP="00DF5D54">
      <w:pPr>
        <w:spacing w:after="0" w:line="480" w:lineRule="auto"/>
        <w:ind w:firstLine="0"/>
        <w:rPr>
          <w:rFonts w:ascii="Arial" w:eastAsia="Arial" w:hAnsi="Arial" w:cs="Arial"/>
          <w:b/>
          <w:color w:val="222222"/>
          <w:sz w:val="24"/>
          <w:szCs w:val="24"/>
        </w:rPr>
      </w:pPr>
      <w:r w:rsidRPr="00051B39">
        <w:rPr>
          <w:rFonts w:ascii="Arial" w:eastAsia="Arial" w:hAnsi="Arial" w:cs="Arial"/>
          <w:b/>
          <w:color w:val="222222"/>
          <w:sz w:val="24"/>
          <w:szCs w:val="24"/>
        </w:rPr>
        <w:t>Statistical Analysis</w:t>
      </w:r>
      <w:r w:rsidR="00FA6080" w:rsidRPr="00051B39">
        <w:rPr>
          <w:rFonts w:ascii="Arial" w:eastAsia="Arial" w:hAnsi="Arial" w:cs="Arial"/>
          <w:b/>
          <w:color w:val="222222"/>
          <w:sz w:val="24"/>
          <w:szCs w:val="24"/>
        </w:rPr>
        <w:t xml:space="preserve">. </w:t>
      </w:r>
      <w:r w:rsidRPr="00051B39">
        <w:rPr>
          <w:rFonts w:ascii="Arial" w:eastAsia="Arial" w:hAnsi="Arial" w:cs="Arial"/>
          <w:color w:val="222222"/>
          <w:sz w:val="24"/>
          <w:szCs w:val="24"/>
        </w:rPr>
        <w:t>The data were obtained by triplicate and expressed as mean ± standard deviation (SD). Data were analyzed performing a one-way analysis of variance (ANOVA) and differences among means were determined using a Tukey test with a level of significance of</w:t>
      </w:r>
      <w:r w:rsidRPr="00051B39">
        <w:rPr>
          <w:rFonts w:ascii="Arial" w:eastAsia="Arial" w:hAnsi="Arial" w:cs="Arial"/>
          <w:i/>
          <w:color w:val="222222"/>
          <w:sz w:val="24"/>
          <w:szCs w:val="24"/>
        </w:rPr>
        <w:t xml:space="preserve"> p</w:t>
      </w:r>
      <w:r w:rsidRPr="00051B39">
        <w:rPr>
          <w:rFonts w:ascii="Arial" w:eastAsia="Arial" w:hAnsi="Arial" w:cs="Arial"/>
          <w:color w:val="222222"/>
          <w:sz w:val="24"/>
          <w:szCs w:val="24"/>
        </w:rPr>
        <w:t>&lt;0.05. Also, the t-Student test was used at the same significance level. The statistical package SPSS® System for WIN™ version 15.0 was used.</w:t>
      </w:r>
    </w:p>
    <w:p w:rsidR="00CC4CA0" w:rsidRPr="00051B39" w:rsidRDefault="00CC4CA0" w:rsidP="00DF5D54">
      <w:pPr>
        <w:spacing w:after="0" w:line="480" w:lineRule="auto"/>
        <w:ind w:firstLine="0"/>
        <w:rPr>
          <w:rFonts w:ascii="Arial" w:eastAsia="Arial" w:hAnsi="Arial" w:cs="Arial"/>
          <w:color w:val="222222"/>
          <w:sz w:val="24"/>
          <w:szCs w:val="24"/>
        </w:rPr>
      </w:pPr>
    </w:p>
    <w:p w:rsidR="00CC4CA0" w:rsidRPr="00051B39" w:rsidRDefault="00CC4CA0" w:rsidP="00DF5D54">
      <w:pPr>
        <w:spacing w:after="0" w:line="480" w:lineRule="auto"/>
        <w:ind w:firstLine="0"/>
        <w:rPr>
          <w:rFonts w:ascii="Arial" w:eastAsia="Arial" w:hAnsi="Arial" w:cs="Arial"/>
          <w:b/>
          <w:color w:val="222222"/>
          <w:sz w:val="24"/>
          <w:szCs w:val="24"/>
        </w:rPr>
      </w:pPr>
      <w:r w:rsidRPr="00051B39">
        <w:rPr>
          <w:rFonts w:ascii="Arial" w:eastAsia="Arial" w:hAnsi="Arial" w:cs="Arial"/>
          <w:b/>
          <w:color w:val="222222"/>
          <w:sz w:val="24"/>
          <w:szCs w:val="24"/>
        </w:rPr>
        <w:t>References</w:t>
      </w:r>
    </w:p>
    <w:p w:rsidR="00600AE2" w:rsidRPr="00051B39" w:rsidRDefault="00600AE2" w:rsidP="00FF4BED">
      <w:pPr>
        <w:pStyle w:val="Prrafodelista"/>
        <w:numPr>
          <w:ilvl w:val="0"/>
          <w:numId w:val="1"/>
        </w:numPr>
        <w:spacing w:after="0" w:line="480" w:lineRule="auto"/>
        <w:ind w:left="284"/>
        <w:rPr>
          <w:rFonts w:ascii="Arial" w:eastAsia="Arial" w:hAnsi="Arial" w:cs="Arial"/>
          <w:sz w:val="24"/>
          <w:szCs w:val="24"/>
          <w:shd w:val="clear" w:color="auto" w:fill="B6D7A8"/>
        </w:rPr>
      </w:pPr>
      <w:r w:rsidRPr="00051B39">
        <w:rPr>
          <w:rFonts w:ascii="Arial" w:eastAsia="Arial" w:hAnsi="Arial" w:cs="Arial"/>
          <w:sz w:val="24"/>
          <w:szCs w:val="24"/>
        </w:rPr>
        <w:t>Zafra-Rojas Q, Cruz-Cansino N, Delgadillo-Ramírez A et al (2018) Organic acids, antioxidants, and dietary fiber of Mexican blackberry (</w:t>
      </w:r>
      <w:r w:rsidRPr="00051B39">
        <w:rPr>
          <w:rFonts w:ascii="Arial" w:eastAsia="Arial" w:hAnsi="Arial" w:cs="Arial"/>
          <w:i/>
          <w:sz w:val="24"/>
          <w:szCs w:val="24"/>
        </w:rPr>
        <w:t>Rubus fruticosus</w:t>
      </w:r>
      <w:r w:rsidRPr="00051B39">
        <w:rPr>
          <w:rFonts w:ascii="Arial" w:eastAsia="Arial" w:hAnsi="Arial" w:cs="Arial"/>
          <w:sz w:val="24"/>
          <w:szCs w:val="24"/>
        </w:rPr>
        <w:t xml:space="preserve">) residues cv. Tupy. J Food Qual 2018:1-9. </w:t>
      </w:r>
      <w:hyperlink r:id="rId8">
        <w:r w:rsidRPr="00051B39">
          <w:rPr>
            <w:rFonts w:ascii="Arial" w:eastAsia="Arial" w:hAnsi="Arial" w:cs="Arial"/>
            <w:sz w:val="24"/>
            <w:szCs w:val="24"/>
          </w:rPr>
          <w:t>https://doi.org/10.1155/2018/5950761</w:t>
        </w:r>
      </w:hyperlink>
    </w:p>
    <w:p w:rsidR="00600AE2" w:rsidRPr="00051B39" w:rsidRDefault="00600AE2" w:rsidP="00FF4BED">
      <w:pPr>
        <w:pStyle w:val="Prrafodelista"/>
        <w:numPr>
          <w:ilvl w:val="0"/>
          <w:numId w:val="1"/>
        </w:numPr>
        <w:spacing w:after="0" w:line="480" w:lineRule="auto"/>
        <w:ind w:left="284"/>
        <w:rPr>
          <w:rFonts w:ascii="Arial" w:eastAsia="Arial" w:hAnsi="Arial" w:cs="Arial"/>
          <w:sz w:val="24"/>
          <w:szCs w:val="24"/>
          <w:highlight w:val="white"/>
        </w:rPr>
      </w:pPr>
      <w:r w:rsidRPr="00051B39">
        <w:rPr>
          <w:rFonts w:ascii="Arial" w:eastAsia="Arial" w:hAnsi="Arial" w:cs="Arial"/>
          <w:sz w:val="24"/>
          <w:szCs w:val="24"/>
          <w:highlight w:val="white"/>
        </w:rPr>
        <w:t xml:space="preserve">Zafra-Rojas QY, Cruz-Cansino NS, Quintero-Lira A et al (2016) Application of ultrasound in a closed system: optimum condition for antioxidants extraction of </w:t>
      </w:r>
      <w:r w:rsidRPr="00051B39">
        <w:rPr>
          <w:rFonts w:ascii="Arial" w:eastAsia="Arial" w:hAnsi="Arial" w:cs="Arial"/>
          <w:sz w:val="24"/>
          <w:szCs w:val="24"/>
          <w:highlight w:val="white"/>
        </w:rPr>
        <w:lastRenderedPageBreak/>
        <w:t>blackberry (</w:t>
      </w:r>
      <w:r w:rsidRPr="00051B39">
        <w:rPr>
          <w:rFonts w:ascii="Arial" w:eastAsia="Arial" w:hAnsi="Arial" w:cs="Arial"/>
          <w:i/>
          <w:sz w:val="24"/>
          <w:szCs w:val="24"/>
          <w:highlight w:val="white"/>
        </w:rPr>
        <w:t>Rubus fructicosus</w:t>
      </w:r>
      <w:r w:rsidRPr="00051B39">
        <w:rPr>
          <w:rFonts w:ascii="Arial" w:eastAsia="Arial" w:hAnsi="Arial" w:cs="Arial"/>
          <w:sz w:val="24"/>
          <w:szCs w:val="24"/>
          <w:highlight w:val="white"/>
        </w:rPr>
        <w:t xml:space="preserve">) residues. Molecules 21:950. </w:t>
      </w:r>
      <w:hyperlink r:id="rId9">
        <w:r w:rsidRPr="00051B39">
          <w:rPr>
            <w:rFonts w:ascii="Arial" w:eastAsia="Arial" w:hAnsi="Arial" w:cs="Arial"/>
            <w:sz w:val="24"/>
            <w:szCs w:val="24"/>
            <w:highlight w:val="white"/>
          </w:rPr>
          <w:t>https://doi.org/10.3390/molecules21070950</w:t>
        </w:r>
      </w:hyperlink>
      <w:r w:rsidRPr="00051B39">
        <w:rPr>
          <w:rFonts w:ascii="Arial" w:eastAsia="Arial" w:hAnsi="Arial" w:cs="Arial"/>
          <w:sz w:val="24"/>
          <w:szCs w:val="24"/>
          <w:highlight w:val="white"/>
        </w:rPr>
        <w:t xml:space="preserve"> </w:t>
      </w:r>
    </w:p>
    <w:p w:rsidR="00623FA9" w:rsidRPr="00051B39" w:rsidRDefault="00623FA9" w:rsidP="004D3D16">
      <w:pPr>
        <w:pStyle w:val="Prrafodelista"/>
        <w:numPr>
          <w:ilvl w:val="0"/>
          <w:numId w:val="1"/>
        </w:numPr>
        <w:spacing w:after="0" w:line="480" w:lineRule="auto"/>
        <w:ind w:left="284"/>
        <w:rPr>
          <w:rFonts w:ascii="Arial" w:eastAsia="Roboto" w:hAnsi="Arial" w:cs="Arial"/>
          <w:sz w:val="24"/>
          <w:szCs w:val="24"/>
          <w:shd w:val="clear" w:color="auto" w:fill="B6D7A8"/>
        </w:rPr>
      </w:pPr>
      <w:r w:rsidRPr="00051B39">
        <w:rPr>
          <w:rFonts w:ascii="Arial" w:eastAsia="Arial" w:hAnsi="Arial" w:cs="Arial"/>
          <w:sz w:val="24"/>
          <w:szCs w:val="24"/>
        </w:rPr>
        <w:t xml:space="preserve">Zafra-Rojas QY, González-Martínez BE, Cruz-Cansino NDS, López-Cabanillas M, Suárez-Jacobo Á, Cervantes-Elizarrarás A, Ramírez-Moreno E (2020) Effect of ultrasound on </w:t>
      </w:r>
      <w:r w:rsidRPr="00051B39">
        <w:rPr>
          <w:rFonts w:ascii="Arial" w:eastAsia="Arial" w:hAnsi="Arial" w:cs="Arial"/>
          <w:i/>
          <w:sz w:val="24"/>
          <w:szCs w:val="24"/>
        </w:rPr>
        <w:t>in vitro</w:t>
      </w:r>
      <w:r w:rsidRPr="00051B39">
        <w:rPr>
          <w:rFonts w:ascii="Arial" w:eastAsia="Arial" w:hAnsi="Arial" w:cs="Arial"/>
          <w:sz w:val="24"/>
          <w:szCs w:val="24"/>
        </w:rPr>
        <w:t xml:space="preserve"> bioaccessibility of phenolic compounds and antioxidant capacity of blackberry (</w:t>
      </w:r>
      <w:r w:rsidRPr="00051B39">
        <w:rPr>
          <w:rFonts w:ascii="Arial" w:eastAsia="Arial" w:hAnsi="Arial" w:cs="Arial"/>
          <w:i/>
          <w:sz w:val="24"/>
          <w:szCs w:val="24"/>
        </w:rPr>
        <w:t>Rubus fruticosus</w:t>
      </w:r>
      <w:r w:rsidRPr="00051B39">
        <w:rPr>
          <w:rFonts w:ascii="Arial" w:eastAsia="Arial" w:hAnsi="Arial" w:cs="Arial"/>
          <w:sz w:val="24"/>
          <w:szCs w:val="24"/>
        </w:rPr>
        <w:t xml:space="preserve">) residues cv. Tupy. Plant Foods Hum Nutr 75:608-613. </w:t>
      </w:r>
      <w:hyperlink r:id="rId10">
        <w:r w:rsidRPr="00051B39">
          <w:rPr>
            <w:rFonts w:ascii="Arial" w:eastAsia="Roboto" w:hAnsi="Arial" w:cs="Arial"/>
            <w:sz w:val="24"/>
            <w:szCs w:val="24"/>
          </w:rPr>
          <w:t>https://doi.org/10.1007/s11130-020-00855-7</w:t>
        </w:r>
      </w:hyperlink>
      <w:r w:rsidRPr="00051B39">
        <w:rPr>
          <w:rFonts w:ascii="Arial" w:eastAsia="Roboto" w:hAnsi="Arial" w:cs="Arial"/>
          <w:sz w:val="24"/>
          <w:szCs w:val="24"/>
          <w:shd w:val="clear" w:color="auto" w:fill="B6D7A8"/>
        </w:rPr>
        <w:t xml:space="preserve"> </w:t>
      </w:r>
    </w:p>
    <w:p w:rsidR="003720CC" w:rsidRPr="00051B39" w:rsidRDefault="003720CC" w:rsidP="00FB5A97">
      <w:pPr>
        <w:pStyle w:val="Prrafodelista"/>
        <w:numPr>
          <w:ilvl w:val="0"/>
          <w:numId w:val="1"/>
        </w:numPr>
        <w:spacing w:after="0" w:line="480" w:lineRule="auto"/>
        <w:ind w:left="284"/>
        <w:rPr>
          <w:rFonts w:ascii="Arial" w:eastAsia="Arial" w:hAnsi="Arial" w:cs="Arial"/>
          <w:sz w:val="24"/>
          <w:szCs w:val="24"/>
          <w:shd w:val="clear" w:color="auto" w:fill="B6D7A8"/>
        </w:rPr>
      </w:pPr>
      <w:r w:rsidRPr="004E610C">
        <w:rPr>
          <w:rFonts w:ascii="Arial" w:eastAsia="Arial" w:hAnsi="Arial" w:cs="Arial"/>
          <w:sz w:val="24"/>
          <w:szCs w:val="24"/>
        </w:rPr>
        <w:t xml:space="preserve">Barry JL, Hoebler C, MacFarlane GT et al (1995) Estimation of the fermentability of dietary fiber </w:t>
      </w:r>
      <w:r w:rsidRPr="004E610C">
        <w:rPr>
          <w:rFonts w:ascii="Arial" w:eastAsia="Arial" w:hAnsi="Arial" w:cs="Arial"/>
          <w:i/>
          <w:sz w:val="24"/>
          <w:szCs w:val="24"/>
        </w:rPr>
        <w:t>in vitro</w:t>
      </w:r>
      <w:r w:rsidRPr="004E610C">
        <w:rPr>
          <w:rFonts w:ascii="Arial" w:eastAsia="Arial" w:hAnsi="Arial" w:cs="Arial"/>
          <w:sz w:val="24"/>
          <w:szCs w:val="24"/>
        </w:rPr>
        <w:t xml:space="preserve">: a European interlaboratory study. BJN 74:303-322.  </w:t>
      </w:r>
      <w:hyperlink r:id="rId11">
        <w:r w:rsidRPr="004E610C">
          <w:rPr>
            <w:rFonts w:ascii="Arial" w:eastAsia="Arial" w:hAnsi="Arial" w:cs="Arial"/>
            <w:sz w:val="24"/>
            <w:szCs w:val="24"/>
          </w:rPr>
          <w:t>https://doi.org/10.1079/BJN19950137</w:t>
        </w:r>
      </w:hyperlink>
      <w:r w:rsidRPr="00051B39">
        <w:rPr>
          <w:rFonts w:ascii="Arial" w:eastAsia="Arial" w:hAnsi="Arial" w:cs="Arial"/>
          <w:sz w:val="24"/>
          <w:szCs w:val="24"/>
          <w:shd w:val="clear" w:color="auto" w:fill="B6D7A8"/>
        </w:rPr>
        <w:t xml:space="preserve"> </w:t>
      </w:r>
    </w:p>
    <w:p w:rsidR="00C52C35" w:rsidRPr="00051B39" w:rsidRDefault="00C52C35" w:rsidP="00206CB4">
      <w:pPr>
        <w:pStyle w:val="Prrafodelista"/>
        <w:numPr>
          <w:ilvl w:val="0"/>
          <w:numId w:val="1"/>
        </w:numPr>
        <w:spacing w:after="0" w:line="480" w:lineRule="auto"/>
        <w:ind w:left="284"/>
        <w:rPr>
          <w:rFonts w:ascii="Arial" w:eastAsia="Arial" w:hAnsi="Arial" w:cs="Arial"/>
          <w:sz w:val="24"/>
          <w:szCs w:val="24"/>
          <w:shd w:val="clear" w:color="auto" w:fill="B6D7A8"/>
        </w:rPr>
      </w:pPr>
      <w:r w:rsidRPr="004E610C">
        <w:rPr>
          <w:rFonts w:ascii="Arial" w:eastAsia="Arial" w:hAnsi="Arial" w:cs="Arial"/>
          <w:sz w:val="24"/>
          <w:szCs w:val="24"/>
        </w:rPr>
        <w:t xml:space="preserve">Goñi I, Martin-Carrón N (1998) </w:t>
      </w:r>
      <w:r w:rsidRPr="004E610C">
        <w:rPr>
          <w:rFonts w:ascii="Arial" w:eastAsia="Arial" w:hAnsi="Arial" w:cs="Arial"/>
          <w:i/>
          <w:sz w:val="24"/>
          <w:szCs w:val="24"/>
        </w:rPr>
        <w:t>In vitro</w:t>
      </w:r>
      <w:r w:rsidRPr="004E610C">
        <w:rPr>
          <w:rFonts w:ascii="Arial" w:eastAsia="Arial" w:hAnsi="Arial" w:cs="Arial"/>
          <w:sz w:val="24"/>
          <w:szCs w:val="24"/>
        </w:rPr>
        <w:t xml:space="preserve"> fermentation and hydration properties of commercial dietary fiber-rich supplements. Nut Res 18:1077-1089. </w:t>
      </w:r>
      <w:hyperlink r:id="rId12">
        <w:r w:rsidRPr="004E610C">
          <w:rPr>
            <w:rFonts w:ascii="Arial" w:eastAsia="Arial" w:hAnsi="Arial" w:cs="Arial"/>
            <w:sz w:val="24"/>
            <w:szCs w:val="24"/>
          </w:rPr>
          <w:t>https://doi.org/10.1016/S0271-5317(98)00090-6</w:t>
        </w:r>
      </w:hyperlink>
    </w:p>
    <w:p w:rsidR="00676AFB" w:rsidRPr="00517961" w:rsidRDefault="00676AFB" w:rsidP="00A14961">
      <w:pPr>
        <w:pStyle w:val="Prrafodelista"/>
        <w:numPr>
          <w:ilvl w:val="0"/>
          <w:numId w:val="1"/>
        </w:numPr>
        <w:spacing w:after="0" w:line="480" w:lineRule="auto"/>
        <w:ind w:left="284"/>
        <w:rPr>
          <w:rFonts w:ascii="Arial" w:eastAsia="Arial" w:hAnsi="Arial" w:cs="Arial"/>
          <w:sz w:val="24"/>
          <w:szCs w:val="24"/>
        </w:rPr>
      </w:pPr>
      <w:r w:rsidRPr="00517961">
        <w:rPr>
          <w:rFonts w:ascii="Arial" w:eastAsia="Arial" w:hAnsi="Arial" w:cs="Arial"/>
          <w:sz w:val="24"/>
          <w:szCs w:val="24"/>
        </w:rPr>
        <w:t>Goering HK</w:t>
      </w:r>
      <w:r w:rsidR="004E610C" w:rsidRPr="00517961">
        <w:rPr>
          <w:rFonts w:ascii="Arial" w:eastAsia="Arial" w:hAnsi="Arial" w:cs="Arial"/>
          <w:sz w:val="24"/>
          <w:szCs w:val="24"/>
        </w:rPr>
        <w:t>,</w:t>
      </w:r>
      <w:r w:rsidRPr="00517961">
        <w:rPr>
          <w:rFonts w:ascii="Arial" w:eastAsia="Arial" w:hAnsi="Arial" w:cs="Arial"/>
          <w:sz w:val="24"/>
          <w:szCs w:val="24"/>
        </w:rPr>
        <w:t xml:space="preserve"> Van Soest PJ (1970) Forage fiber analyses (apparatus, reagents, procedures and some applications). United States Department of Agriculture Washington</w:t>
      </w:r>
      <w:r w:rsidR="00517961" w:rsidRPr="00517961">
        <w:rPr>
          <w:rFonts w:ascii="Arial" w:eastAsia="Arial" w:hAnsi="Arial" w:cs="Arial"/>
          <w:sz w:val="24"/>
          <w:szCs w:val="24"/>
        </w:rPr>
        <w:t xml:space="preserve">. </w:t>
      </w:r>
    </w:p>
    <w:p w:rsidR="00940C8D" w:rsidRPr="00051B39" w:rsidRDefault="00940C8D" w:rsidP="00BF0723">
      <w:pPr>
        <w:pStyle w:val="Prrafodelista"/>
        <w:numPr>
          <w:ilvl w:val="0"/>
          <w:numId w:val="1"/>
        </w:numPr>
        <w:spacing w:after="0" w:line="480" w:lineRule="auto"/>
        <w:ind w:left="284"/>
        <w:rPr>
          <w:rFonts w:ascii="Arial" w:eastAsia="Arial" w:hAnsi="Arial" w:cs="Arial"/>
          <w:sz w:val="24"/>
          <w:szCs w:val="24"/>
          <w:shd w:val="clear" w:color="auto" w:fill="B6D7A8"/>
        </w:rPr>
      </w:pPr>
      <w:r w:rsidRPr="00F14773">
        <w:rPr>
          <w:rFonts w:ascii="Arial" w:eastAsia="Arial" w:hAnsi="Arial" w:cs="Arial"/>
          <w:sz w:val="24"/>
          <w:szCs w:val="24"/>
        </w:rPr>
        <w:t xml:space="preserve">Goñi I, Martı́n N, Saura-Calixto F (2005) </w:t>
      </w:r>
      <w:r w:rsidRPr="00F14773">
        <w:rPr>
          <w:rFonts w:ascii="Arial" w:eastAsia="Arial" w:hAnsi="Arial" w:cs="Arial"/>
          <w:i/>
          <w:sz w:val="24"/>
          <w:szCs w:val="24"/>
        </w:rPr>
        <w:t>In vitro</w:t>
      </w:r>
      <w:r w:rsidRPr="00F14773">
        <w:rPr>
          <w:rFonts w:ascii="Arial" w:eastAsia="Arial" w:hAnsi="Arial" w:cs="Arial"/>
          <w:sz w:val="24"/>
          <w:szCs w:val="24"/>
        </w:rPr>
        <w:t xml:space="preserve"> digestibility and intestinal fermentation of grape seed and peel. Food Chem 90:281-286. </w:t>
      </w:r>
      <w:hyperlink r:id="rId13">
        <w:r w:rsidRPr="00F14773">
          <w:rPr>
            <w:rFonts w:ascii="Arial" w:eastAsia="Arial" w:hAnsi="Arial" w:cs="Arial"/>
            <w:sz w:val="24"/>
            <w:szCs w:val="24"/>
          </w:rPr>
          <w:t>https://doi.org/10.1016/j.foodchem.2004.03.057</w:t>
        </w:r>
      </w:hyperlink>
      <w:r w:rsidRPr="00051B39">
        <w:rPr>
          <w:rFonts w:ascii="Arial" w:eastAsia="Arial" w:hAnsi="Arial" w:cs="Arial"/>
          <w:sz w:val="24"/>
          <w:szCs w:val="24"/>
          <w:shd w:val="clear" w:color="auto" w:fill="B6D7A8"/>
        </w:rPr>
        <w:t xml:space="preserve"> </w:t>
      </w:r>
    </w:p>
    <w:p w:rsidR="00D77D1D" w:rsidRPr="00051B39" w:rsidRDefault="00D77D1D" w:rsidP="00C048C5">
      <w:pPr>
        <w:pStyle w:val="Prrafodelista"/>
        <w:numPr>
          <w:ilvl w:val="0"/>
          <w:numId w:val="1"/>
        </w:numPr>
        <w:spacing w:after="0" w:line="480" w:lineRule="auto"/>
        <w:ind w:left="284"/>
        <w:rPr>
          <w:rFonts w:ascii="Arial" w:eastAsia="Arial" w:hAnsi="Arial" w:cs="Arial"/>
          <w:sz w:val="24"/>
          <w:szCs w:val="24"/>
          <w:shd w:val="clear" w:color="auto" w:fill="B6D7A8"/>
        </w:rPr>
      </w:pPr>
      <w:r w:rsidRPr="00F14773">
        <w:rPr>
          <w:rFonts w:ascii="Arial" w:eastAsia="Arial" w:hAnsi="Arial" w:cs="Arial"/>
          <w:sz w:val="24"/>
          <w:szCs w:val="24"/>
        </w:rPr>
        <w:t xml:space="preserve">Cervantes-Elizarrarás A, Cruz-Cansino NDS, Ramírez-Moreno E, Vega-Sánchez V, Velázquez-Guadarrama N, Zafra-Rojas QY, Piloni-Martini J (2019) </w:t>
      </w:r>
      <w:r w:rsidRPr="00F14773">
        <w:rPr>
          <w:rFonts w:ascii="Arial" w:eastAsia="Arial" w:hAnsi="Arial" w:cs="Arial"/>
          <w:i/>
          <w:sz w:val="24"/>
          <w:szCs w:val="24"/>
        </w:rPr>
        <w:t>In vitro</w:t>
      </w:r>
      <w:r w:rsidRPr="00F14773">
        <w:rPr>
          <w:rFonts w:ascii="Arial" w:eastAsia="Arial" w:hAnsi="Arial" w:cs="Arial"/>
          <w:sz w:val="24"/>
          <w:szCs w:val="24"/>
        </w:rPr>
        <w:t xml:space="preserve"> probiotic potential of lactic acid bacteria isolated from aguamiel and pulque and antibacterial activity against pathogens. Appl Sci</w:t>
      </w:r>
      <w:r w:rsidR="00F14773">
        <w:rPr>
          <w:rFonts w:ascii="Arial" w:eastAsia="Arial" w:hAnsi="Arial" w:cs="Arial"/>
          <w:sz w:val="24"/>
          <w:szCs w:val="24"/>
        </w:rPr>
        <w:t xml:space="preserve"> </w:t>
      </w:r>
      <w:r w:rsidRPr="00F14773">
        <w:rPr>
          <w:rFonts w:ascii="Arial" w:eastAsia="Arial" w:hAnsi="Arial" w:cs="Arial"/>
          <w:sz w:val="24"/>
          <w:szCs w:val="24"/>
        </w:rPr>
        <w:t xml:space="preserve">9:601. </w:t>
      </w:r>
      <w:hyperlink r:id="rId14">
        <w:r w:rsidRPr="00F14773">
          <w:rPr>
            <w:rFonts w:ascii="Arial" w:eastAsia="Arial" w:hAnsi="Arial" w:cs="Arial"/>
            <w:sz w:val="24"/>
            <w:szCs w:val="24"/>
          </w:rPr>
          <w:t>https://doi.org/10.3390/app9030601</w:t>
        </w:r>
      </w:hyperlink>
      <w:r w:rsidRPr="00051B39">
        <w:rPr>
          <w:rFonts w:ascii="Arial" w:eastAsia="Arial" w:hAnsi="Arial" w:cs="Arial"/>
          <w:sz w:val="24"/>
          <w:szCs w:val="24"/>
          <w:shd w:val="clear" w:color="auto" w:fill="B6D7A8"/>
        </w:rPr>
        <w:t xml:space="preserve"> </w:t>
      </w:r>
    </w:p>
    <w:p w:rsidR="000835E5" w:rsidRPr="00051B39" w:rsidRDefault="000835E5" w:rsidP="00036668">
      <w:pPr>
        <w:pStyle w:val="Prrafodelista"/>
        <w:numPr>
          <w:ilvl w:val="0"/>
          <w:numId w:val="1"/>
        </w:numPr>
        <w:spacing w:after="0" w:line="480" w:lineRule="auto"/>
        <w:ind w:left="284"/>
        <w:rPr>
          <w:rFonts w:ascii="Arial" w:eastAsia="Arial" w:hAnsi="Arial" w:cs="Arial"/>
          <w:sz w:val="24"/>
          <w:szCs w:val="24"/>
          <w:shd w:val="clear" w:color="auto" w:fill="B6D7A8"/>
        </w:rPr>
      </w:pPr>
      <w:r w:rsidRPr="000E3DB8">
        <w:rPr>
          <w:rFonts w:ascii="Arial" w:eastAsia="Arial" w:hAnsi="Arial" w:cs="Arial"/>
          <w:sz w:val="24"/>
          <w:szCs w:val="24"/>
        </w:rPr>
        <w:lastRenderedPageBreak/>
        <w:t>Zhao G, Nyman M, Jönsson JA (2006) Rapid determination of short</w:t>
      </w:r>
      <w:r w:rsidRPr="000E3DB8">
        <w:rPr>
          <w:rFonts w:ascii="Cambria Math" w:eastAsia="Arial" w:hAnsi="Cambria Math" w:cs="Cambria Math"/>
          <w:sz w:val="24"/>
          <w:szCs w:val="24"/>
        </w:rPr>
        <w:t>‐</w:t>
      </w:r>
      <w:r w:rsidRPr="000E3DB8">
        <w:rPr>
          <w:rFonts w:ascii="Arial" w:eastAsia="Arial" w:hAnsi="Arial" w:cs="Arial"/>
          <w:sz w:val="24"/>
          <w:szCs w:val="24"/>
        </w:rPr>
        <w:t>chain fatty acids in colonic contents and faeces of humans and rats by acidified water</w:t>
      </w:r>
      <w:r w:rsidRPr="000E3DB8">
        <w:rPr>
          <w:rFonts w:ascii="Cambria Math" w:eastAsia="Arial" w:hAnsi="Cambria Math" w:cs="Cambria Math"/>
          <w:sz w:val="24"/>
          <w:szCs w:val="24"/>
        </w:rPr>
        <w:t>‐</w:t>
      </w:r>
      <w:r w:rsidRPr="000E3DB8">
        <w:rPr>
          <w:rFonts w:ascii="Arial" w:eastAsia="Arial" w:hAnsi="Arial" w:cs="Arial"/>
          <w:sz w:val="24"/>
          <w:szCs w:val="24"/>
        </w:rPr>
        <w:t>extraction and direct</w:t>
      </w:r>
      <w:r w:rsidRPr="000E3DB8">
        <w:rPr>
          <w:rFonts w:ascii="Cambria Math" w:eastAsia="Arial" w:hAnsi="Cambria Math" w:cs="Cambria Math"/>
          <w:sz w:val="24"/>
          <w:szCs w:val="24"/>
        </w:rPr>
        <w:t>‐</w:t>
      </w:r>
      <w:r w:rsidRPr="000E3DB8">
        <w:rPr>
          <w:rFonts w:ascii="Arial" w:eastAsia="Arial" w:hAnsi="Arial" w:cs="Arial"/>
          <w:sz w:val="24"/>
          <w:szCs w:val="24"/>
        </w:rPr>
        <w:t xml:space="preserve">injection gas chromatography. Biomed Chromatogr 20:674-682. </w:t>
      </w:r>
      <w:hyperlink r:id="rId15">
        <w:r w:rsidRPr="000E3DB8">
          <w:rPr>
            <w:rFonts w:ascii="Arial" w:eastAsia="Arial" w:hAnsi="Arial" w:cs="Arial"/>
            <w:sz w:val="24"/>
            <w:szCs w:val="24"/>
          </w:rPr>
          <w:t>https://doi.org/10.1002/bmc.580</w:t>
        </w:r>
      </w:hyperlink>
      <w:r w:rsidRPr="00051B39">
        <w:rPr>
          <w:rFonts w:ascii="Arial" w:eastAsia="Arial" w:hAnsi="Arial" w:cs="Arial"/>
          <w:sz w:val="24"/>
          <w:szCs w:val="24"/>
          <w:shd w:val="clear" w:color="auto" w:fill="B6D7A8"/>
        </w:rPr>
        <w:t xml:space="preserve"> </w:t>
      </w:r>
    </w:p>
    <w:p w:rsidR="00C2622A" w:rsidRPr="00051B39" w:rsidRDefault="00C2622A" w:rsidP="008C70A3">
      <w:pPr>
        <w:pStyle w:val="Prrafodelista"/>
        <w:numPr>
          <w:ilvl w:val="0"/>
          <w:numId w:val="1"/>
        </w:numPr>
        <w:spacing w:after="0" w:line="480" w:lineRule="auto"/>
        <w:ind w:left="284"/>
        <w:rPr>
          <w:rFonts w:ascii="Arial" w:eastAsia="Arial" w:hAnsi="Arial" w:cs="Arial"/>
          <w:sz w:val="24"/>
          <w:szCs w:val="24"/>
          <w:highlight w:val="white"/>
        </w:rPr>
      </w:pPr>
      <w:r w:rsidRPr="000E3DB8">
        <w:rPr>
          <w:rFonts w:ascii="Arial" w:eastAsia="Arial" w:hAnsi="Arial" w:cs="Arial"/>
          <w:sz w:val="24"/>
          <w:szCs w:val="24"/>
        </w:rPr>
        <w:t>Saura</w:t>
      </w:r>
      <w:r w:rsidRPr="000E3DB8">
        <w:rPr>
          <w:rFonts w:ascii="Cambria Math" w:eastAsia="Arial" w:hAnsi="Cambria Math" w:cs="Cambria Math"/>
          <w:sz w:val="24"/>
          <w:szCs w:val="24"/>
        </w:rPr>
        <w:t>‐</w:t>
      </w:r>
      <w:r w:rsidRPr="000E3DB8">
        <w:rPr>
          <w:rFonts w:ascii="Arial" w:eastAsia="Arial" w:hAnsi="Arial" w:cs="Arial"/>
          <w:sz w:val="24"/>
          <w:szCs w:val="24"/>
        </w:rPr>
        <w:t>Calixto F, Pérez</w:t>
      </w:r>
      <w:r w:rsidRPr="000E3DB8">
        <w:rPr>
          <w:rFonts w:ascii="Cambria Math" w:eastAsia="Arial" w:hAnsi="Cambria Math" w:cs="Cambria Math"/>
          <w:sz w:val="24"/>
          <w:szCs w:val="24"/>
        </w:rPr>
        <w:t>‐</w:t>
      </w:r>
      <w:r w:rsidRPr="000E3DB8">
        <w:rPr>
          <w:rFonts w:ascii="Arial" w:eastAsia="Arial" w:hAnsi="Arial" w:cs="Arial"/>
          <w:sz w:val="24"/>
          <w:szCs w:val="24"/>
        </w:rPr>
        <w:t xml:space="preserve">Jiménez J, Touriño S, Serrano J, Fuguet E, Torres JL, Goñi I (2010) Proanthocyanidin metabolites associated with dietary fibre from </w:t>
      </w:r>
      <w:r w:rsidRPr="000E3DB8">
        <w:rPr>
          <w:rFonts w:ascii="Arial" w:eastAsia="Arial" w:hAnsi="Arial" w:cs="Arial"/>
          <w:i/>
          <w:sz w:val="24"/>
          <w:szCs w:val="24"/>
        </w:rPr>
        <w:t>in vitro</w:t>
      </w:r>
      <w:r w:rsidRPr="000E3DB8">
        <w:rPr>
          <w:rFonts w:ascii="Arial" w:eastAsia="Arial" w:hAnsi="Arial" w:cs="Arial"/>
          <w:sz w:val="24"/>
          <w:szCs w:val="24"/>
        </w:rPr>
        <w:t xml:space="preserve"> colonic fermentation and proanthocyanidin metabolites in human plasma. Mol Nutr Food Res 54:939-946. </w:t>
      </w:r>
      <w:hyperlink r:id="rId16">
        <w:r w:rsidRPr="000E3DB8">
          <w:rPr>
            <w:rFonts w:ascii="Arial" w:eastAsia="Arial" w:hAnsi="Arial" w:cs="Arial"/>
            <w:sz w:val="24"/>
            <w:szCs w:val="24"/>
          </w:rPr>
          <w:t>https://doi.org/10.1002/mnfr.200900276</w:t>
        </w:r>
      </w:hyperlink>
      <w:r w:rsidRPr="00051B39">
        <w:rPr>
          <w:rFonts w:ascii="Arial" w:eastAsia="Arial" w:hAnsi="Arial" w:cs="Arial"/>
          <w:sz w:val="24"/>
          <w:szCs w:val="24"/>
          <w:shd w:val="clear" w:color="auto" w:fill="B6D7A8"/>
        </w:rPr>
        <w:t xml:space="preserve"> </w:t>
      </w:r>
    </w:p>
    <w:p w:rsidR="001108B4" w:rsidRPr="00051B39" w:rsidRDefault="001108B4" w:rsidP="009D0862">
      <w:pPr>
        <w:pStyle w:val="Prrafodelista"/>
        <w:numPr>
          <w:ilvl w:val="0"/>
          <w:numId w:val="1"/>
        </w:numPr>
        <w:spacing w:after="0" w:line="480" w:lineRule="auto"/>
        <w:ind w:left="284"/>
        <w:rPr>
          <w:rFonts w:ascii="Arial" w:eastAsia="Arial" w:hAnsi="Arial" w:cs="Arial"/>
          <w:sz w:val="24"/>
          <w:szCs w:val="24"/>
          <w:highlight w:val="white"/>
        </w:rPr>
      </w:pPr>
      <w:r w:rsidRPr="00051B39">
        <w:rPr>
          <w:rFonts w:ascii="Arial" w:eastAsia="Arial" w:hAnsi="Arial" w:cs="Arial"/>
          <w:sz w:val="24"/>
          <w:szCs w:val="24"/>
          <w:highlight w:val="white"/>
        </w:rPr>
        <w:t xml:space="preserve">Díaz-Batalla L, Hernández-Uribe JP, Gutiérrez-Dorado R, Téllez-Jurado A, Castro-Rosas J, Pérez-Cadena R, Gómez-Aldapa CA (2018) Nutritional characterization of Prosopis laevigata Legume tree (Mesquite) seed flour and the effect of extrusion cooking on its bioactive components. Foods 7:124. </w:t>
      </w:r>
      <w:hyperlink r:id="rId17">
        <w:r w:rsidRPr="00051B39">
          <w:rPr>
            <w:rFonts w:ascii="Arial" w:eastAsia="Arial" w:hAnsi="Arial" w:cs="Arial"/>
            <w:sz w:val="24"/>
            <w:szCs w:val="24"/>
            <w:highlight w:val="white"/>
          </w:rPr>
          <w:t>https://doi.org/10.3390/foods7080124</w:t>
        </w:r>
      </w:hyperlink>
      <w:r w:rsidRPr="00051B39">
        <w:rPr>
          <w:rFonts w:ascii="Arial" w:eastAsia="Arial" w:hAnsi="Arial" w:cs="Arial"/>
          <w:sz w:val="24"/>
          <w:szCs w:val="24"/>
          <w:highlight w:val="white"/>
        </w:rPr>
        <w:t xml:space="preserve"> </w:t>
      </w:r>
    </w:p>
    <w:p w:rsidR="0067267B" w:rsidRPr="00051B39" w:rsidRDefault="0067267B" w:rsidP="00A41D67">
      <w:pPr>
        <w:pStyle w:val="Prrafodelista"/>
        <w:numPr>
          <w:ilvl w:val="0"/>
          <w:numId w:val="1"/>
        </w:numPr>
        <w:spacing w:after="0" w:line="480" w:lineRule="auto"/>
        <w:ind w:left="284"/>
        <w:rPr>
          <w:rFonts w:ascii="Arial" w:eastAsia="Arial" w:hAnsi="Arial" w:cs="Arial"/>
          <w:sz w:val="24"/>
          <w:szCs w:val="24"/>
          <w:shd w:val="clear" w:color="auto" w:fill="B6D7A8"/>
        </w:rPr>
      </w:pPr>
      <w:r w:rsidRPr="00281D3C">
        <w:rPr>
          <w:rFonts w:ascii="Arial" w:eastAsia="Arial" w:hAnsi="Arial" w:cs="Arial"/>
          <w:sz w:val="24"/>
          <w:szCs w:val="24"/>
        </w:rPr>
        <w:t>Manzur-Valdespino S, Ramírez-Moreno E, Arias-Rico J et al</w:t>
      </w:r>
      <w:r w:rsidRPr="00281D3C">
        <w:rPr>
          <w:rFonts w:ascii="Arial" w:eastAsia="Roboto" w:hAnsi="Arial" w:cs="Arial"/>
          <w:sz w:val="24"/>
          <w:szCs w:val="24"/>
        </w:rPr>
        <w:t xml:space="preserve"> </w:t>
      </w:r>
      <w:r w:rsidRPr="00281D3C">
        <w:rPr>
          <w:rFonts w:ascii="Arial" w:eastAsia="Arial" w:hAnsi="Arial" w:cs="Arial"/>
          <w:sz w:val="24"/>
          <w:szCs w:val="24"/>
        </w:rPr>
        <w:t xml:space="preserve">(2020) </w:t>
      </w:r>
      <w:r w:rsidRPr="00281D3C">
        <w:rPr>
          <w:rFonts w:ascii="Arial" w:eastAsia="Arial" w:hAnsi="Arial" w:cs="Arial"/>
          <w:i/>
          <w:sz w:val="24"/>
          <w:szCs w:val="24"/>
        </w:rPr>
        <w:t>Opuntia</w:t>
      </w:r>
      <w:r w:rsidRPr="00281D3C">
        <w:rPr>
          <w:rFonts w:ascii="Arial" w:eastAsia="Arial" w:hAnsi="Arial" w:cs="Arial"/>
          <w:sz w:val="24"/>
          <w:szCs w:val="24"/>
        </w:rPr>
        <w:t xml:space="preserve"> </w:t>
      </w:r>
      <w:r w:rsidRPr="00281D3C">
        <w:rPr>
          <w:rFonts w:ascii="Arial" w:eastAsia="Arial" w:hAnsi="Arial" w:cs="Arial"/>
          <w:i/>
          <w:sz w:val="24"/>
          <w:szCs w:val="24"/>
        </w:rPr>
        <w:t>ficus-indica</w:t>
      </w:r>
      <w:r w:rsidRPr="00281D3C">
        <w:rPr>
          <w:rFonts w:ascii="Arial" w:eastAsia="Arial" w:hAnsi="Arial" w:cs="Arial"/>
          <w:sz w:val="24"/>
          <w:szCs w:val="24"/>
        </w:rPr>
        <w:t xml:space="preserve"> L. Mill residues-properties and application possibilities in food supplements.  Appl Sci 10:3260. </w:t>
      </w:r>
      <w:hyperlink r:id="rId18">
        <w:r w:rsidRPr="00281D3C">
          <w:rPr>
            <w:rFonts w:ascii="Arial" w:eastAsia="Arial" w:hAnsi="Arial" w:cs="Arial"/>
            <w:sz w:val="24"/>
            <w:szCs w:val="24"/>
          </w:rPr>
          <w:t>https://doi.org/10.3390/app10093260</w:t>
        </w:r>
      </w:hyperlink>
      <w:r w:rsidRPr="00051B39">
        <w:rPr>
          <w:rFonts w:ascii="Arial" w:eastAsia="Arial" w:hAnsi="Arial" w:cs="Arial"/>
          <w:sz w:val="24"/>
          <w:szCs w:val="24"/>
          <w:shd w:val="clear" w:color="auto" w:fill="B6D7A8"/>
        </w:rPr>
        <w:t xml:space="preserve"> </w:t>
      </w:r>
    </w:p>
    <w:p w:rsidR="00D77D1D" w:rsidRPr="00051B39" w:rsidRDefault="00D77D1D" w:rsidP="00940C8D">
      <w:pPr>
        <w:spacing w:after="0" w:line="480" w:lineRule="auto"/>
        <w:ind w:firstLine="0"/>
        <w:rPr>
          <w:rFonts w:ascii="Arial" w:eastAsia="Arial" w:hAnsi="Arial" w:cs="Arial"/>
          <w:sz w:val="24"/>
          <w:szCs w:val="24"/>
          <w:shd w:val="clear" w:color="auto" w:fill="B6D7A8"/>
        </w:rPr>
      </w:pPr>
    </w:p>
    <w:p w:rsidR="00940C8D" w:rsidRPr="00051B39" w:rsidRDefault="00940C8D" w:rsidP="00676AFB">
      <w:pPr>
        <w:spacing w:after="0" w:line="480" w:lineRule="auto"/>
        <w:ind w:firstLine="0"/>
        <w:rPr>
          <w:rFonts w:ascii="Arial" w:eastAsia="Arial" w:hAnsi="Arial" w:cs="Arial"/>
          <w:sz w:val="24"/>
          <w:szCs w:val="24"/>
        </w:rPr>
      </w:pPr>
    </w:p>
    <w:p w:rsidR="003720CC" w:rsidRPr="00051B39" w:rsidRDefault="003720CC" w:rsidP="00623FA9">
      <w:pPr>
        <w:spacing w:after="0" w:line="480" w:lineRule="auto"/>
        <w:ind w:firstLine="0"/>
        <w:rPr>
          <w:rFonts w:ascii="Arial" w:eastAsia="Roboto" w:hAnsi="Arial" w:cs="Arial"/>
          <w:sz w:val="24"/>
          <w:szCs w:val="24"/>
          <w:shd w:val="clear" w:color="auto" w:fill="B6D7A8"/>
        </w:rPr>
      </w:pPr>
    </w:p>
    <w:p w:rsidR="00CC4CA0" w:rsidRPr="00051B39" w:rsidRDefault="00CC4CA0" w:rsidP="00DF5D54">
      <w:pPr>
        <w:spacing w:after="0" w:line="480" w:lineRule="auto"/>
        <w:ind w:firstLine="0"/>
        <w:rPr>
          <w:rFonts w:ascii="Arial" w:eastAsia="Arial" w:hAnsi="Arial" w:cs="Arial"/>
          <w:sz w:val="24"/>
          <w:szCs w:val="24"/>
        </w:rPr>
      </w:pPr>
    </w:p>
    <w:p w:rsidR="00326D47" w:rsidRPr="00051B39" w:rsidRDefault="00326D47" w:rsidP="006D2E86">
      <w:pPr>
        <w:ind w:firstLine="0"/>
        <w:rPr>
          <w:rFonts w:ascii="Arial" w:hAnsi="Arial" w:cs="Arial"/>
          <w:sz w:val="24"/>
          <w:szCs w:val="24"/>
        </w:rPr>
      </w:pPr>
    </w:p>
    <w:sectPr w:rsidR="00326D47" w:rsidRPr="00051B39" w:rsidSect="008242AC">
      <w:footerReference w:type="default" r:id="rId19"/>
      <w:pgSz w:w="12240" w:h="15840"/>
      <w:pgMar w:top="1276"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4A" w:rsidRDefault="00C1284A" w:rsidP="008242AC">
      <w:pPr>
        <w:spacing w:after="0" w:line="240" w:lineRule="auto"/>
      </w:pPr>
      <w:r>
        <w:separator/>
      </w:r>
    </w:p>
  </w:endnote>
  <w:endnote w:type="continuationSeparator" w:id="0">
    <w:p w:rsidR="00C1284A" w:rsidRDefault="00C1284A" w:rsidP="0082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819694"/>
      <w:docPartObj>
        <w:docPartGallery w:val="Page Numbers (Bottom of Page)"/>
        <w:docPartUnique/>
      </w:docPartObj>
    </w:sdtPr>
    <w:sdtContent>
      <w:p w:rsidR="008242AC" w:rsidRDefault="008242AC">
        <w:pPr>
          <w:pStyle w:val="Piedepgina"/>
          <w:jc w:val="right"/>
        </w:pPr>
        <w:r>
          <w:fldChar w:fldCharType="begin"/>
        </w:r>
        <w:r>
          <w:instrText>PAGE   \* MERGEFORMAT</w:instrText>
        </w:r>
        <w:r>
          <w:fldChar w:fldCharType="separate"/>
        </w:r>
        <w:r>
          <w:rPr>
            <w:lang w:val="es-ES"/>
          </w:rPr>
          <w:t>2</w:t>
        </w:r>
        <w:r>
          <w:fldChar w:fldCharType="end"/>
        </w:r>
      </w:p>
    </w:sdtContent>
  </w:sdt>
  <w:p w:rsidR="008242AC" w:rsidRDefault="008242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4A" w:rsidRDefault="00C1284A" w:rsidP="008242AC">
      <w:pPr>
        <w:spacing w:after="0" w:line="240" w:lineRule="auto"/>
      </w:pPr>
      <w:r>
        <w:separator/>
      </w:r>
    </w:p>
  </w:footnote>
  <w:footnote w:type="continuationSeparator" w:id="0">
    <w:p w:rsidR="00C1284A" w:rsidRDefault="00C1284A" w:rsidP="00824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049B6"/>
    <w:multiLevelType w:val="hybridMultilevel"/>
    <w:tmpl w:val="50180A36"/>
    <w:lvl w:ilvl="0" w:tplc="2B1E9EB0">
      <w:start w:val="1"/>
      <w:numFmt w:val="decimal"/>
      <w:lvlText w:val="%1."/>
      <w:lvlJc w:val="left"/>
      <w:pPr>
        <w:ind w:left="720" w:hanging="360"/>
      </w:pPr>
      <w:rPr>
        <w:rFonts w:ascii="Arial" w:hAnsi="Arial"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54"/>
    <w:rsid w:val="000251CF"/>
    <w:rsid w:val="00026152"/>
    <w:rsid w:val="00036668"/>
    <w:rsid w:val="00051B39"/>
    <w:rsid w:val="000835E5"/>
    <w:rsid w:val="0008701F"/>
    <w:rsid w:val="00087578"/>
    <w:rsid w:val="000E3DB8"/>
    <w:rsid w:val="001108B4"/>
    <w:rsid w:val="00144E52"/>
    <w:rsid w:val="001C4478"/>
    <w:rsid w:val="001F58C5"/>
    <w:rsid w:val="00206CB4"/>
    <w:rsid w:val="00281D3C"/>
    <w:rsid w:val="002875AA"/>
    <w:rsid w:val="00326A7A"/>
    <w:rsid w:val="00326D47"/>
    <w:rsid w:val="003720CC"/>
    <w:rsid w:val="0039314E"/>
    <w:rsid w:val="00496B3C"/>
    <w:rsid w:val="004D3D16"/>
    <w:rsid w:val="004E610C"/>
    <w:rsid w:val="00517961"/>
    <w:rsid w:val="00551F6F"/>
    <w:rsid w:val="0055350A"/>
    <w:rsid w:val="005971BC"/>
    <w:rsid w:val="00600AE2"/>
    <w:rsid w:val="00623FA9"/>
    <w:rsid w:val="0063401A"/>
    <w:rsid w:val="0067267B"/>
    <w:rsid w:val="00676AFB"/>
    <w:rsid w:val="0068030E"/>
    <w:rsid w:val="006D2E86"/>
    <w:rsid w:val="00760F1C"/>
    <w:rsid w:val="007F2C8D"/>
    <w:rsid w:val="008242AC"/>
    <w:rsid w:val="008C70A3"/>
    <w:rsid w:val="00940C8D"/>
    <w:rsid w:val="00954BC6"/>
    <w:rsid w:val="009C5578"/>
    <w:rsid w:val="009D0862"/>
    <w:rsid w:val="00A14961"/>
    <w:rsid w:val="00A41D67"/>
    <w:rsid w:val="00A9237C"/>
    <w:rsid w:val="00AD408A"/>
    <w:rsid w:val="00B14827"/>
    <w:rsid w:val="00B357AA"/>
    <w:rsid w:val="00BF0723"/>
    <w:rsid w:val="00C048C5"/>
    <w:rsid w:val="00C1284A"/>
    <w:rsid w:val="00C2622A"/>
    <w:rsid w:val="00C32B26"/>
    <w:rsid w:val="00C52C35"/>
    <w:rsid w:val="00C80CF0"/>
    <w:rsid w:val="00CC4CA0"/>
    <w:rsid w:val="00CD5491"/>
    <w:rsid w:val="00D77D1D"/>
    <w:rsid w:val="00DF5D54"/>
    <w:rsid w:val="00E41845"/>
    <w:rsid w:val="00F14773"/>
    <w:rsid w:val="00F60440"/>
    <w:rsid w:val="00FA6080"/>
    <w:rsid w:val="00FB3C43"/>
    <w:rsid w:val="00FB5A97"/>
    <w:rsid w:val="00FF4B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601A"/>
  <w15:chartTrackingRefBased/>
  <w15:docId w15:val="{AD951C94-3A6F-4919-9BC8-E2F83B5C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D54"/>
    <w:pPr>
      <w:ind w:firstLine="709"/>
      <w:jc w:val="both"/>
    </w:pPr>
    <w:rPr>
      <w:rFonts w:ascii="Calibri" w:eastAsia="Calibri"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4BED"/>
    <w:pPr>
      <w:ind w:left="720"/>
      <w:contextualSpacing/>
    </w:pPr>
  </w:style>
  <w:style w:type="paragraph" w:styleId="Encabezado">
    <w:name w:val="header"/>
    <w:basedOn w:val="Normal"/>
    <w:link w:val="EncabezadoCar"/>
    <w:uiPriority w:val="99"/>
    <w:unhideWhenUsed/>
    <w:rsid w:val="008242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2AC"/>
    <w:rPr>
      <w:rFonts w:ascii="Calibri" w:eastAsia="Calibri" w:hAnsi="Calibri" w:cs="Times New Roman"/>
      <w:lang w:eastAsia="es-MX"/>
    </w:rPr>
  </w:style>
  <w:style w:type="paragraph" w:styleId="Piedepgina">
    <w:name w:val="footer"/>
    <w:basedOn w:val="Normal"/>
    <w:link w:val="PiedepginaCar"/>
    <w:uiPriority w:val="99"/>
    <w:unhideWhenUsed/>
    <w:rsid w:val="008242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2AC"/>
    <w:rPr>
      <w:rFonts w:ascii="Calibri" w:eastAsia="Calibri" w:hAnsi="Calibri" w:cs="Times New Roman"/>
      <w:lang w:eastAsia="es-MX"/>
    </w:rPr>
  </w:style>
  <w:style w:type="character" w:styleId="Nmerodelnea">
    <w:name w:val="line number"/>
    <w:basedOn w:val="Fuentedeprrafopredeter"/>
    <w:uiPriority w:val="99"/>
    <w:semiHidden/>
    <w:unhideWhenUsed/>
    <w:rsid w:val="0082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18/5950761" TargetMode="External"/><Relationship Id="rId13" Type="http://schemas.openxmlformats.org/officeDocument/2006/relationships/hyperlink" Target="https://doi.org/10.1016/j.foodchem.2004.03.057" TargetMode="External"/><Relationship Id="rId18" Type="http://schemas.openxmlformats.org/officeDocument/2006/relationships/hyperlink" Target="https://doi.org/10.3390/app100932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S0271-5317(98)00090-6" TargetMode="External"/><Relationship Id="rId17" Type="http://schemas.openxmlformats.org/officeDocument/2006/relationships/hyperlink" Target="https://doi.org/10.3390/foods7080124" TargetMode="External"/><Relationship Id="rId2" Type="http://schemas.openxmlformats.org/officeDocument/2006/relationships/numbering" Target="numbering.xml"/><Relationship Id="rId16" Type="http://schemas.openxmlformats.org/officeDocument/2006/relationships/hyperlink" Target="https://doi.org/10.1002/mnfr.2009002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79/BJN19950137" TargetMode="External"/><Relationship Id="rId5" Type="http://schemas.openxmlformats.org/officeDocument/2006/relationships/webSettings" Target="webSettings.xml"/><Relationship Id="rId15" Type="http://schemas.openxmlformats.org/officeDocument/2006/relationships/hyperlink" Target="https://doi.org/10.1002/bmc.580" TargetMode="External"/><Relationship Id="rId10" Type="http://schemas.openxmlformats.org/officeDocument/2006/relationships/hyperlink" Target="https://doi.org/10.1007/s11130-020-00855-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390/molecules21070950" TargetMode="External"/><Relationship Id="rId14" Type="http://schemas.openxmlformats.org/officeDocument/2006/relationships/hyperlink" Target="https://doi.org/10.3390/app90306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8CAE-4DEE-458C-AB3F-1146865D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2222</Words>
  <Characters>12226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37</cp:revision>
  <dcterms:created xsi:type="dcterms:W3CDTF">2022-03-11T21:14:00Z</dcterms:created>
  <dcterms:modified xsi:type="dcterms:W3CDTF">2022-03-11T23:13:00Z</dcterms:modified>
</cp:coreProperties>
</file>