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09F1B" w14:textId="77777777" w:rsidR="00A930D3" w:rsidRPr="002773E8" w:rsidRDefault="00A930D3" w:rsidP="00A930D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2773E8">
        <w:rPr>
          <w:rFonts w:asciiTheme="minorHAnsi" w:hAnsiTheme="minorHAnsi" w:cstheme="minorHAnsi"/>
          <w:b/>
          <w:bCs/>
          <w:color w:val="000000"/>
        </w:rPr>
        <w:t>Stroke and Major Bleeding when Switching from Warfarin to Apixaban in Patients with Advanced Chronic Kidney Disease and Prevalent Atrial Fibrillation</w:t>
      </w:r>
    </w:p>
    <w:p w14:paraId="6474A2F3" w14:textId="77777777" w:rsidR="00A930D3" w:rsidRPr="002773E8" w:rsidRDefault="00A930D3" w:rsidP="00A930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vertAlign w:val="superscript"/>
        </w:rPr>
      </w:pPr>
      <w:r w:rsidRPr="002773E8">
        <w:rPr>
          <w:rFonts w:asciiTheme="minorHAnsi" w:hAnsiTheme="minorHAnsi" w:cstheme="minorHAnsi"/>
          <w:color w:val="000000"/>
        </w:rPr>
        <w:br/>
      </w:r>
      <w:r w:rsidRPr="002773E8">
        <w:rPr>
          <w:rFonts w:asciiTheme="minorHAnsi" w:hAnsiTheme="minorHAnsi" w:cstheme="minorHAnsi"/>
          <w:color w:val="000000"/>
          <w:shd w:val="clear" w:color="auto" w:fill="FFFFFF"/>
        </w:rPr>
        <w:t>Katherine G. Garlo, MD</w:t>
      </w:r>
      <w:r w:rsidRPr="002773E8">
        <w:rPr>
          <w:rFonts w:asciiTheme="minorHAnsi" w:hAnsiTheme="minorHAnsi" w:cstheme="minorHAnsi"/>
          <w:color w:val="000000"/>
          <w:vertAlign w:val="superscript"/>
        </w:rPr>
        <w:t>1</w:t>
      </w:r>
      <w:r w:rsidRPr="002773E8">
        <w:rPr>
          <w:rFonts w:asciiTheme="minorHAnsi" w:hAnsiTheme="minorHAnsi" w:cstheme="minorHAnsi"/>
          <w:color w:val="000000"/>
          <w:shd w:val="clear" w:color="auto" w:fill="FFFFFF"/>
        </w:rPr>
        <w:t xml:space="preserve">, Thomas A. </w:t>
      </w:r>
      <w:proofErr w:type="spellStart"/>
      <w:r w:rsidRPr="002773E8">
        <w:rPr>
          <w:rFonts w:asciiTheme="minorHAnsi" w:hAnsiTheme="minorHAnsi" w:cstheme="minorHAnsi"/>
          <w:color w:val="000000"/>
          <w:shd w:val="clear" w:color="auto" w:fill="FFFFFF"/>
        </w:rPr>
        <w:t>Mavrakanas</w:t>
      </w:r>
      <w:proofErr w:type="spellEnd"/>
      <w:r w:rsidRPr="002773E8">
        <w:rPr>
          <w:rFonts w:asciiTheme="minorHAnsi" w:hAnsiTheme="minorHAnsi" w:cstheme="minorHAnsi"/>
          <w:color w:val="000000"/>
          <w:shd w:val="clear" w:color="auto" w:fill="FFFFFF"/>
        </w:rPr>
        <w:t>, MD, MSc, FRCPC, FASN,1</w:t>
      </w:r>
      <w:r w:rsidRPr="002773E8">
        <w:rPr>
          <w:rFonts w:asciiTheme="minorHAnsi" w:hAnsiTheme="minorHAnsi" w:cstheme="minorHAnsi"/>
          <w:color w:val="000000"/>
          <w:vertAlign w:val="superscript"/>
        </w:rPr>
        <w:t>1,2</w:t>
      </w:r>
      <w:r w:rsidRPr="002773E8">
        <w:rPr>
          <w:rFonts w:asciiTheme="minorHAnsi" w:hAnsiTheme="minorHAnsi" w:cstheme="minorHAnsi"/>
          <w:color w:val="000000"/>
          <w:shd w:val="clear" w:color="auto" w:fill="FFFFFF"/>
        </w:rPr>
        <w:t>, Burdick, Elisabeth, MS</w:t>
      </w:r>
      <w:r w:rsidRPr="002773E8">
        <w:rPr>
          <w:rFonts w:asciiTheme="minorHAnsi" w:hAnsiTheme="minorHAnsi" w:cstheme="minorHAnsi"/>
          <w:color w:val="000000"/>
          <w:vertAlign w:val="superscript"/>
        </w:rPr>
        <w:t>3</w:t>
      </w:r>
      <w:r w:rsidRPr="002773E8">
        <w:rPr>
          <w:rFonts w:asciiTheme="minorHAnsi" w:hAnsiTheme="minorHAnsi" w:cstheme="minorHAnsi"/>
          <w:color w:val="000000"/>
          <w:shd w:val="clear" w:color="auto" w:fill="FFFFFF"/>
        </w:rPr>
        <w:t>, Wei Wang, PhD</w:t>
      </w:r>
      <w:r w:rsidRPr="002773E8">
        <w:rPr>
          <w:rFonts w:asciiTheme="minorHAnsi" w:hAnsiTheme="minorHAnsi" w:cstheme="minorHAnsi"/>
          <w:color w:val="000000"/>
          <w:vertAlign w:val="superscript"/>
        </w:rPr>
        <w:t>4</w:t>
      </w:r>
      <w:r w:rsidRPr="002773E8">
        <w:rPr>
          <w:rFonts w:asciiTheme="minorHAnsi" w:hAnsiTheme="minorHAnsi" w:cstheme="minorHAnsi"/>
          <w:color w:val="000000"/>
          <w:shd w:val="clear" w:color="auto" w:fill="FFFFFF"/>
        </w:rPr>
        <w:t>, David M. Charytan, MD, MSc</w:t>
      </w:r>
      <w:r w:rsidRPr="002773E8">
        <w:rPr>
          <w:rFonts w:asciiTheme="minorHAnsi" w:hAnsiTheme="minorHAnsi" w:cstheme="minorHAnsi"/>
          <w:color w:val="000000"/>
          <w:vertAlign w:val="superscript"/>
        </w:rPr>
        <w:t>5</w:t>
      </w:r>
    </w:p>
    <w:p w14:paraId="699C43CE" w14:textId="77777777" w:rsidR="00A930D3" w:rsidRPr="002773E8" w:rsidRDefault="00A930D3" w:rsidP="00A930D3">
      <w:pPr>
        <w:pStyle w:val="CommentText"/>
        <w:rPr>
          <w:rFonts w:cstheme="minorHAnsi"/>
        </w:rPr>
      </w:pPr>
      <w:r w:rsidRPr="002773E8">
        <w:rPr>
          <w:rFonts w:cstheme="minorHAnsi"/>
          <w:color w:val="000000"/>
        </w:rPr>
        <w:br/>
      </w:r>
      <w:r w:rsidRPr="002773E8">
        <w:rPr>
          <w:rFonts w:cstheme="minorHAnsi"/>
          <w:color w:val="000000"/>
          <w:vertAlign w:val="superscript"/>
        </w:rPr>
        <w:t>1</w:t>
      </w:r>
      <w:r w:rsidRPr="002773E8">
        <w:rPr>
          <w:rFonts w:cstheme="minorHAnsi"/>
          <w:color w:val="000000"/>
          <w:shd w:val="clear" w:color="auto" w:fill="FFFFFF"/>
        </w:rPr>
        <w:t>Department of Medicine, Renal Division, Brigham &amp; Women’s Hospital, Boston, MA</w:t>
      </w:r>
      <w:r w:rsidRPr="002773E8">
        <w:rPr>
          <w:rFonts w:cstheme="minorHAnsi"/>
          <w:color w:val="000000"/>
          <w:vertAlign w:val="superscript"/>
        </w:rPr>
        <w:t>2</w:t>
      </w:r>
      <w:r w:rsidRPr="002773E8">
        <w:rPr>
          <w:rFonts w:cstheme="minorHAnsi"/>
        </w:rPr>
        <w:t xml:space="preserve">Division of Nephrology, Department of Medicine, McGill University Health Centre, Montreal, QC, Canada, </w:t>
      </w:r>
      <w:r w:rsidRPr="002773E8">
        <w:rPr>
          <w:rFonts w:cstheme="minorHAnsi"/>
          <w:color w:val="000000"/>
          <w:vertAlign w:val="superscript"/>
        </w:rPr>
        <w:t>3</w:t>
      </w:r>
      <w:r w:rsidRPr="002773E8">
        <w:rPr>
          <w:rFonts w:cstheme="minorHAnsi"/>
          <w:color w:val="000000"/>
          <w:shd w:val="clear" w:color="auto" w:fill="FFFFFF"/>
        </w:rPr>
        <w:t>The Center for Patient Safety Research and Practice, Brigham &amp; Women’s Hospital, Boston, MA, USA,</w:t>
      </w:r>
      <w:r w:rsidRPr="002773E8">
        <w:rPr>
          <w:rFonts w:cstheme="minorHAnsi"/>
          <w:color w:val="000000"/>
          <w:vertAlign w:val="superscript"/>
        </w:rPr>
        <w:t>4</w:t>
      </w:r>
      <w:r w:rsidRPr="002773E8">
        <w:rPr>
          <w:rFonts w:cstheme="minorHAnsi"/>
          <w:color w:val="000000"/>
          <w:shd w:val="clear" w:color="auto" w:fill="FFFFFF"/>
        </w:rPr>
        <w:t xml:space="preserve"> Division of Sleep and Circadian Disorders, Departments of Medicine and Neurology, Brigham and Women's Hospital, </w:t>
      </w:r>
      <w:r w:rsidRPr="002773E8">
        <w:rPr>
          <w:rFonts w:cstheme="minorHAnsi"/>
          <w:color w:val="000000"/>
          <w:vertAlign w:val="superscript"/>
        </w:rPr>
        <w:t>5</w:t>
      </w:r>
      <w:r w:rsidRPr="002773E8">
        <w:rPr>
          <w:rFonts w:cstheme="minorHAnsi"/>
          <w:color w:val="000000"/>
          <w:shd w:val="clear" w:color="auto" w:fill="FFFFFF"/>
        </w:rPr>
        <w:t>Department of Medicine, Nephrology Division, New York University Grossman School of Medicine, NY, USA</w:t>
      </w:r>
    </w:p>
    <w:p w14:paraId="4472149D" w14:textId="77777777" w:rsidR="00DC6192" w:rsidRDefault="00DC6192" w:rsidP="00CA0044">
      <w:pPr>
        <w:spacing w:after="240"/>
        <w:rPr>
          <w:b/>
          <w:bCs/>
          <w:sz w:val="22"/>
          <w:szCs w:val="22"/>
        </w:rPr>
      </w:pPr>
    </w:p>
    <w:p w14:paraId="1E84079B" w14:textId="77777777" w:rsidR="00CA0044" w:rsidRDefault="00CA0044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p w14:paraId="74B06363" w14:textId="77777777" w:rsidR="00CA0044" w:rsidRDefault="00CA0044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p w14:paraId="2DE1BD35" w14:textId="77777777" w:rsidR="00CA0044" w:rsidRDefault="00CA0044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p w14:paraId="482477FD" w14:textId="04DC275F" w:rsidR="00CA0044" w:rsidRDefault="00CA0044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p w14:paraId="0CDF287A" w14:textId="6820964D" w:rsidR="00DC6192" w:rsidRDefault="00DC6192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p w14:paraId="4532FAD6" w14:textId="4FCDCF0A" w:rsidR="00DC6192" w:rsidRDefault="00DC6192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p w14:paraId="258C90AB" w14:textId="1C96C864" w:rsidR="00DC6192" w:rsidRDefault="00DC6192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p w14:paraId="5F9256C1" w14:textId="0C170D52" w:rsidR="00DC6192" w:rsidRDefault="00DC6192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p w14:paraId="6B66C925" w14:textId="613F7FC8" w:rsidR="00DC6192" w:rsidRDefault="00DC6192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p w14:paraId="5C1618DC" w14:textId="56C49DC4" w:rsidR="00DC6192" w:rsidRDefault="00DC6192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p w14:paraId="4FE54CFB" w14:textId="2AC71ECA" w:rsidR="00DC6192" w:rsidRDefault="00DC6192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p w14:paraId="33F4EA8C" w14:textId="55D6DB6B" w:rsidR="00DC6192" w:rsidRDefault="00DC6192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p w14:paraId="2EAC7A8E" w14:textId="29E65588" w:rsidR="00DC6192" w:rsidRDefault="00DC6192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p w14:paraId="046C01E0" w14:textId="3E909C15" w:rsidR="00DC6192" w:rsidRDefault="00DC6192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p w14:paraId="4CC0A3D3" w14:textId="1559B976" w:rsidR="00DC6192" w:rsidRDefault="00DC6192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p w14:paraId="2E2C953F" w14:textId="7F666042" w:rsidR="00DC6192" w:rsidRDefault="00DC6192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p w14:paraId="1587C408" w14:textId="14782AB8" w:rsidR="00DC6192" w:rsidRDefault="00DC6192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p w14:paraId="610B9714" w14:textId="14AFC9FD" w:rsidR="00DC6192" w:rsidRDefault="00DC6192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p w14:paraId="73DCFD40" w14:textId="7FEC73B6" w:rsidR="00DC6192" w:rsidRDefault="00DC6192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p w14:paraId="71534707" w14:textId="77777777" w:rsidR="00DC6192" w:rsidRDefault="00DC6192" w:rsidP="00DC6192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  <w:r w:rsidRPr="00942C45">
        <w:rPr>
          <w:b/>
          <w:bCs/>
          <w:sz w:val="22"/>
          <w:szCs w:val="22"/>
        </w:rPr>
        <w:t>Supplemental</w:t>
      </w:r>
      <w:r>
        <w:rPr>
          <w:sz w:val="22"/>
          <w:szCs w:val="22"/>
        </w:rPr>
        <w:t xml:space="preserve"> </w:t>
      </w:r>
      <w:r w:rsidRPr="009272BB">
        <w:rPr>
          <w:b/>
          <w:sz w:val="22"/>
          <w:szCs w:val="22"/>
        </w:rPr>
        <w:t xml:space="preserve">Table </w:t>
      </w:r>
      <w:r>
        <w:rPr>
          <w:b/>
          <w:sz w:val="22"/>
          <w:szCs w:val="22"/>
        </w:rPr>
        <w:t>1</w:t>
      </w:r>
      <w:r w:rsidRPr="003E4822">
        <w:rPr>
          <w:b/>
          <w:sz w:val="22"/>
          <w:szCs w:val="22"/>
        </w:rPr>
        <w:t>.</w:t>
      </w:r>
      <w:r w:rsidRPr="003E4822">
        <w:rPr>
          <w:sz w:val="22"/>
          <w:szCs w:val="22"/>
        </w:rPr>
        <w:t xml:space="preserve"> </w:t>
      </w:r>
      <w:r w:rsidRPr="009B47C4">
        <w:rPr>
          <w:b/>
          <w:bCs/>
          <w:sz w:val="22"/>
          <w:szCs w:val="22"/>
        </w:rPr>
        <w:t xml:space="preserve">ICD-9 and ICD-10 </w:t>
      </w:r>
      <w:r>
        <w:rPr>
          <w:b/>
          <w:bCs/>
          <w:sz w:val="22"/>
          <w:szCs w:val="22"/>
        </w:rPr>
        <w:t xml:space="preserve">primary outcome </w:t>
      </w:r>
      <w:r w:rsidRPr="009B47C4">
        <w:rPr>
          <w:b/>
          <w:bCs/>
          <w:sz w:val="22"/>
          <w:szCs w:val="22"/>
        </w:rPr>
        <w:t>diagnostic codes</w:t>
      </w:r>
      <w:r w:rsidRPr="003E4822">
        <w:rPr>
          <w:sz w:val="22"/>
          <w:szCs w:val="22"/>
        </w:rPr>
        <w:t xml:space="preserve"> </w:t>
      </w:r>
    </w:p>
    <w:p w14:paraId="0D1270CD" w14:textId="177E149C" w:rsidR="00DC6192" w:rsidRDefault="00DC6192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tbl>
      <w:tblPr>
        <w:tblpPr w:leftFromText="180" w:rightFromText="180" w:vertAnchor="page" w:horzAnchor="margin" w:tblpY="2541"/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5940"/>
      </w:tblGrid>
      <w:tr w:rsidR="00DC6192" w:rsidRPr="00356F63" w14:paraId="2453F876" w14:textId="77777777" w:rsidTr="00DC6192">
        <w:trPr>
          <w:trHeight w:val="17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54DD4B68" w14:textId="77777777" w:rsidR="00DC6192" w:rsidRPr="00890E5E" w:rsidRDefault="00DC6192" w:rsidP="00DC6192">
            <w:pPr>
              <w:pStyle w:val="TableParagraph"/>
              <w:spacing w:line="240" w:lineRule="auto"/>
              <w:ind w:left="115" w:right="887"/>
              <w:rPr>
                <w:rFonts w:asciiTheme="minorHAnsi" w:hAnsiTheme="minorHAnsi"/>
                <w:b/>
                <w:bCs/>
              </w:rPr>
            </w:pPr>
            <w:r w:rsidRPr="00890E5E">
              <w:rPr>
                <w:rFonts w:asciiTheme="minorHAnsi" w:hAnsiTheme="minorHAnsi"/>
                <w:b/>
                <w:bCs/>
              </w:rPr>
              <w:t xml:space="preserve">Diagnosis 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48A2B058" w14:textId="77777777" w:rsidR="00DC6192" w:rsidRPr="00356F63" w:rsidRDefault="00DC6192" w:rsidP="00DC6192">
            <w:pPr>
              <w:pStyle w:val="TableParagraph"/>
              <w:spacing w:line="224" w:lineRule="exact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ICD Code</w:t>
            </w:r>
          </w:p>
        </w:tc>
      </w:tr>
      <w:tr w:rsidR="00DC6192" w:rsidRPr="00356F63" w14:paraId="053A30FF" w14:textId="77777777" w:rsidTr="00DC6192">
        <w:trPr>
          <w:trHeight w:val="166"/>
        </w:trPr>
        <w:tc>
          <w:tcPr>
            <w:tcW w:w="3420" w:type="dxa"/>
            <w:tcBorders>
              <w:top w:val="single" w:sz="4" w:space="0" w:color="auto"/>
            </w:tcBorders>
          </w:tcPr>
          <w:p w14:paraId="446F8E33" w14:textId="77777777" w:rsidR="00DC6192" w:rsidRPr="00F45C11" w:rsidRDefault="00DC6192" w:rsidP="00DC6192">
            <w:pPr>
              <w:pStyle w:val="TableParagraph"/>
              <w:spacing w:before="10" w:line="240" w:lineRule="auto"/>
              <w:ind w:left="115"/>
              <w:rPr>
                <w:rFonts w:asciiTheme="minorHAnsi" w:hAnsiTheme="minorHAnsi"/>
                <w:b/>
                <w:bCs/>
              </w:rPr>
            </w:pPr>
            <w:r w:rsidRPr="00F45C11">
              <w:rPr>
                <w:rFonts w:asciiTheme="minorHAnsi" w:hAnsiTheme="minorHAnsi"/>
                <w:b/>
                <w:bCs/>
              </w:rPr>
              <w:t xml:space="preserve">Stroke 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14:paraId="06AF1160" w14:textId="77777777" w:rsidR="00DC6192" w:rsidRPr="00356F63" w:rsidRDefault="00DC6192" w:rsidP="00DC6192">
            <w:pPr>
              <w:pStyle w:val="TableParagraph"/>
              <w:spacing w:before="10" w:line="240" w:lineRule="auto"/>
              <w:ind w:left="0"/>
              <w:rPr>
                <w:rFonts w:asciiTheme="minorHAnsi" w:hAnsiTheme="minorHAnsi"/>
                <w:b/>
              </w:rPr>
            </w:pPr>
          </w:p>
        </w:tc>
      </w:tr>
      <w:tr w:rsidR="00DC6192" w:rsidRPr="00356F63" w14:paraId="065063D9" w14:textId="77777777" w:rsidTr="00DC6192">
        <w:trPr>
          <w:trHeight w:val="166"/>
        </w:trPr>
        <w:tc>
          <w:tcPr>
            <w:tcW w:w="3420" w:type="dxa"/>
          </w:tcPr>
          <w:p w14:paraId="2476650E" w14:textId="77777777" w:rsidR="00DC6192" w:rsidRPr="00356F63" w:rsidRDefault="00DC6192" w:rsidP="00DC6192">
            <w:pPr>
              <w:pStyle w:val="TableParagraph"/>
              <w:spacing w:before="10" w:line="240" w:lineRule="auto"/>
              <w:ind w:left="115"/>
              <w:rPr>
                <w:rFonts w:asciiTheme="minorHAnsi" w:hAnsiTheme="minorHAnsi"/>
              </w:rPr>
            </w:pPr>
            <w:r w:rsidRPr="00356F63">
              <w:rPr>
                <w:rFonts w:asciiTheme="minorHAnsi" w:hAnsiTheme="minorHAnsi"/>
              </w:rPr>
              <w:t>Ischemic stroke or transient ischemic attac</w:t>
            </w:r>
            <w:r>
              <w:rPr>
                <w:rFonts w:asciiTheme="minorHAnsi" w:hAnsiTheme="minorHAnsi"/>
              </w:rPr>
              <w:t>k</w:t>
            </w:r>
            <w:r w:rsidRPr="00356F63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5940" w:type="dxa"/>
          </w:tcPr>
          <w:p w14:paraId="6D0F8953" w14:textId="77777777" w:rsidR="00DC6192" w:rsidRDefault="00DC6192" w:rsidP="00DC6192">
            <w:pPr>
              <w:pStyle w:val="TableParagraph"/>
              <w:spacing w:before="10" w:line="240" w:lineRule="auto"/>
              <w:ind w:left="0"/>
              <w:rPr>
                <w:rFonts w:asciiTheme="minorHAnsi" w:hAnsiTheme="minorHAnsi"/>
              </w:rPr>
            </w:pPr>
            <w:r w:rsidRPr="00356F63">
              <w:rPr>
                <w:rFonts w:asciiTheme="minorHAnsi" w:hAnsiTheme="minorHAnsi"/>
                <w:b/>
              </w:rPr>
              <w:t>ICD-9-CM:</w:t>
            </w:r>
            <w:r w:rsidRPr="00356F63">
              <w:rPr>
                <w:rFonts w:asciiTheme="minorHAnsi" w:eastAsiaTheme="minorHAnsi" w:hAnsiTheme="minorHAnsi"/>
                <w:lang w:bidi="ar-SA"/>
              </w:rPr>
              <w:t xml:space="preserve"> 362.3x, </w:t>
            </w:r>
            <w:r w:rsidRPr="00356F63">
              <w:rPr>
                <w:rFonts w:asciiTheme="minorHAnsi" w:hAnsiTheme="minorHAnsi"/>
              </w:rPr>
              <w:t>433.x1, 434.x1, 436</w:t>
            </w:r>
          </w:p>
          <w:p w14:paraId="08141AAF" w14:textId="77777777" w:rsidR="00DC6192" w:rsidRPr="00356F63" w:rsidRDefault="00DC6192" w:rsidP="00DC6192">
            <w:pPr>
              <w:pStyle w:val="TableParagraph"/>
              <w:spacing w:before="10" w:line="240" w:lineRule="auto"/>
              <w:ind w:left="0"/>
              <w:rPr>
                <w:rFonts w:asciiTheme="minorHAnsi" w:hAnsiTheme="minorHAnsi"/>
                <w:b/>
              </w:rPr>
            </w:pPr>
            <w:r w:rsidRPr="00477357">
              <w:rPr>
                <w:rFonts w:asciiTheme="minorHAnsi" w:hAnsiTheme="minorHAnsi"/>
                <w:b/>
              </w:rPr>
              <w:t>ICD-10 CM</w:t>
            </w:r>
            <w:r w:rsidRPr="00477357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>H34.1, I63</w:t>
            </w:r>
          </w:p>
        </w:tc>
      </w:tr>
      <w:tr w:rsidR="00DC6192" w:rsidRPr="00356F63" w14:paraId="06CC4BD6" w14:textId="77777777" w:rsidTr="00DC6192">
        <w:trPr>
          <w:trHeight w:val="139"/>
        </w:trPr>
        <w:tc>
          <w:tcPr>
            <w:tcW w:w="3420" w:type="dxa"/>
          </w:tcPr>
          <w:p w14:paraId="55133F1E" w14:textId="77777777" w:rsidR="00DC6192" w:rsidRPr="00356F63" w:rsidRDefault="00DC6192" w:rsidP="00DC6192">
            <w:pPr>
              <w:pStyle w:val="TableParagraph"/>
              <w:spacing w:before="10" w:line="240" w:lineRule="auto"/>
              <w:ind w:left="115"/>
              <w:rPr>
                <w:rFonts w:asciiTheme="minorHAnsi" w:hAnsiTheme="minorHAnsi"/>
              </w:rPr>
            </w:pPr>
            <w:r w:rsidRPr="00356F63">
              <w:rPr>
                <w:rFonts w:asciiTheme="minorHAnsi" w:hAnsiTheme="minorHAnsi"/>
              </w:rPr>
              <w:t>Systemic</w:t>
            </w:r>
            <w:r>
              <w:rPr>
                <w:rFonts w:asciiTheme="minorHAnsi" w:hAnsiTheme="minorHAnsi"/>
              </w:rPr>
              <w:t xml:space="preserve"> thrombo</w:t>
            </w:r>
            <w:r w:rsidRPr="00356F63">
              <w:rPr>
                <w:rFonts w:asciiTheme="minorHAnsi" w:hAnsiTheme="minorHAnsi"/>
              </w:rPr>
              <w:t xml:space="preserve">embolism </w:t>
            </w:r>
          </w:p>
        </w:tc>
        <w:tc>
          <w:tcPr>
            <w:tcW w:w="5940" w:type="dxa"/>
          </w:tcPr>
          <w:p w14:paraId="5E694015" w14:textId="77777777" w:rsidR="00DC6192" w:rsidRPr="00BA0A2C" w:rsidRDefault="00DC6192" w:rsidP="00DC6192">
            <w:pPr>
              <w:spacing w:before="100" w:beforeAutospacing="1" w:after="100" w:afterAutospacing="1"/>
              <w:outlineLvl w:val="3"/>
              <w:rPr>
                <w:rFonts w:asciiTheme="minorHAnsi" w:hAnsiTheme="minorHAnsi"/>
                <w:bCs/>
                <w:sz w:val="22"/>
                <w:szCs w:val="22"/>
              </w:rPr>
            </w:pPr>
            <w:r w:rsidRPr="00356F63">
              <w:rPr>
                <w:rFonts w:asciiTheme="minorHAnsi" w:hAnsiTheme="minorHAnsi"/>
                <w:b/>
                <w:bCs/>
                <w:sz w:val="22"/>
                <w:szCs w:val="22"/>
              </w:rPr>
              <w:t>ICD-9-CM:</w:t>
            </w:r>
            <w:r w:rsidRPr="00356F6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434.1, </w:t>
            </w:r>
            <w:r w:rsidRPr="00356F63">
              <w:rPr>
                <w:rFonts w:asciiTheme="minorHAnsi" w:hAnsiTheme="minorHAnsi"/>
                <w:bCs/>
                <w:sz w:val="22"/>
                <w:szCs w:val="22"/>
              </w:rPr>
              <w:t>444.xx, 445.xx</w:t>
            </w:r>
          </w:p>
        </w:tc>
      </w:tr>
      <w:tr w:rsidR="00DC6192" w:rsidRPr="00356F63" w14:paraId="19D7EA67" w14:textId="77777777" w:rsidTr="00DC6192">
        <w:trPr>
          <w:trHeight w:val="139"/>
        </w:trPr>
        <w:tc>
          <w:tcPr>
            <w:tcW w:w="3420" w:type="dxa"/>
          </w:tcPr>
          <w:p w14:paraId="6685FAED" w14:textId="77777777" w:rsidR="00DC6192" w:rsidRPr="00356F63" w:rsidRDefault="00DC6192" w:rsidP="00DC6192">
            <w:pPr>
              <w:pStyle w:val="TableParagraph"/>
              <w:spacing w:before="10" w:line="240" w:lineRule="auto"/>
              <w:ind w:left="11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Hemorrhagic stroke</w:t>
            </w:r>
          </w:p>
        </w:tc>
        <w:tc>
          <w:tcPr>
            <w:tcW w:w="5940" w:type="dxa"/>
          </w:tcPr>
          <w:p w14:paraId="3CF83A0D" w14:textId="77777777" w:rsidR="00DC6192" w:rsidRPr="00BA0A2C" w:rsidRDefault="00DC6192" w:rsidP="00DC6192">
            <w:pPr>
              <w:spacing w:before="100" w:beforeAutospacing="1" w:after="100" w:afterAutospacing="1"/>
              <w:outlineLvl w:val="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A0A2C">
              <w:rPr>
                <w:rFonts w:asciiTheme="minorHAnsi" w:hAnsiTheme="minorHAnsi"/>
                <w:b/>
                <w:sz w:val="22"/>
                <w:szCs w:val="22"/>
              </w:rPr>
              <w:t>ICD-10 CM</w:t>
            </w:r>
            <w:r w:rsidRPr="00BA0A2C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I74, I75</w:t>
            </w:r>
          </w:p>
        </w:tc>
      </w:tr>
      <w:tr w:rsidR="00DC6192" w:rsidRPr="0010709A" w14:paraId="56A9CB46" w14:textId="77777777" w:rsidTr="00DC6192">
        <w:trPr>
          <w:trHeight w:val="259"/>
        </w:trPr>
        <w:tc>
          <w:tcPr>
            <w:tcW w:w="3420" w:type="dxa"/>
          </w:tcPr>
          <w:p w14:paraId="0B48378E" w14:textId="77777777" w:rsidR="00DC6192" w:rsidRDefault="00DC6192" w:rsidP="00DC6192">
            <w:pPr>
              <w:pStyle w:val="TableParagraph"/>
              <w:spacing w:before="10"/>
              <w:ind w:left="0"/>
              <w:rPr>
                <w:rFonts w:asciiTheme="minorHAnsi" w:hAnsiTheme="minorHAnsi"/>
              </w:rPr>
            </w:pPr>
          </w:p>
          <w:p w14:paraId="6C87F6A9" w14:textId="77777777" w:rsidR="00DC6192" w:rsidRPr="00356F63" w:rsidRDefault="00DC6192" w:rsidP="00DC6192">
            <w:pPr>
              <w:pStyle w:val="TableParagraph"/>
              <w:spacing w:before="10"/>
              <w:ind w:left="0"/>
              <w:rPr>
                <w:rFonts w:asciiTheme="minorHAnsi" w:hAnsiTheme="minorHAnsi"/>
              </w:rPr>
            </w:pPr>
          </w:p>
        </w:tc>
        <w:tc>
          <w:tcPr>
            <w:tcW w:w="5940" w:type="dxa"/>
          </w:tcPr>
          <w:p w14:paraId="370E9473" w14:textId="77777777" w:rsidR="00DC6192" w:rsidRDefault="00DC6192" w:rsidP="00DC6192">
            <w:pPr>
              <w:pStyle w:val="TableParagraph"/>
              <w:spacing w:before="10"/>
              <w:ind w:left="0"/>
              <w:rPr>
                <w:rFonts w:asciiTheme="minorHAnsi" w:hAnsiTheme="minorHAnsi"/>
              </w:rPr>
            </w:pPr>
            <w:r w:rsidRPr="00477357">
              <w:rPr>
                <w:rFonts w:asciiTheme="minorHAnsi" w:hAnsiTheme="minorHAnsi"/>
                <w:b/>
              </w:rPr>
              <w:t>ICD-9-CM</w:t>
            </w:r>
            <w:r w:rsidRPr="00477357">
              <w:rPr>
                <w:rFonts w:asciiTheme="minorHAnsi" w:hAnsiTheme="minorHAnsi"/>
              </w:rPr>
              <w:t>: 430, 431, 432</w:t>
            </w:r>
          </w:p>
          <w:p w14:paraId="4561DEB6" w14:textId="77777777" w:rsidR="00DC6192" w:rsidRPr="00477357" w:rsidRDefault="00DC6192" w:rsidP="00DC6192">
            <w:pPr>
              <w:pStyle w:val="TableParagraph"/>
              <w:spacing w:before="10"/>
              <w:ind w:left="0"/>
              <w:rPr>
                <w:rFonts w:asciiTheme="minorHAnsi" w:hAnsiTheme="minorHAnsi"/>
              </w:rPr>
            </w:pPr>
            <w:r w:rsidRPr="00477357">
              <w:rPr>
                <w:rFonts w:asciiTheme="minorHAnsi" w:hAnsiTheme="minorHAnsi"/>
                <w:b/>
              </w:rPr>
              <w:t>ICD-10 CM</w:t>
            </w:r>
            <w:r w:rsidRPr="00477357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>I60, I61, I62</w:t>
            </w:r>
          </w:p>
        </w:tc>
      </w:tr>
      <w:tr w:rsidR="00DC6192" w:rsidRPr="00A27F7B" w14:paraId="33F1A90D" w14:textId="77777777" w:rsidTr="00DC6192">
        <w:trPr>
          <w:trHeight w:val="259"/>
        </w:trPr>
        <w:tc>
          <w:tcPr>
            <w:tcW w:w="3420" w:type="dxa"/>
          </w:tcPr>
          <w:p w14:paraId="4AE8307E" w14:textId="77777777" w:rsidR="00DC6192" w:rsidRPr="00F45C11" w:rsidRDefault="00DC6192" w:rsidP="00DC6192">
            <w:pPr>
              <w:pStyle w:val="TableParagraph"/>
              <w:spacing w:before="10"/>
              <w:ind w:left="115"/>
              <w:rPr>
                <w:rFonts w:asciiTheme="minorHAnsi" w:hAnsiTheme="minorHAnsi"/>
                <w:b/>
              </w:rPr>
            </w:pPr>
            <w:r w:rsidRPr="00F45C11">
              <w:rPr>
                <w:rFonts w:asciiTheme="minorHAnsi" w:hAnsiTheme="minorHAnsi"/>
                <w:b/>
              </w:rPr>
              <w:t xml:space="preserve">Major </w:t>
            </w:r>
            <w:r>
              <w:rPr>
                <w:rFonts w:asciiTheme="minorHAnsi" w:hAnsiTheme="minorHAnsi"/>
                <w:b/>
              </w:rPr>
              <w:t>B</w:t>
            </w:r>
            <w:r w:rsidRPr="00F45C11">
              <w:rPr>
                <w:rFonts w:asciiTheme="minorHAnsi" w:hAnsiTheme="minorHAnsi"/>
                <w:b/>
              </w:rPr>
              <w:t>leeding</w:t>
            </w:r>
          </w:p>
          <w:p w14:paraId="48993979" w14:textId="77777777" w:rsidR="00DC6192" w:rsidRDefault="00DC6192" w:rsidP="00DC6192">
            <w:pPr>
              <w:pStyle w:val="TableParagraph"/>
              <w:numPr>
                <w:ilvl w:val="0"/>
                <w:numId w:val="1"/>
              </w:numPr>
              <w:spacing w:before="10"/>
              <w:rPr>
                <w:rFonts w:asciiTheme="minorHAnsi" w:hAnsiTheme="minorHAnsi"/>
              </w:rPr>
            </w:pPr>
            <w:r w:rsidRPr="00D51984">
              <w:rPr>
                <w:rFonts w:asciiTheme="minorHAnsi" w:hAnsiTheme="minorHAnsi"/>
              </w:rPr>
              <w:t>Resulting in death</w:t>
            </w:r>
          </w:p>
          <w:p w14:paraId="393EBFC8" w14:textId="77777777" w:rsidR="00DC6192" w:rsidRDefault="00DC6192" w:rsidP="00DC6192">
            <w:pPr>
              <w:pStyle w:val="TableParagraph"/>
              <w:numPr>
                <w:ilvl w:val="0"/>
                <w:numId w:val="1"/>
              </w:numPr>
              <w:spacing w:before="10"/>
              <w:rPr>
                <w:rFonts w:asciiTheme="minorHAnsi" w:hAnsiTheme="minorHAnsi"/>
              </w:rPr>
            </w:pPr>
            <w:r w:rsidRPr="00356F63">
              <w:rPr>
                <w:rFonts w:asciiTheme="minorHAnsi" w:hAnsiTheme="minorHAnsi"/>
              </w:rPr>
              <w:t>In a critical site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375039EB" w14:textId="77777777" w:rsidR="00DC6192" w:rsidRDefault="00DC6192" w:rsidP="00DC6192">
            <w:pPr>
              <w:pStyle w:val="TableParagraph"/>
              <w:spacing w:before="10"/>
              <w:ind w:left="4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Intracranial</w:t>
            </w:r>
          </w:p>
          <w:p w14:paraId="1BCAB32E" w14:textId="77777777" w:rsidR="00DC6192" w:rsidRDefault="00DC6192" w:rsidP="00DC6192">
            <w:pPr>
              <w:pStyle w:val="TableParagraph"/>
              <w:spacing w:before="10"/>
              <w:ind w:left="0"/>
              <w:rPr>
                <w:rFonts w:asciiTheme="minorHAnsi" w:hAnsiTheme="minorHAnsi"/>
              </w:rPr>
            </w:pPr>
          </w:p>
          <w:p w14:paraId="4A48B823" w14:textId="77777777" w:rsidR="00DC6192" w:rsidRPr="00356F63" w:rsidRDefault="00DC6192" w:rsidP="00DC6192">
            <w:pPr>
              <w:pStyle w:val="TableParagraph"/>
              <w:tabs>
                <w:tab w:val="left" w:pos="284"/>
              </w:tabs>
              <w:spacing w:before="10" w:line="230" w:lineRule="atLeast"/>
              <w:ind w:left="0" w:right="73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</w:t>
            </w:r>
            <w:r w:rsidRPr="00356F63">
              <w:rPr>
                <w:rFonts w:asciiTheme="minorHAnsi" w:hAnsiTheme="minorHAnsi"/>
              </w:rPr>
              <w:t>Intraocular</w:t>
            </w:r>
          </w:p>
          <w:p w14:paraId="62CCFB0B" w14:textId="77777777" w:rsidR="00DC6192" w:rsidRDefault="00DC6192" w:rsidP="00DC6192">
            <w:pPr>
              <w:pStyle w:val="TableParagraph"/>
              <w:spacing w:before="10"/>
              <w:ind w:left="475"/>
              <w:rPr>
                <w:rFonts w:asciiTheme="minorHAnsi" w:hAnsiTheme="minorHAnsi"/>
              </w:rPr>
            </w:pPr>
          </w:p>
          <w:p w14:paraId="6CC7B726" w14:textId="77777777" w:rsidR="00DC6192" w:rsidRDefault="00DC6192" w:rsidP="00DC6192">
            <w:pPr>
              <w:pStyle w:val="TableParagraph"/>
              <w:spacing w:before="10"/>
              <w:ind w:left="475"/>
              <w:rPr>
                <w:rFonts w:asciiTheme="minorHAnsi" w:hAnsiTheme="minorHAnsi"/>
              </w:rPr>
            </w:pPr>
          </w:p>
          <w:p w14:paraId="44CA2B0F" w14:textId="77777777" w:rsidR="00DC6192" w:rsidRDefault="00DC6192" w:rsidP="00DC6192">
            <w:pPr>
              <w:pStyle w:val="TableParagraph"/>
              <w:spacing w:before="10"/>
              <w:ind w:left="475"/>
              <w:rPr>
                <w:rFonts w:asciiTheme="minorHAnsi" w:hAnsiTheme="minorHAnsi"/>
              </w:rPr>
            </w:pPr>
          </w:p>
          <w:p w14:paraId="1AE2BAD7" w14:textId="77777777" w:rsidR="00DC6192" w:rsidRDefault="00DC6192" w:rsidP="00DC6192">
            <w:pPr>
              <w:pStyle w:val="TableParagraph"/>
              <w:spacing w:before="10"/>
              <w:ind w:left="475"/>
              <w:rPr>
                <w:rFonts w:asciiTheme="minorHAnsi" w:hAnsiTheme="minorHAnsi"/>
              </w:rPr>
            </w:pPr>
          </w:p>
          <w:p w14:paraId="07267C29" w14:textId="77777777" w:rsidR="00DC6192" w:rsidRDefault="00DC6192" w:rsidP="00DC6192">
            <w:pPr>
              <w:pStyle w:val="TableParagraph"/>
              <w:spacing w:before="10"/>
              <w:ind w:left="475"/>
              <w:rPr>
                <w:rFonts w:asciiTheme="minorHAnsi" w:hAnsiTheme="minorHAnsi"/>
              </w:rPr>
            </w:pPr>
          </w:p>
          <w:p w14:paraId="6A75F141" w14:textId="77777777" w:rsidR="00DC6192" w:rsidRPr="00356F63" w:rsidRDefault="00DC6192" w:rsidP="00DC6192">
            <w:pPr>
              <w:pStyle w:val="TableParagraph"/>
              <w:tabs>
                <w:tab w:val="left" w:pos="284"/>
              </w:tabs>
              <w:spacing w:before="10" w:line="230" w:lineRule="atLeast"/>
              <w:ind w:right="73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P</w:t>
            </w:r>
            <w:r w:rsidRPr="00356F63">
              <w:rPr>
                <w:rFonts w:asciiTheme="minorHAnsi" w:hAnsiTheme="minorHAnsi"/>
              </w:rPr>
              <w:t>ericardial</w:t>
            </w:r>
          </w:p>
          <w:p w14:paraId="49B54BF0" w14:textId="77777777" w:rsidR="00DC6192" w:rsidRDefault="00DC6192" w:rsidP="00DC6192">
            <w:pPr>
              <w:pStyle w:val="TableParagraph"/>
              <w:tabs>
                <w:tab w:val="left" w:pos="284"/>
              </w:tabs>
              <w:spacing w:before="10" w:line="230" w:lineRule="atLeast"/>
              <w:ind w:left="142" w:right="73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Pr="00356F63">
              <w:rPr>
                <w:rFonts w:asciiTheme="minorHAnsi" w:hAnsiTheme="minorHAnsi"/>
              </w:rPr>
              <w:t>Airway</w:t>
            </w:r>
          </w:p>
          <w:p w14:paraId="4B2F23A8" w14:textId="77777777" w:rsidR="00DC6192" w:rsidRPr="00356F63" w:rsidRDefault="00DC6192" w:rsidP="00DC6192">
            <w:pPr>
              <w:pStyle w:val="TableParagraph"/>
              <w:tabs>
                <w:tab w:val="left" w:pos="284"/>
              </w:tabs>
              <w:spacing w:before="10" w:line="230" w:lineRule="atLeast"/>
              <w:ind w:left="142" w:right="73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Pr="00356F63">
              <w:rPr>
                <w:rFonts w:asciiTheme="minorHAnsi" w:hAnsiTheme="minorHAnsi"/>
              </w:rPr>
              <w:t>Intra-articular</w:t>
            </w:r>
          </w:p>
          <w:p w14:paraId="6A77CC54" w14:textId="77777777" w:rsidR="00DC6192" w:rsidRPr="00356F63" w:rsidRDefault="00DC6192" w:rsidP="00DC6192">
            <w:pPr>
              <w:pStyle w:val="TableParagraph"/>
              <w:tabs>
                <w:tab w:val="left" w:pos="284"/>
              </w:tabs>
              <w:spacing w:before="10" w:line="230" w:lineRule="atLeast"/>
              <w:ind w:left="142" w:right="73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Pr="00356F63">
              <w:rPr>
                <w:rFonts w:asciiTheme="minorHAnsi" w:hAnsiTheme="minorHAnsi"/>
              </w:rPr>
              <w:t>Retroperitoneal</w:t>
            </w:r>
          </w:p>
          <w:p w14:paraId="10E6ACBA" w14:textId="77777777" w:rsidR="00DC6192" w:rsidRDefault="00DC6192" w:rsidP="00DC6192">
            <w:pPr>
              <w:pStyle w:val="TableParagraph"/>
              <w:numPr>
                <w:ilvl w:val="0"/>
                <w:numId w:val="1"/>
              </w:numPr>
              <w:spacing w:before="10"/>
              <w:rPr>
                <w:rFonts w:asciiTheme="minorHAnsi" w:hAnsiTheme="minorHAnsi"/>
              </w:rPr>
            </w:pPr>
            <w:r w:rsidRPr="00356F63">
              <w:rPr>
                <w:rFonts w:asciiTheme="minorHAnsi" w:hAnsiTheme="minorHAnsi"/>
              </w:rPr>
              <w:t>Resulting in hospitalization</w:t>
            </w:r>
          </w:p>
          <w:p w14:paraId="7C7D18DC" w14:textId="77777777" w:rsidR="00DC6192" w:rsidRDefault="00DC6192" w:rsidP="00DC6192">
            <w:pPr>
              <w:pStyle w:val="TableParagraph"/>
              <w:tabs>
                <w:tab w:val="left" w:pos="284"/>
              </w:tabs>
              <w:spacing w:before="10" w:line="230" w:lineRule="atLeast"/>
              <w:ind w:left="0" w:right="73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356F63">
              <w:rPr>
                <w:rFonts w:asciiTheme="minorHAnsi" w:hAnsiTheme="minorHAnsi"/>
              </w:rPr>
              <w:t>G</w:t>
            </w:r>
            <w:r>
              <w:rPr>
                <w:rFonts w:asciiTheme="minorHAnsi" w:hAnsiTheme="minorHAnsi"/>
              </w:rPr>
              <w:t xml:space="preserve">astrointestinal    </w:t>
            </w:r>
          </w:p>
          <w:p w14:paraId="662FA016" w14:textId="77777777" w:rsidR="00DC6192" w:rsidRPr="00356F63" w:rsidRDefault="00DC6192" w:rsidP="00DC6192">
            <w:pPr>
              <w:pStyle w:val="TableParagraph"/>
              <w:tabs>
                <w:tab w:val="left" w:pos="284"/>
              </w:tabs>
              <w:spacing w:before="10" w:line="230" w:lineRule="atLeast"/>
              <w:ind w:left="0" w:right="73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bleeding</w:t>
            </w:r>
          </w:p>
          <w:p w14:paraId="4C1D690C" w14:textId="77777777" w:rsidR="00DC6192" w:rsidRPr="001A3401" w:rsidRDefault="00DC6192" w:rsidP="00DC6192">
            <w:pPr>
              <w:pStyle w:val="TableParagraph"/>
              <w:spacing w:before="10"/>
              <w:rPr>
                <w:rFonts w:asciiTheme="minorHAnsi" w:hAnsiTheme="minorHAnsi"/>
              </w:rPr>
            </w:pPr>
          </w:p>
        </w:tc>
        <w:tc>
          <w:tcPr>
            <w:tcW w:w="5940" w:type="dxa"/>
          </w:tcPr>
          <w:p w14:paraId="1F53D145" w14:textId="77777777" w:rsidR="00DC6192" w:rsidRDefault="00DC6192" w:rsidP="00DC6192">
            <w:pPr>
              <w:pStyle w:val="TableParagraph"/>
              <w:spacing w:before="10"/>
              <w:ind w:left="0"/>
              <w:rPr>
                <w:rFonts w:asciiTheme="minorHAnsi" w:hAnsiTheme="minorHAnsi"/>
              </w:rPr>
            </w:pPr>
            <w:r w:rsidRPr="00356F63">
              <w:rPr>
                <w:rFonts w:asciiTheme="minorHAnsi" w:hAnsiTheme="minorHAnsi"/>
              </w:rPr>
              <w:t xml:space="preserve"> </w:t>
            </w:r>
          </w:p>
          <w:p w14:paraId="6D900AB9" w14:textId="77777777" w:rsidR="00DC6192" w:rsidRPr="00C43FDD" w:rsidRDefault="00DC6192" w:rsidP="00DC6192">
            <w:pPr>
              <w:pStyle w:val="TableParagraph"/>
              <w:spacing w:before="10"/>
              <w:ind w:left="0"/>
              <w:rPr>
                <w:rFonts w:asciiTheme="minorHAnsi" w:hAnsiTheme="minorHAnsi"/>
              </w:rPr>
            </w:pPr>
            <w:r w:rsidRPr="00356F63">
              <w:rPr>
                <w:rFonts w:asciiTheme="minorHAnsi" w:hAnsiTheme="minorHAnsi"/>
                <w:b/>
              </w:rPr>
              <w:t>DEATHFM</w:t>
            </w:r>
            <w:r w:rsidRPr="00356F63">
              <w:rPr>
                <w:rFonts w:asciiTheme="minorHAnsi" w:hAnsiTheme="minorHAnsi"/>
              </w:rPr>
              <w:t>: 38, 39, 40, 41, 42, 43, 72</w:t>
            </w:r>
          </w:p>
          <w:p w14:paraId="49F8400F" w14:textId="77777777" w:rsidR="00DC6192" w:rsidRPr="00D51984" w:rsidRDefault="00DC6192" w:rsidP="00DC6192">
            <w:pPr>
              <w:pStyle w:val="TableParagraph"/>
              <w:spacing w:before="10" w:line="240" w:lineRule="auto"/>
              <w:ind w:left="0"/>
              <w:rPr>
                <w:rFonts w:asciiTheme="minorHAnsi" w:hAnsiTheme="minorHAnsi"/>
              </w:rPr>
            </w:pPr>
            <w:r w:rsidRPr="00D51984">
              <w:rPr>
                <w:rFonts w:asciiTheme="minorHAnsi" w:hAnsiTheme="minorHAnsi"/>
                <w:b/>
              </w:rPr>
              <w:t>ICD-9-CM</w:t>
            </w:r>
            <w:r w:rsidRPr="00D51984">
              <w:rPr>
                <w:rFonts w:asciiTheme="minorHAnsi" w:hAnsiTheme="minorHAnsi"/>
              </w:rPr>
              <w:t>:</w:t>
            </w:r>
            <w:r w:rsidRPr="00D51984">
              <w:rPr>
                <w:rFonts w:asciiTheme="minorHAnsi" w:hAnsiTheme="minorHAnsi"/>
                <w:b/>
              </w:rPr>
              <w:t xml:space="preserve"> </w:t>
            </w:r>
            <w:r w:rsidRPr="00D51984">
              <w:rPr>
                <w:rFonts w:asciiTheme="minorHAnsi" w:hAnsiTheme="minorHAnsi"/>
              </w:rPr>
              <w:t>430, 431, 432.x</w:t>
            </w:r>
          </w:p>
          <w:p w14:paraId="53BE6C2B" w14:textId="77777777" w:rsidR="00DC6192" w:rsidRDefault="00DC6192" w:rsidP="00DC6192">
            <w:pPr>
              <w:pStyle w:val="TableParagraph"/>
              <w:spacing w:before="10" w:line="240" w:lineRule="auto"/>
              <w:ind w:left="0"/>
              <w:rPr>
                <w:rFonts w:asciiTheme="minorHAnsi" w:hAnsiTheme="minorHAnsi"/>
              </w:rPr>
            </w:pPr>
            <w:r w:rsidRPr="00477357">
              <w:rPr>
                <w:rFonts w:asciiTheme="minorHAnsi" w:hAnsiTheme="minorHAnsi"/>
                <w:b/>
              </w:rPr>
              <w:t>ICD-10 CM</w:t>
            </w:r>
            <w:r w:rsidRPr="00477357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>I60, I61, I62</w:t>
            </w:r>
          </w:p>
          <w:p w14:paraId="4B489CF7" w14:textId="77777777" w:rsidR="00DC6192" w:rsidRPr="00D2355B" w:rsidRDefault="00DC6192" w:rsidP="00DC6192">
            <w:pPr>
              <w:pStyle w:val="TableParagraph"/>
              <w:spacing w:before="10" w:line="240" w:lineRule="auto"/>
              <w:ind w:left="0"/>
              <w:rPr>
                <w:rFonts w:asciiTheme="minorHAnsi" w:hAnsiTheme="minorHAnsi"/>
                <w:lang w:val="fr-CH"/>
              </w:rPr>
            </w:pPr>
            <w:r w:rsidRPr="00477357">
              <w:rPr>
                <w:rFonts w:asciiTheme="minorHAnsi" w:hAnsiTheme="minorHAnsi"/>
                <w:b/>
              </w:rPr>
              <w:t>ICD-10 CM</w:t>
            </w:r>
            <w:r w:rsidRPr="00477357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>I60, I61, I62</w:t>
            </w:r>
          </w:p>
          <w:p w14:paraId="3BBA866C" w14:textId="77777777" w:rsidR="00DC6192" w:rsidRDefault="00DC6192" w:rsidP="00DC6192">
            <w:pPr>
              <w:pStyle w:val="TableParagraph"/>
              <w:spacing w:before="10" w:line="240" w:lineRule="auto"/>
              <w:ind w:left="0"/>
              <w:rPr>
                <w:rFonts w:asciiTheme="minorHAnsi" w:hAnsiTheme="minorHAnsi"/>
                <w:lang w:val="fr-CH"/>
              </w:rPr>
            </w:pPr>
            <w:r w:rsidRPr="00D2355B">
              <w:rPr>
                <w:rFonts w:asciiTheme="minorHAnsi" w:hAnsiTheme="minorHAnsi"/>
                <w:b/>
                <w:lang w:val="fr-CH"/>
              </w:rPr>
              <w:t>ICD-9-</w:t>
            </w:r>
            <w:proofErr w:type="gramStart"/>
            <w:r w:rsidRPr="00D2355B">
              <w:rPr>
                <w:rFonts w:asciiTheme="minorHAnsi" w:hAnsiTheme="minorHAnsi"/>
                <w:b/>
                <w:lang w:val="fr-CH"/>
              </w:rPr>
              <w:t>CM</w:t>
            </w:r>
            <w:r w:rsidRPr="00D2355B">
              <w:rPr>
                <w:rFonts w:asciiTheme="minorHAnsi" w:hAnsiTheme="minorHAnsi"/>
                <w:lang w:val="fr-CH"/>
              </w:rPr>
              <w:t>:</w:t>
            </w:r>
            <w:proofErr w:type="gramEnd"/>
            <w:r w:rsidRPr="00D2355B">
              <w:rPr>
                <w:rFonts w:asciiTheme="minorHAnsi" w:hAnsiTheme="minorHAnsi"/>
                <w:b/>
                <w:lang w:val="fr-CH"/>
              </w:rPr>
              <w:t xml:space="preserve"> </w:t>
            </w:r>
            <w:r w:rsidRPr="00D2355B">
              <w:rPr>
                <w:rFonts w:asciiTheme="minorHAnsi" w:hAnsiTheme="minorHAnsi"/>
                <w:lang w:val="fr-CH"/>
              </w:rPr>
              <w:t>360.43, 362.43, 362.81, 363.61, 363.62, 363.72, 376.32, 377.42, 379.23</w:t>
            </w:r>
          </w:p>
          <w:p w14:paraId="7DC3BD24" w14:textId="77777777" w:rsidR="00DC6192" w:rsidRPr="00D2355B" w:rsidRDefault="00DC6192" w:rsidP="00DC6192">
            <w:pPr>
              <w:pStyle w:val="TableParagraph"/>
              <w:spacing w:before="10" w:line="240" w:lineRule="auto"/>
              <w:ind w:left="0"/>
              <w:rPr>
                <w:rFonts w:asciiTheme="minorHAnsi" w:hAnsiTheme="minorHAnsi"/>
                <w:lang w:val="fr-CH"/>
              </w:rPr>
            </w:pPr>
            <w:r w:rsidRPr="00D2355B">
              <w:rPr>
                <w:rFonts w:asciiTheme="minorHAnsi" w:hAnsiTheme="minorHAnsi"/>
                <w:b/>
                <w:lang w:val="fr-CH"/>
              </w:rPr>
              <w:t xml:space="preserve">ICD-10 </w:t>
            </w:r>
            <w:proofErr w:type="gramStart"/>
            <w:r w:rsidRPr="00D2355B">
              <w:rPr>
                <w:rFonts w:asciiTheme="minorHAnsi" w:hAnsiTheme="minorHAnsi"/>
                <w:b/>
                <w:lang w:val="fr-CH"/>
              </w:rPr>
              <w:t>CM</w:t>
            </w:r>
            <w:r w:rsidRPr="00D2355B">
              <w:rPr>
                <w:rFonts w:asciiTheme="minorHAnsi" w:hAnsiTheme="minorHAnsi"/>
                <w:lang w:val="fr-CH"/>
              </w:rPr>
              <w:t>:</w:t>
            </w:r>
            <w:proofErr w:type="gramEnd"/>
            <w:r w:rsidRPr="00D2355B">
              <w:rPr>
                <w:rFonts w:asciiTheme="minorHAnsi" w:hAnsiTheme="minorHAnsi"/>
                <w:lang w:val="fr-CH"/>
              </w:rPr>
              <w:t xml:space="preserve"> H44.81, H35.73x, H35.6x, H31.30x, H31.31x, H31.41x, </w:t>
            </w:r>
            <w:r>
              <w:rPr>
                <w:rFonts w:asciiTheme="minorHAnsi" w:hAnsiTheme="minorHAnsi"/>
                <w:lang w:val="fr-CH"/>
              </w:rPr>
              <w:t>H05.23x, H43.1x, H47.02x</w:t>
            </w:r>
          </w:p>
          <w:p w14:paraId="593BFB19" w14:textId="77777777" w:rsidR="00DC6192" w:rsidRPr="00957C6C" w:rsidRDefault="00DC6192" w:rsidP="00DC6192">
            <w:pPr>
              <w:pStyle w:val="TableParagraph"/>
              <w:spacing w:before="10" w:line="240" w:lineRule="auto"/>
              <w:ind w:left="0"/>
              <w:rPr>
                <w:rFonts w:asciiTheme="minorHAnsi" w:hAnsiTheme="minorHAnsi"/>
              </w:rPr>
            </w:pPr>
            <w:r w:rsidRPr="00957C6C">
              <w:rPr>
                <w:rFonts w:asciiTheme="minorHAnsi" w:hAnsiTheme="minorHAnsi"/>
                <w:b/>
              </w:rPr>
              <w:t>ICD-9-CM</w:t>
            </w:r>
            <w:r w:rsidRPr="00957C6C">
              <w:rPr>
                <w:rFonts w:asciiTheme="minorHAnsi" w:hAnsiTheme="minorHAnsi"/>
              </w:rPr>
              <w:t>:</w:t>
            </w:r>
            <w:r w:rsidRPr="00957C6C">
              <w:rPr>
                <w:rFonts w:asciiTheme="minorHAnsi" w:hAnsiTheme="minorHAnsi"/>
                <w:b/>
              </w:rPr>
              <w:t xml:space="preserve"> </w:t>
            </w:r>
            <w:r w:rsidRPr="00957C6C">
              <w:rPr>
                <w:rFonts w:asciiTheme="minorHAnsi" w:hAnsiTheme="minorHAnsi"/>
              </w:rPr>
              <w:t>423.0 /</w:t>
            </w:r>
            <w:proofErr w:type="gramStart"/>
            <w:r w:rsidRPr="00957C6C">
              <w:rPr>
                <w:rFonts w:asciiTheme="minorHAnsi" w:hAnsiTheme="minorHAnsi"/>
              </w:rPr>
              <w:t xml:space="preserve">/ </w:t>
            </w:r>
            <w:r w:rsidRPr="00957C6C">
              <w:rPr>
                <w:rFonts w:asciiTheme="minorHAnsi" w:hAnsiTheme="minorHAnsi"/>
                <w:b/>
              </w:rPr>
              <w:t xml:space="preserve"> ICD</w:t>
            </w:r>
            <w:proofErr w:type="gramEnd"/>
            <w:r w:rsidRPr="00957C6C">
              <w:rPr>
                <w:rFonts w:asciiTheme="minorHAnsi" w:hAnsiTheme="minorHAnsi"/>
                <w:b/>
              </w:rPr>
              <w:t>-10 CM</w:t>
            </w:r>
            <w:r w:rsidRPr="00957C6C">
              <w:rPr>
                <w:rFonts w:asciiTheme="minorHAnsi" w:hAnsiTheme="minorHAnsi"/>
              </w:rPr>
              <w:t>:</w:t>
            </w:r>
            <w:r w:rsidRPr="00957C6C">
              <w:rPr>
                <w:rFonts w:asciiTheme="minorHAnsi" w:hAnsiTheme="minorHAnsi"/>
                <w:b/>
              </w:rPr>
              <w:t xml:space="preserve"> </w:t>
            </w:r>
            <w:r w:rsidRPr="00957C6C">
              <w:rPr>
                <w:rFonts w:asciiTheme="minorHAnsi" w:hAnsiTheme="minorHAnsi"/>
              </w:rPr>
              <w:t>I31.2</w:t>
            </w:r>
          </w:p>
          <w:p w14:paraId="6D1CD302" w14:textId="77777777" w:rsidR="00DC6192" w:rsidRPr="008240AE" w:rsidRDefault="00DC6192" w:rsidP="00DC6192">
            <w:pPr>
              <w:pStyle w:val="TableParagraph"/>
              <w:spacing w:before="10" w:line="240" w:lineRule="auto"/>
              <w:ind w:left="0"/>
              <w:rPr>
                <w:rFonts w:asciiTheme="minorHAnsi" w:hAnsiTheme="minorHAnsi"/>
                <w:lang w:val="fr-CH"/>
              </w:rPr>
            </w:pPr>
            <w:r w:rsidRPr="008240AE">
              <w:rPr>
                <w:rFonts w:asciiTheme="minorHAnsi" w:hAnsiTheme="minorHAnsi"/>
                <w:b/>
                <w:lang w:val="fr-CH"/>
              </w:rPr>
              <w:t>ICD-9-</w:t>
            </w:r>
            <w:proofErr w:type="gramStart"/>
            <w:r w:rsidRPr="008240AE">
              <w:rPr>
                <w:rFonts w:asciiTheme="minorHAnsi" w:hAnsiTheme="minorHAnsi"/>
                <w:b/>
                <w:lang w:val="fr-CH"/>
              </w:rPr>
              <w:t>CM</w:t>
            </w:r>
            <w:r w:rsidRPr="008240AE">
              <w:rPr>
                <w:rFonts w:asciiTheme="minorHAnsi" w:hAnsiTheme="minorHAnsi"/>
                <w:lang w:val="fr-CH"/>
              </w:rPr>
              <w:t>:</w:t>
            </w:r>
            <w:proofErr w:type="gramEnd"/>
            <w:r w:rsidRPr="008240AE">
              <w:rPr>
                <w:rFonts w:asciiTheme="minorHAnsi" w:hAnsiTheme="minorHAnsi"/>
                <w:b/>
                <w:lang w:val="fr-CH"/>
              </w:rPr>
              <w:t xml:space="preserve"> </w:t>
            </w:r>
            <w:r w:rsidRPr="008240AE">
              <w:rPr>
                <w:rFonts w:asciiTheme="minorHAnsi" w:hAnsiTheme="minorHAnsi"/>
                <w:lang w:val="fr-CH"/>
              </w:rPr>
              <w:t xml:space="preserve">784.8, 786.30, 786.39 // </w:t>
            </w:r>
            <w:r w:rsidRPr="008240AE">
              <w:rPr>
                <w:rFonts w:asciiTheme="minorHAnsi" w:hAnsiTheme="minorHAnsi"/>
                <w:b/>
                <w:lang w:val="fr-CH"/>
              </w:rPr>
              <w:t xml:space="preserve"> ICD-10 CM</w:t>
            </w:r>
            <w:r w:rsidRPr="008240AE">
              <w:rPr>
                <w:rFonts w:asciiTheme="minorHAnsi" w:hAnsiTheme="minorHAnsi"/>
                <w:lang w:val="fr-CH"/>
              </w:rPr>
              <w:t>:</w:t>
            </w:r>
            <w:r w:rsidRPr="008240AE">
              <w:rPr>
                <w:rFonts w:asciiTheme="minorHAnsi" w:hAnsiTheme="minorHAnsi"/>
                <w:b/>
                <w:lang w:val="fr-CH"/>
              </w:rPr>
              <w:t xml:space="preserve"> </w:t>
            </w:r>
            <w:r w:rsidRPr="008240AE">
              <w:rPr>
                <w:rFonts w:asciiTheme="minorHAnsi" w:hAnsiTheme="minorHAnsi"/>
                <w:lang w:val="fr-CH"/>
              </w:rPr>
              <w:t>R04.x(x)</w:t>
            </w:r>
          </w:p>
          <w:p w14:paraId="05D7E745" w14:textId="77777777" w:rsidR="00DC6192" w:rsidRPr="00356F63" w:rsidRDefault="00DC6192" w:rsidP="00DC6192">
            <w:pPr>
              <w:pStyle w:val="TableParagraph"/>
              <w:spacing w:before="10" w:line="240" w:lineRule="auto"/>
              <w:ind w:left="0"/>
              <w:rPr>
                <w:rFonts w:asciiTheme="minorHAnsi" w:hAnsiTheme="minorHAnsi"/>
                <w:lang w:val="de-CH"/>
              </w:rPr>
            </w:pPr>
            <w:r w:rsidRPr="00356F63">
              <w:rPr>
                <w:rFonts w:asciiTheme="minorHAnsi" w:hAnsiTheme="minorHAnsi"/>
                <w:b/>
                <w:lang w:val="de-CH"/>
              </w:rPr>
              <w:t>ICD-9-CM</w:t>
            </w:r>
            <w:r w:rsidRPr="00356F63">
              <w:rPr>
                <w:rFonts w:asciiTheme="minorHAnsi" w:hAnsiTheme="minorHAnsi"/>
                <w:lang w:val="de-CH"/>
              </w:rPr>
              <w:t>:</w:t>
            </w:r>
            <w:r w:rsidRPr="00356F63">
              <w:rPr>
                <w:rFonts w:asciiTheme="minorHAnsi" w:hAnsiTheme="minorHAnsi"/>
                <w:b/>
                <w:lang w:val="de-CH"/>
              </w:rPr>
              <w:t xml:space="preserve"> </w:t>
            </w:r>
            <w:r w:rsidRPr="00356F63">
              <w:rPr>
                <w:rFonts w:asciiTheme="minorHAnsi" w:hAnsiTheme="minorHAnsi"/>
                <w:lang w:val="de-CH"/>
              </w:rPr>
              <w:t>719.1x</w:t>
            </w:r>
            <w:r>
              <w:rPr>
                <w:rFonts w:asciiTheme="minorHAnsi" w:hAnsiTheme="minorHAnsi"/>
                <w:lang w:val="de-CH"/>
              </w:rPr>
              <w:t xml:space="preserve"> // </w:t>
            </w:r>
            <w:r w:rsidRPr="002F1AC5">
              <w:rPr>
                <w:rFonts w:asciiTheme="minorHAnsi" w:hAnsiTheme="minorHAnsi"/>
                <w:b/>
                <w:lang w:val="de-CH"/>
              </w:rPr>
              <w:t xml:space="preserve"> ICD-10 CM</w:t>
            </w:r>
            <w:r w:rsidRPr="002F1AC5">
              <w:rPr>
                <w:rFonts w:asciiTheme="minorHAnsi" w:hAnsiTheme="minorHAnsi"/>
                <w:lang w:val="de-CH"/>
              </w:rPr>
              <w:t>:</w:t>
            </w:r>
            <w:r w:rsidRPr="002F1AC5">
              <w:rPr>
                <w:rFonts w:asciiTheme="minorHAnsi" w:hAnsiTheme="minorHAnsi"/>
                <w:b/>
                <w:lang w:val="de-CH"/>
              </w:rPr>
              <w:t xml:space="preserve"> </w:t>
            </w:r>
            <w:r>
              <w:rPr>
                <w:rFonts w:asciiTheme="minorHAnsi" w:hAnsiTheme="minorHAnsi"/>
                <w:lang w:val="de-CH"/>
              </w:rPr>
              <w:t>M25.0x(x)</w:t>
            </w:r>
          </w:p>
          <w:p w14:paraId="46CFF923" w14:textId="77777777" w:rsidR="00DC6192" w:rsidRPr="002F1AC5" w:rsidRDefault="00DC6192" w:rsidP="00DC6192">
            <w:pPr>
              <w:pStyle w:val="TableParagraph"/>
              <w:spacing w:before="10" w:line="240" w:lineRule="auto"/>
              <w:ind w:left="0"/>
              <w:rPr>
                <w:rFonts w:asciiTheme="minorHAnsi" w:hAnsiTheme="minorHAnsi"/>
                <w:lang w:val="de-CH"/>
              </w:rPr>
            </w:pPr>
            <w:r w:rsidRPr="002F1AC5">
              <w:rPr>
                <w:rFonts w:asciiTheme="minorHAnsi" w:hAnsiTheme="minorHAnsi"/>
                <w:b/>
                <w:lang w:val="de-CH"/>
              </w:rPr>
              <w:t>ICD-9-CM</w:t>
            </w:r>
            <w:r w:rsidRPr="002F1AC5">
              <w:rPr>
                <w:rFonts w:asciiTheme="minorHAnsi" w:hAnsiTheme="minorHAnsi"/>
                <w:lang w:val="de-CH"/>
              </w:rPr>
              <w:t>:</w:t>
            </w:r>
            <w:r w:rsidRPr="002F1AC5">
              <w:rPr>
                <w:rFonts w:asciiTheme="minorHAnsi" w:hAnsiTheme="minorHAnsi"/>
                <w:b/>
                <w:lang w:val="de-CH"/>
              </w:rPr>
              <w:t xml:space="preserve"> </w:t>
            </w:r>
            <w:r w:rsidRPr="002F1AC5">
              <w:rPr>
                <w:rFonts w:asciiTheme="minorHAnsi" w:hAnsiTheme="minorHAnsi"/>
                <w:lang w:val="de-CH"/>
              </w:rPr>
              <w:t>568.81</w:t>
            </w:r>
            <w:r>
              <w:rPr>
                <w:rFonts w:asciiTheme="minorHAnsi" w:hAnsiTheme="minorHAnsi"/>
                <w:lang w:val="de-CH"/>
              </w:rPr>
              <w:t xml:space="preserve">// </w:t>
            </w:r>
            <w:r w:rsidRPr="002F1AC5">
              <w:rPr>
                <w:rFonts w:asciiTheme="minorHAnsi" w:hAnsiTheme="minorHAnsi"/>
                <w:b/>
                <w:lang w:val="de-CH"/>
              </w:rPr>
              <w:t xml:space="preserve"> ICD-10 CM</w:t>
            </w:r>
            <w:r w:rsidRPr="002F1AC5">
              <w:rPr>
                <w:rFonts w:asciiTheme="minorHAnsi" w:hAnsiTheme="minorHAnsi"/>
                <w:lang w:val="de-CH"/>
              </w:rPr>
              <w:t>:</w:t>
            </w:r>
            <w:r w:rsidRPr="002F1AC5">
              <w:rPr>
                <w:rFonts w:asciiTheme="minorHAnsi" w:hAnsiTheme="minorHAnsi"/>
                <w:b/>
                <w:lang w:val="de-CH"/>
              </w:rPr>
              <w:t xml:space="preserve"> </w:t>
            </w:r>
            <w:r>
              <w:rPr>
                <w:rFonts w:asciiTheme="minorHAnsi" w:hAnsiTheme="minorHAnsi"/>
                <w:lang w:val="de-CH"/>
              </w:rPr>
              <w:t>K66.1</w:t>
            </w:r>
          </w:p>
          <w:p w14:paraId="3395A0F6" w14:textId="77777777" w:rsidR="00DC6192" w:rsidRPr="00356F63" w:rsidRDefault="00DC6192" w:rsidP="00DC6192">
            <w:pPr>
              <w:pStyle w:val="TableParagraph"/>
              <w:spacing w:before="10" w:line="240" w:lineRule="auto"/>
              <w:ind w:left="0"/>
              <w:rPr>
                <w:rFonts w:asciiTheme="minorHAnsi" w:hAnsiTheme="minorHAnsi"/>
              </w:rPr>
            </w:pPr>
            <w:r w:rsidRPr="00356F63">
              <w:rPr>
                <w:rFonts w:asciiTheme="minorHAnsi" w:hAnsiTheme="minorHAnsi"/>
              </w:rPr>
              <w:t>One of the followi</w:t>
            </w:r>
            <w:r>
              <w:rPr>
                <w:rFonts w:asciiTheme="minorHAnsi" w:hAnsiTheme="minorHAnsi"/>
              </w:rPr>
              <w:t>ng codes in the institutional inpatient</w:t>
            </w:r>
            <w:r w:rsidRPr="00356F63">
              <w:rPr>
                <w:rFonts w:asciiTheme="minorHAnsi" w:hAnsiTheme="minorHAnsi"/>
              </w:rPr>
              <w:t xml:space="preserve"> files:</w:t>
            </w:r>
          </w:p>
          <w:p w14:paraId="0E4CD0C4" w14:textId="77777777" w:rsidR="00DC6192" w:rsidRPr="001A3401" w:rsidRDefault="00DC6192" w:rsidP="00DC6192">
            <w:pPr>
              <w:pStyle w:val="TableParagraph"/>
              <w:spacing w:before="10" w:line="240" w:lineRule="auto"/>
              <w:ind w:left="0"/>
              <w:rPr>
                <w:rFonts w:asciiTheme="minorHAnsi" w:hAnsiTheme="minorHAnsi"/>
                <w:lang w:val="fr-CH"/>
              </w:rPr>
            </w:pPr>
            <w:r w:rsidRPr="00356F63">
              <w:rPr>
                <w:rFonts w:asciiTheme="minorHAnsi" w:hAnsiTheme="minorHAnsi"/>
                <w:b/>
                <w:lang w:val="fr-CH"/>
              </w:rPr>
              <w:t>ICD-9-</w:t>
            </w:r>
            <w:proofErr w:type="gramStart"/>
            <w:r w:rsidRPr="00356F63">
              <w:rPr>
                <w:rFonts w:asciiTheme="minorHAnsi" w:hAnsiTheme="minorHAnsi"/>
                <w:b/>
                <w:lang w:val="fr-CH"/>
              </w:rPr>
              <w:t>CM</w:t>
            </w:r>
            <w:r w:rsidRPr="00356F63">
              <w:rPr>
                <w:rFonts w:asciiTheme="minorHAnsi" w:hAnsiTheme="minorHAnsi"/>
                <w:lang w:val="fr-CH"/>
              </w:rPr>
              <w:t>:</w:t>
            </w:r>
            <w:proofErr w:type="gramEnd"/>
            <w:r w:rsidRPr="00356F63">
              <w:rPr>
                <w:rFonts w:asciiTheme="minorHAnsi" w:hAnsiTheme="minorHAnsi"/>
                <w:lang w:val="fr-CH"/>
              </w:rPr>
              <w:t xml:space="preserve"> 456.0, 456.20, 530.21, 530.7, 530.82, 531.0x, 531.2x, 531.4x, 531.5x, 531.6x, 532.0x, 532.2x, 532.4x, 532.6x, 533.0x, 533.2x, 533.4x, 533.6x, 534.0x, 534.2x, 534.4x, 534.6x, 535.x1, 537.83, 537.84, 578.x, 562.x2, 562.x3, 569.3, 569.85</w:t>
            </w:r>
          </w:p>
        </w:tc>
      </w:tr>
      <w:tr w:rsidR="00DC6192" w:rsidRPr="009D7160" w14:paraId="61178402" w14:textId="77777777" w:rsidTr="00DC6192">
        <w:trPr>
          <w:trHeight w:val="475"/>
        </w:trPr>
        <w:tc>
          <w:tcPr>
            <w:tcW w:w="3420" w:type="dxa"/>
            <w:tcBorders>
              <w:bottom w:val="single" w:sz="4" w:space="0" w:color="auto"/>
            </w:tcBorders>
          </w:tcPr>
          <w:p w14:paraId="58EF13E4" w14:textId="77777777" w:rsidR="00DC6192" w:rsidRDefault="00DC6192" w:rsidP="00DC6192">
            <w:pPr>
              <w:pStyle w:val="TableParagraph"/>
              <w:tabs>
                <w:tab w:val="left" w:pos="284"/>
              </w:tabs>
              <w:spacing w:before="10" w:line="230" w:lineRule="atLeast"/>
              <w:ind w:right="732"/>
              <w:rPr>
                <w:rFonts w:asciiTheme="minorHAnsi" w:hAnsiTheme="minorHAnsi"/>
              </w:rPr>
            </w:pPr>
            <w:r w:rsidRPr="00CC7237">
              <w:rPr>
                <w:rFonts w:asciiTheme="minorHAnsi" w:hAnsiTheme="minorHAnsi"/>
                <w:lang w:val="fr-CH"/>
              </w:rPr>
              <w:t xml:space="preserve">       </w:t>
            </w:r>
            <w:r w:rsidRPr="00356F63">
              <w:rPr>
                <w:rFonts w:asciiTheme="minorHAnsi" w:hAnsiTheme="minorHAnsi"/>
              </w:rPr>
              <w:t>Urinary</w:t>
            </w:r>
            <w:r>
              <w:rPr>
                <w:rFonts w:asciiTheme="minorHAnsi" w:hAnsiTheme="minorHAnsi"/>
              </w:rPr>
              <w:t xml:space="preserve"> bleeding</w:t>
            </w:r>
          </w:p>
          <w:p w14:paraId="66DAE632" w14:textId="77777777" w:rsidR="00DC6192" w:rsidRPr="00356F63" w:rsidRDefault="00DC6192" w:rsidP="00DC6192">
            <w:pPr>
              <w:pStyle w:val="TableParagraph"/>
              <w:tabs>
                <w:tab w:val="left" w:pos="284"/>
              </w:tabs>
              <w:spacing w:before="10" w:line="230" w:lineRule="atLeast"/>
              <w:ind w:left="142" w:right="732"/>
              <w:rPr>
                <w:rFonts w:asciiTheme="minorHAnsi" w:hAnsiTheme="minorHAnsi"/>
              </w:rPr>
            </w:pPr>
          </w:p>
          <w:p w14:paraId="76BDFA3B" w14:textId="77777777" w:rsidR="00DC6192" w:rsidRDefault="00DC6192" w:rsidP="00DC6192">
            <w:pPr>
              <w:pStyle w:val="TableParagraph"/>
              <w:tabs>
                <w:tab w:val="left" w:pos="284"/>
              </w:tabs>
              <w:spacing w:before="10" w:line="230" w:lineRule="atLeast"/>
              <w:ind w:right="732"/>
              <w:rPr>
                <w:rFonts w:asciiTheme="minorHAnsi" w:hAnsiTheme="minorHAnsi"/>
              </w:rPr>
            </w:pPr>
          </w:p>
          <w:p w14:paraId="7135A31D" w14:textId="77777777" w:rsidR="00DC6192" w:rsidRDefault="00DC6192" w:rsidP="00DC6192">
            <w:pPr>
              <w:pStyle w:val="TableParagraph"/>
              <w:tabs>
                <w:tab w:val="left" w:pos="284"/>
              </w:tabs>
              <w:spacing w:before="10" w:line="230" w:lineRule="atLeast"/>
              <w:ind w:left="500" w:right="732"/>
              <w:rPr>
                <w:rFonts w:asciiTheme="minorHAnsi" w:hAnsiTheme="minorHAnsi"/>
              </w:rPr>
            </w:pPr>
          </w:p>
          <w:p w14:paraId="31BF8F24" w14:textId="77777777" w:rsidR="00DC6192" w:rsidRDefault="00DC6192" w:rsidP="00DC6192">
            <w:pPr>
              <w:pStyle w:val="TableParagraph"/>
              <w:tabs>
                <w:tab w:val="left" w:pos="284"/>
              </w:tabs>
              <w:spacing w:before="10" w:line="230" w:lineRule="atLeast"/>
              <w:ind w:right="732"/>
              <w:rPr>
                <w:rFonts w:asciiTheme="minorHAnsi" w:hAnsiTheme="minorHAnsi"/>
              </w:rPr>
            </w:pPr>
          </w:p>
          <w:p w14:paraId="1CE31872" w14:textId="77777777" w:rsidR="00DC6192" w:rsidRPr="00356F63" w:rsidRDefault="00DC6192" w:rsidP="00DC6192">
            <w:pPr>
              <w:pStyle w:val="TableParagraph"/>
              <w:tabs>
                <w:tab w:val="left" w:pos="284"/>
              </w:tabs>
              <w:spacing w:before="10" w:line="230" w:lineRule="atLeast"/>
              <w:ind w:left="500" w:right="732"/>
              <w:rPr>
                <w:rFonts w:asciiTheme="minorHAnsi" w:hAnsiTheme="minorHAnsi"/>
              </w:rPr>
            </w:pPr>
          </w:p>
          <w:p w14:paraId="4F2D8203" w14:textId="77777777" w:rsidR="00DC6192" w:rsidRPr="00356F63" w:rsidRDefault="00DC6192" w:rsidP="00DC6192">
            <w:pPr>
              <w:pStyle w:val="TableParagraph"/>
              <w:tabs>
                <w:tab w:val="left" w:pos="284"/>
              </w:tabs>
              <w:spacing w:before="10" w:line="230" w:lineRule="atLeast"/>
              <w:ind w:right="73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Pr="00356F63">
              <w:rPr>
                <w:rFonts w:asciiTheme="minorHAnsi" w:hAnsiTheme="minorHAnsi"/>
              </w:rPr>
              <w:t>Gynecological</w:t>
            </w:r>
            <w:r>
              <w:rPr>
                <w:rFonts w:asciiTheme="minorHAnsi" w:hAnsiTheme="minorHAnsi"/>
              </w:rPr>
              <w:t xml:space="preserve"> bleeding</w:t>
            </w:r>
          </w:p>
          <w:p w14:paraId="1FE19A90" w14:textId="77777777" w:rsidR="00DC6192" w:rsidRPr="00356F63" w:rsidRDefault="00DC6192" w:rsidP="00DC6192">
            <w:pPr>
              <w:pStyle w:val="TableParagraph"/>
              <w:tabs>
                <w:tab w:val="left" w:pos="284"/>
              </w:tabs>
              <w:spacing w:before="10" w:line="230" w:lineRule="atLeast"/>
              <w:ind w:left="0" w:right="732"/>
              <w:rPr>
                <w:rFonts w:asciiTheme="minorHAnsi" w:hAnsiTheme="minorHAnsi"/>
              </w:rPr>
            </w:pPr>
          </w:p>
          <w:p w14:paraId="2CF34840" w14:textId="77777777" w:rsidR="00DC6192" w:rsidRDefault="00DC6192" w:rsidP="00DC6192">
            <w:pPr>
              <w:pStyle w:val="TableParagraph"/>
              <w:tabs>
                <w:tab w:val="left" w:pos="284"/>
              </w:tabs>
              <w:spacing w:before="10" w:line="230" w:lineRule="atLeast"/>
              <w:ind w:right="732"/>
              <w:rPr>
                <w:rFonts w:asciiTheme="minorHAnsi" w:hAnsiTheme="minorHAnsi"/>
              </w:rPr>
            </w:pPr>
          </w:p>
          <w:p w14:paraId="0C279319" w14:textId="77777777" w:rsidR="00DC6192" w:rsidRDefault="00DC6192" w:rsidP="00DC6192">
            <w:pPr>
              <w:pStyle w:val="TableParagraph"/>
              <w:tabs>
                <w:tab w:val="left" w:pos="284"/>
              </w:tabs>
              <w:spacing w:before="10" w:line="230" w:lineRule="atLeast"/>
              <w:ind w:right="732"/>
              <w:rPr>
                <w:rFonts w:asciiTheme="minorHAnsi" w:hAnsiTheme="minorHAnsi"/>
              </w:rPr>
            </w:pPr>
          </w:p>
          <w:p w14:paraId="6542E35F" w14:textId="77777777" w:rsidR="00DC6192" w:rsidRPr="00356F63" w:rsidRDefault="00DC6192" w:rsidP="00DC6192">
            <w:pPr>
              <w:pStyle w:val="TableParagraph"/>
              <w:tabs>
                <w:tab w:val="left" w:pos="284"/>
              </w:tabs>
              <w:spacing w:before="10" w:line="230" w:lineRule="atLeast"/>
              <w:ind w:right="73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Pr="00356F63">
              <w:rPr>
                <w:rFonts w:asciiTheme="minorHAnsi" w:hAnsiTheme="minorHAnsi"/>
              </w:rPr>
              <w:t>Other</w:t>
            </w:r>
            <w:r>
              <w:rPr>
                <w:rFonts w:asciiTheme="minorHAnsi" w:hAnsiTheme="minorHAnsi"/>
              </w:rPr>
              <w:t xml:space="preserve"> bleeding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5219A3AE" w14:textId="77777777" w:rsidR="00DC6192" w:rsidRPr="00CC7237" w:rsidRDefault="00DC6192" w:rsidP="00DC6192">
            <w:pPr>
              <w:pStyle w:val="TableParagraph"/>
              <w:spacing w:before="10" w:line="240" w:lineRule="auto"/>
              <w:ind w:left="0"/>
              <w:rPr>
                <w:rFonts w:asciiTheme="minorHAnsi" w:hAnsiTheme="minorHAnsi"/>
              </w:rPr>
            </w:pPr>
            <w:r w:rsidRPr="00CC7237">
              <w:rPr>
                <w:rFonts w:asciiTheme="minorHAnsi" w:hAnsiTheme="minorHAnsi"/>
                <w:b/>
              </w:rPr>
              <w:t>ICD-10 CM</w:t>
            </w:r>
            <w:r w:rsidRPr="00CC7237">
              <w:rPr>
                <w:rFonts w:asciiTheme="minorHAnsi" w:hAnsiTheme="minorHAnsi"/>
              </w:rPr>
              <w:t>: I85.x1, K22.11, K22.6, K25.0, K25.2, K25.4, K25.6,  K26.0, K26.2, K26.4, K26.6,  K27.0, K27.2, K27.4, K27.6, K28.0, K28.2, K28.4, K28.6, K29.x1, K31.811, K31.82, K92.0, K92.1, K92.2, K57.x1, K57.x3, K62.5, K55.21</w:t>
            </w:r>
          </w:p>
          <w:p w14:paraId="3CA920D4" w14:textId="77777777" w:rsidR="00DC6192" w:rsidRPr="00CD4B08" w:rsidRDefault="00DC6192" w:rsidP="00DC6192">
            <w:pPr>
              <w:pStyle w:val="TableParagraph"/>
              <w:spacing w:before="10" w:line="240" w:lineRule="auto"/>
              <w:ind w:left="0"/>
              <w:rPr>
                <w:rFonts w:asciiTheme="minorHAnsi" w:hAnsiTheme="minorHAnsi"/>
                <w:lang w:val="fr-CH"/>
              </w:rPr>
            </w:pPr>
            <w:r w:rsidRPr="00CD4B08">
              <w:rPr>
                <w:rFonts w:asciiTheme="minorHAnsi" w:hAnsiTheme="minorHAnsi"/>
                <w:b/>
                <w:lang w:val="fr-CH"/>
              </w:rPr>
              <w:t>ICD-9-</w:t>
            </w:r>
            <w:proofErr w:type="gramStart"/>
            <w:r w:rsidRPr="00CD4B08">
              <w:rPr>
                <w:rFonts w:asciiTheme="minorHAnsi" w:hAnsiTheme="minorHAnsi"/>
                <w:b/>
                <w:lang w:val="fr-CH"/>
              </w:rPr>
              <w:t>CM</w:t>
            </w:r>
            <w:r w:rsidRPr="00CD4B08">
              <w:rPr>
                <w:rFonts w:asciiTheme="minorHAnsi" w:hAnsiTheme="minorHAnsi"/>
                <w:lang w:val="fr-CH"/>
              </w:rPr>
              <w:t>:</w:t>
            </w:r>
            <w:proofErr w:type="gramEnd"/>
            <w:r w:rsidRPr="00CD4B08">
              <w:rPr>
                <w:rFonts w:asciiTheme="minorHAnsi" w:hAnsiTheme="minorHAnsi"/>
                <w:lang w:val="fr-CH"/>
              </w:rPr>
              <w:t xml:space="preserve"> 596.7, 602.1, 599.7x</w:t>
            </w:r>
          </w:p>
          <w:p w14:paraId="3F5D3DF5" w14:textId="77777777" w:rsidR="00DC6192" w:rsidRPr="00CD4B08" w:rsidRDefault="00DC6192" w:rsidP="00DC6192">
            <w:pPr>
              <w:pStyle w:val="TableParagraph"/>
              <w:spacing w:before="10" w:line="240" w:lineRule="auto"/>
              <w:ind w:left="0"/>
              <w:rPr>
                <w:rFonts w:asciiTheme="minorHAnsi" w:hAnsiTheme="minorHAnsi"/>
                <w:lang w:val="fr-CH"/>
              </w:rPr>
            </w:pPr>
            <w:r w:rsidRPr="00CD4B08">
              <w:rPr>
                <w:rFonts w:asciiTheme="minorHAnsi" w:hAnsiTheme="minorHAnsi"/>
                <w:b/>
                <w:lang w:val="fr-CH"/>
              </w:rPr>
              <w:t xml:space="preserve">ICD-10 </w:t>
            </w:r>
            <w:proofErr w:type="gramStart"/>
            <w:r w:rsidRPr="00CD4B08">
              <w:rPr>
                <w:rFonts w:asciiTheme="minorHAnsi" w:hAnsiTheme="minorHAnsi"/>
                <w:b/>
                <w:lang w:val="fr-CH"/>
              </w:rPr>
              <w:t>CM</w:t>
            </w:r>
            <w:r w:rsidRPr="00CD4B08">
              <w:rPr>
                <w:rFonts w:asciiTheme="minorHAnsi" w:hAnsiTheme="minorHAnsi"/>
                <w:lang w:val="fr-CH"/>
              </w:rPr>
              <w:t>:</w:t>
            </w:r>
            <w:proofErr w:type="gramEnd"/>
            <w:r w:rsidRPr="00CD4B08">
              <w:rPr>
                <w:rFonts w:asciiTheme="minorHAnsi" w:hAnsiTheme="minorHAnsi"/>
                <w:lang w:val="fr-CH"/>
              </w:rPr>
              <w:t xml:space="preserve"> N42.1, R31.0, R31.9</w:t>
            </w:r>
          </w:p>
          <w:p w14:paraId="771EAAC8" w14:textId="77777777" w:rsidR="00DC6192" w:rsidRPr="008B6D84" w:rsidRDefault="00DC6192" w:rsidP="00DC6192">
            <w:pPr>
              <w:pStyle w:val="TableParagraph"/>
              <w:spacing w:before="10" w:line="240" w:lineRule="auto"/>
              <w:ind w:left="0"/>
              <w:rPr>
                <w:rFonts w:asciiTheme="minorHAnsi" w:hAnsiTheme="minorHAnsi"/>
                <w:lang w:val="fr-CH"/>
              </w:rPr>
            </w:pPr>
            <w:r w:rsidRPr="008B6D84">
              <w:rPr>
                <w:rFonts w:asciiTheme="minorHAnsi" w:hAnsiTheme="minorHAnsi"/>
                <w:b/>
                <w:lang w:val="fr-CH"/>
              </w:rPr>
              <w:t>ICD-9-</w:t>
            </w:r>
            <w:proofErr w:type="gramStart"/>
            <w:r w:rsidRPr="008B6D84">
              <w:rPr>
                <w:rFonts w:asciiTheme="minorHAnsi" w:hAnsiTheme="minorHAnsi"/>
                <w:b/>
                <w:lang w:val="fr-CH"/>
              </w:rPr>
              <w:t>CM</w:t>
            </w:r>
            <w:r w:rsidRPr="008B6D84">
              <w:rPr>
                <w:rFonts w:asciiTheme="minorHAnsi" w:hAnsiTheme="minorHAnsi"/>
                <w:lang w:val="fr-CH"/>
              </w:rPr>
              <w:t>:</w:t>
            </w:r>
            <w:proofErr w:type="gramEnd"/>
            <w:r w:rsidRPr="008B6D84">
              <w:rPr>
                <w:rFonts w:asciiTheme="minorHAnsi" w:hAnsiTheme="minorHAnsi"/>
                <w:lang w:val="fr-CH"/>
              </w:rPr>
              <w:t xml:space="preserve"> 620.7, 621.4, 623.6, 624.5, 626.6, 626.8, 626.9, 627.0, 627.1</w:t>
            </w:r>
          </w:p>
          <w:p w14:paraId="6E8A9F22" w14:textId="77777777" w:rsidR="00DC6192" w:rsidRPr="008B6D84" w:rsidRDefault="00DC6192" w:rsidP="00DC6192">
            <w:pPr>
              <w:pStyle w:val="TableParagraph"/>
              <w:spacing w:before="10" w:line="240" w:lineRule="auto"/>
              <w:ind w:left="0"/>
              <w:rPr>
                <w:rFonts w:asciiTheme="minorHAnsi" w:hAnsiTheme="minorHAnsi"/>
                <w:lang w:val="fr-CH"/>
              </w:rPr>
            </w:pPr>
            <w:r w:rsidRPr="008B6D84">
              <w:rPr>
                <w:rFonts w:asciiTheme="minorHAnsi" w:hAnsiTheme="minorHAnsi"/>
                <w:b/>
                <w:lang w:val="fr-CH"/>
              </w:rPr>
              <w:t xml:space="preserve">ICD-10 </w:t>
            </w:r>
            <w:proofErr w:type="gramStart"/>
            <w:r w:rsidRPr="008B6D84">
              <w:rPr>
                <w:rFonts w:asciiTheme="minorHAnsi" w:hAnsiTheme="minorHAnsi"/>
                <w:b/>
                <w:lang w:val="fr-CH"/>
              </w:rPr>
              <w:t>CM</w:t>
            </w:r>
            <w:r w:rsidRPr="008B6D84">
              <w:rPr>
                <w:rFonts w:asciiTheme="minorHAnsi" w:hAnsiTheme="minorHAnsi"/>
                <w:lang w:val="fr-CH"/>
              </w:rPr>
              <w:t>:</w:t>
            </w:r>
            <w:proofErr w:type="gramEnd"/>
            <w:r w:rsidRPr="008B6D84">
              <w:rPr>
                <w:rFonts w:asciiTheme="minorHAnsi" w:hAnsiTheme="minorHAnsi"/>
                <w:lang w:val="fr-CH"/>
              </w:rPr>
              <w:t xml:space="preserve"> N83.6, N83.7, N85.7, N92.0, N92.1,  N92.4, N92.5, N93.8, N93.9, N95.0</w:t>
            </w:r>
          </w:p>
          <w:p w14:paraId="5707CB85" w14:textId="77777777" w:rsidR="00DC6192" w:rsidRPr="00480EC2" w:rsidRDefault="00DC6192" w:rsidP="00DC6192">
            <w:pPr>
              <w:pStyle w:val="TableParagraph"/>
              <w:spacing w:before="10" w:line="240" w:lineRule="auto"/>
              <w:ind w:left="0"/>
              <w:rPr>
                <w:rFonts w:asciiTheme="minorHAnsi" w:hAnsiTheme="minorHAnsi"/>
                <w:lang w:val="de-CH"/>
              </w:rPr>
            </w:pPr>
            <w:r w:rsidRPr="00356F63">
              <w:rPr>
                <w:rFonts w:asciiTheme="minorHAnsi" w:hAnsiTheme="minorHAnsi"/>
                <w:b/>
                <w:lang w:val="fr-CH"/>
              </w:rPr>
              <w:t>ICD-9-</w:t>
            </w:r>
            <w:proofErr w:type="gramStart"/>
            <w:r w:rsidRPr="00356F63">
              <w:rPr>
                <w:rFonts w:asciiTheme="minorHAnsi" w:hAnsiTheme="minorHAnsi"/>
                <w:b/>
                <w:lang w:val="fr-CH"/>
              </w:rPr>
              <w:t>CM</w:t>
            </w:r>
            <w:r w:rsidRPr="00356F63">
              <w:rPr>
                <w:rFonts w:asciiTheme="minorHAnsi" w:hAnsiTheme="minorHAnsi"/>
                <w:lang w:val="fr-CH"/>
              </w:rPr>
              <w:t>:</w:t>
            </w:r>
            <w:proofErr w:type="gramEnd"/>
            <w:r w:rsidRPr="00356F63">
              <w:rPr>
                <w:rFonts w:asciiTheme="minorHAnsi" w:hAnsiTheme="minorHAnsi"/>
                <w:lang w:val="fr-CH"/>
              </w:rPr>
              <w:t xml:space="preserve"> </w:t>
            </w:r>
            <w:r w:rsidRPr="00480EC2">
              <w:rPr>
                <w:rFonts w:asciiTheme="minorHAnsi" w:hAnsiTheme="minorHAnsi"/>
                <w:lang w:val="de-CH"/>
              </w:rPr>
              <w:t xml:space="preserve">459.0, 958.2, 729.92, 285.1 </w:t>
            </w:r>
          </w:p>
        </w:tc>
      </w:tr>
    </w:tbl>
    <w:p w14:paraId="078B92AB" w14:textId="77777777" w:rsidR="00DC6192" w:rsidRDefault="00DC6192" w:rsidP="00DC6192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  <w:r w:rsidRPr="00504D37">
        <w:rPr>
          <w:rFonts w:asciiTheme="minorHAnsi" w:hAnsiTheme="minorHAnsi" w:cstheme="minorHAnsi"/>
          <w:sz w:val="22"/>
          <w:szCs w:val="22"/>
          <w:shd w:val="clear" w:color="auto" w:fill="FFFFFF"/>
        </w:rPr>
        <w:t>ICD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= </w:t>
      </w:r>
      <w:hyperlink r:id="rId5" w:history="1">
        <w:r w:rsidRPr="005C6FDE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International Statistical Classification of Diseases and Related Health Problems</w:t>
        </w:r>
      </w:hyperlink>
      <w:r w:rsidRPr="005C6FDE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</w:p>
    <w:p w14:paraId="34A6AC37" w14:textId="792983B5" w:rsidR="00DC6192" w:rsidRDefault="00DC6192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p w14:paraId="3A1C07AB" w14:textId="77777777" w:rsidR="00CA0044" w:rsidRDefault="00CA0044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p w14:paraId="605EEE08" w14:textId="77777777" w:rsidR="00CA0044" w:rsidRPr="00387DE2" w:rsidRDefault="00CA0044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  <w:r>
        <w:rPr>
          <w:rFonts w:ascii="Times New Roman" w:hAnsi="Times New Roman" w:cs="Arial"/>
          <w:b/>
          <w:bCs/>
          <w:sz w:val="22"/>
          <w:szCs w:val="22"/>
        </w:rPr>
        <w:t>Supplemental Table 2.</w:t>
      </w:r>
      <w:r w:rsidRPr="00DF0CCE">
        <w:rPr>
          <w:rFonts w:ascii="Times New Roman" w:hAnsi="Times New Roman" w:cs="Arial"/>
          <w:sz w:val="22"/>
          <w:szCs w:val="22"/>
        </w:rPr>
        <w:t xml:space="preserve"> </w:t>
      </w:r>
      <w:r w:rsidRPr="009B47C4">
        <w:rPr>
          <w:rFonts w:ascii="Times New Roman" w:hAnsi="Times New Roman" w:cs="Arial"/>
          <w:b/>
          <w:bCs/>
          <w:sz w:val="22"/>
          <w:szCs w:val="22"/>
        </w:rPr>
        <w:t xml:space="preserve">Incidence of All Cause Stroke </w:t>
      </w:r>
      <w:r>
        <w:rPr>
          <w:rFonts w:ascii="Times New Roman" w:hAnsi="Times New Roman" w:cs="Arial"/>
          <w:b/>
          <w:bCs/>
          <w:sz w:val="22"/>
          <w:szCs w:val="22"/>
        </w:rPr>
        <w:t xml:space="preserve">Composite Components </w:t>
      </w:r>
      <w:r w:rsidRPr="009B47C4">
        <w:rPr>
          <w:rFonts w:ascii="Times New Roman" w:hAnsi="Times New Roman" w:cs="Arial"/>
          <w:b/>
          <w:bCs/>
          <w:sz w:val="22"/>
          <w:szCs w:val="22"/>
        </w:rPr>
        <w:t>in Patients with Prevalent Atrial Fibrillation on Warfarin who Switch to Apixaban versus Patients who Continue on Warfarin</w:t>
      </w:r>
      <w:r w:rsidRPr="00DF0CCE">
        <w:rPr>
          <w:rFonts w:ascii="Times New Roman" w:hAnsi="Times New Roman" w:cs="Arial"/>
          <w:sz w:val="22"/>
          <w:szCs w:val="22"/>
        </w:rPr>
        <w:t xml:space="preserve">    </w:t>
      </w:r>
    </w:p>
    <w:tbl>
      <w:tblPr>
        <w:tblW w:w="7308" w:type="dxa"/>
        <w:tblLayout w:type="fixed"/>
        <w:tblLook w:val="00A0" w:firstRow="1" w:lastRow="0" w:firstColumn="1" w:lastColumn="0" w:noHBand="0" w:noVBand="0"/>
      </w:tblPr>
      <w:tblGrid>
        <w:gridCol w:w="2898"/>
        <w:gridCol w:w="2340"/>
        <w:gridCol w:w="2070"/>
      </w:tblGrid>
      <w:tr w:rsidR="00CA0044" w:rsidRPr="00DF0CCE" w14:paraId="3C86CD1E" w14:textId="77777777" w:rsidTr="00C3068E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14:paraId="34DE8A9D" w14:textId="77777777" w:rsidR="00CA0044" w:rsidRDefault="00CA0044" w:rsidP="00C3068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8787D7A" w14:textId="77777777" w:rsidR="00CA0044" w:rsidRPr="00DF0CCE" w:rsidRDefault="00CA0044" w:rsidP="00C306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 (%)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2A65C" w14:textId="77777777" w:rsidR="00CA0044" w:rsidRDefault="00CA0044" w:rsidP="00C306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0CCE">
              <w:rPr>
                <w:rFonts w:ascii="Times New Roman" w:hAnsi="Times New Roman"/>
                <w:b/>
                <w:sz w:val="22"/>
                <w:szCs w:val="22"/>
              </w:rPr>
              <w:t>Warfarin Continue</w:t>
            </w:r>
          </w:p>
          <w:p w14:paraId="4664E69F" w14:textId="77777777" w:rsidR="00CA0044" w:rsidRPr="00826AC9" w:rsidRDefault="00CA0044" w:rsidP="00C306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6AC9">
              <w:rPr>
                <w:rFonts w:ascii="Times New Roman" w:hAnsi="Times New Roman"/>
                <w:color w:val="000000"/>
                <w:sz w:val="22"/>
                <w:szCs w:val="22"/>
              </w:rPr>
              <w:t>N=1691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03B61" w14:textId="77777777" w:rsidR="00CA0044" w:rsidRDefault="00CA0044" w:rsidP="00C306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0CCE">
              <w:rPr>
                <w:rFonts w:ascii="Times New Roman" w:hAnsi="Times New Roman"/>
                <w:b/>
                <w:sz w:val="22"/>
                <w:szCs w:val="22"/>
              </w:rPr>
              <w:t xml:space="preserve">Apixaban Switch </w:t>
            </w:r>
          </w:p>
          <w:p w14:paraId="4622B501" w14:textId="77777777" w:rsidR="00CA0044" w:rsidRPr="00826AC9" w:rsidRDefault="00CA0044" w:rsidP="00C3068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26AC9">
              <w:rPr>
                <w:rFonts w:ascii="Times New Roman" w:hAnsi="Times New Roman"/>
                <w:bCs/>
                <w:sz w:val="22"/>
                <w:szCs w:val="22"/>
              </w:rPr>
              <w:t>N=71</w:t>
            </w:r>
          </w:p>
        </w:tc>
      </w:tr>
      <w:tr w:rsidR="00CA0044" w:rsidRPr="00DF0CCE" w14:paraId="0079B9E6" w14:textId="77777777" w:rsidTr="00C3068E">
        <w:tc>
          <w:tcPr>
            <w:tcW w:w="2898" w:type="dxa"/>
          </w:tcPr>
          <w:p w14:paraId="1A77C501" w14:textId="77777777" w:rsidR="00CA0044" w:rsidRPr="00DF0CCE" w:rsidRDefault="00CA0044" w:rsidP="00C306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Ischemic Stroke</w:t>
            </w:r>
          </w:p>
        </w:tc>
        <w:tc>
          <w:tcPr>
            <w:tcW w:w="2340" w:type="dxa"/>
          </w:tcPr>
          <w:p w14:paraId="7FCD6750" w14:textId="77777777" w:rsidR="00CA0044" w:rsidRPr="00826AC9" w:rsidRDefault="00CA0044" w:rsidP="00C306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Hlk56325913"/>
            <w:r w:rsidRPr="00826AC9">
              <w:rPr>
                <w:rFonts w:ascii="Times New Roman" w:hAnsi="Times New Roman"/>
                <w:color w:val="000000"/>
                <w:sz w:val="22"/>
                <w:szCs w:val="22"/>
              </w:rPr>
              <w:t>250</w:t>
            </w:r>
            <w:bookmarkEnd w:id="0"/>
            <w:r w:rsidRPr="00826A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(14.78)</w:t>
            </w:r>
          </w:p>
        </w:tc>
        <w:tc>
          <w:tcPr>
            <w:tcW w:w="2070" w:type="dxa"/>
          </w:tcPr>
          <w:p w14:paraId="060171DC" w14:textId="77777777" w:rsidR="00CA0044" w:rsidRPr="00DF0CCE" w:rsidRDefault="00CA0044" w:rsidP="00C306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&lt;11</w:t>
            </w:r>
          </w:p>
        </w:tc>
      </w:tr>
      <w:tr w:rsidR="00CA0044" w:rsidRPr="00DF0CCE" w14:paraId="52ED8390" w14:textId="77777777" w:rsidTr="00C3068E">
        <w:tc>
          <w:tcPr>
            <w:tcW w:w="2898" w:type="dxa"/>
          </w:tcPr>
          <w:p w14:paraId="58DD7024" w14:textId="77777777" w:rsidR="00CA0044" w:rsidRPr="00DF0CCE" w:rsidRDefault="00CA0044" w:rsidP="00C306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Systemic thromboembolism</w:t>
            </w:r>
          </w:p>
        </w:tc>
        <w:tc>
          <w:tcPr>
            <w:tcW w:w="2340" w:type="dxa"/>
          </w:tcPr>
          <w:p w14:paraId="4223E8C6" w14:textId="77777777" w:rsidR="00CA0044" w:rsidRPr="00826AC9" w:rsidRDefault="00CA0044" w:rsidP="00C306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_Hlk56325927"/>
            <w:r w:rsidRPr="00826AC9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  <w:bookmarkEnd w:id="1"/>
            <w:r w:rsidRPr="00826A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(1.71)</w:t>
            </w:r>
          </w:p>
        </w:tc>
        <w:tc>
          <w:tcPr>
            <w:tcW w:w="2070" w:type="dxa"/>
          </w:tcPr>
          <w:p w14:paraId="76A5D51C" w14:textId="77777777" w:rsidR="00CA0044" w:rsidRPr="00DF0CCE" w:rsidRDefault="00CA0044" w:rsidP="00C306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0044" w:rsidRPr="00DF0CCE" w14:paraId="10097CF6" w14:textId="77777777" w:rsidTr="00C3068E">
        <w:tc>
          <w:tcPr>
            <w:tcW w:w="2898" w:type="dxa"/>
          </w:tcPr>
          <w:p w14:paraId="7CDD16D5" w14:textId="77777777" w:rsidR="00CA0044" w:rsidRPr="00387DE2" w:rsidRDefault="00CA0044" w:rsidP="00C3068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7DE2">
              <w:rPr>
                <w:rFonts w:ascii="Times New Roman" w:hAnsi="Times New Roman"/>
                <w:b/>
                <w:bCs/>
                <w:sz w:val="22"/>
                <w:szCs w:val="22"/>
              </w:rPr>
              <w:t>Hemorrhagic Stroke</w:t>
            </w:r>
          </w:p>
        </w:tc>
        <w:tc>
          <w:tcPr>
            <w:tcW w:w="2340" w:type="dxa"/>
          </w:tcPr>
          <w:p w14:paraId="48C1DC52" w14:textId="77777777" w:rsidR="00CA0044" w:rsidRPr="00826AC9" w:rsidRDefault="00CA0044" w:rsidP="00C306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AC9">
              <w:rPr>
                <w:rFonts w:ascii="Times New Roman" w:hAnsi="Times New Roman"/>
                <w:color w:val="000000"/>
                <w:sz w:val="22"/>
                <w:szCs w:val="22"/>
              </w:rPr>
              <w:t>22 (1.30)</w:t>
            </w:r>
          </w:p>
        </w:tc>
        <w:tc>
          <w:tcPr>
            <w:tcW w:w="2070" w:type="dxa"/>
          </w:tcPr>
          <w:p w14:paraId="502E01D7" w14:textId="77777777" w:rsidR="00CA0044" w:rsidRPr="00DF0CCE" w:rsidRDefault="00CA0044" w:rsidP="00C3068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0044" w:rsidRPr="00DF0CCE" w14:paraId="62689258" w14:textId="77777777" w:rsidTr="00C3068E">
        <w:tc>
          <w:tcPr>
            <w:tcW w:w="2898" w:type="dxa"/>
            <w:tcBorders>
              <w:bottom w:val="single" w:sz="4" w:space="0" w:color="auto"/>
            </w:tcBorders>
          </w:tcPr>
          <w:p w14:paraId="570B9367" w14:textId="77777777" w:rsidR="00CA0044" w:rsidRPr="00387DE2" w:rsidRDefault="00CA0044" w:rsidP="00C3068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7DE2">
              <w:rPr>
                <w:rFonts w:ascii="Times New Roman" w:hAnsi="Times New Roman"/>
                <w:b/>
                <w:bCs/>
                <w:sz w:val="22"/>
                <w:szCs w:val="22"/>
              </w:rPr>
              <w:t>Transient Ischemic Attach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222AC6F" w14:textId="77777777" w:rsidR="00CA0044" w:rsidRPr="00826AC9" w:rsidRDefault="00CA0044" w:rsidP="00C306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&lt;11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73E0C3F" w14:textId="77777777" w:rsidR="00CA0044" w:rsidRPr="00DF0CCE" w:rsidRDefault="00CA0044" w:rsidP="00C3068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0C3226B" w14:textId="77777777" w:rsidR="00CA0044" w:rsidRPr="00DF0CCE" w:rsidRDefault="00CA0044" w:rsidP="00CA0044">
      <w:pPr>
        <w:rPr>
          <w:rFonts w:ascii="Times New Roman" w:hAnsi="Times New Roman"/>
          <w:sz w:val="22"/>
          <w:szCs w:val="22"/>
        </w:rPr>
      </w:pPr>
    </w:p>
    <w:p w14:paraId="390C44A7" w14:textId="77777777" w:rsidR="00CA0044" w:rsidRPr="00930C76" w:rsidRDefault="00CA0044" w:rsidP="00CA0044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DF0CC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Individuals were censored at anticoagulation discontinuation, discontinuous Medicare part D, dialysis, kidney transplant, a 2</w:t>
      </w:r>
      <w:r w:rsidRPr="00DF0CCE">
        <w:rPr>
          <w:rFonts w:ascii="Times New Roman" w:hAnsi="Times New Roman"/>
          <w:color w:val="000000"/>
          <w:sz w:val="22"/>
          <w:szCs w:val="22"/>
          <w:vertAlign w:val="superscript"/>
        </w:rPr>
        <w:t>nd</w:t>
      </w:r>
      <w:r w:rsidRPr="00DF0CC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 switch in anticoagulant, or death. </w:t>
      </w:r>
      <w:r>
        <w:rPr>
          <w:sz w:val="22"/>
          <w:szCs w:val="22"/>
        </w:rPr>
        <w:t xml:space="preserve"> </w:t>
      </w:r>
      <w:bookmarkStart w:id="2" w:name="_Hlk58057394"/>
      <w:r w:rsidRPr="00E0668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Poisson regression was used to estimate the incidence rates of the individual components of the stroke endpoint</w:t>
      </w:r>
      <w:bookmarkEnd w:id="2"/>
      <w:r w:rsidRPr="00E0668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 </w:t>
      </w:r>
    </w:p>
    <w:p w14:paraId="26B29615" w14:textId="77777777" w:rsidR="00CA0044" w:rsidRDefault="00CA0044" w:rsidP="00CA0044">
      <w:pPr>
        <w:spacing w:after="240"/>
        <w:rPr>
          <w:rFonts w:ascii="Times New Roman" w:hAnsi="Times New Roman"/>
          <w:b/>
          <w:bCs/>
          <w:sz w:val="22"/>
          <w:szCs w:val="22"/>
        </w:rPr>
      </w:pPr>
    </w:p>
    <w:p w14:paraId="2C346E2F" w14:textId="77777777" w:rsidR="00CA0044" w:rsidRDefault="00CA0044" w:rsidP="00CA0044">
      <w:pPr>
        <w:spacing w:after="240"/>
        <w:rPr>
          <w:rFonts w:ascii="Times New Roman" w:hAnsi="Times New Roman"/>
          <w:b/>
          <w:bCs/>
          <w:sz w:val="22"/>
          <w:szCs w:val="22"/>
        </w:rPr>
      </w:pPr>
    </w:p>
    <w:p w14:paraId="7273D0A5" w14:textId="77777777" w:rsidR="00CA0044" w:rsidRDefault="00CA0044" w:rsidP="00CA0044">
      <w:pPr>
        <w:spacing w:after="240"/>
        <w:rPr>
          <w:rFonts w:ascii="Times New Roman" w:hAnsi="Times New Roman"/>
          <w:b/>
          <w:bCs/>
          <w:sz w:val="22"/>
          <w:szCs w:val="22"/>
        </w:rPr>
      </w:pPr>
    </w:p>
    <w:p w14:paraId="60184665" w14:textId="77777777" w:rsidR="00CA0044" w:rsidRDefault="00CA0044" w:rsidP="00CA0044">
      <w:pPr>
        <w:spacing w:after="240"/>
        <w:rPr>
          <w:rFonts w:ascii="Times New Roman" w:hAnsi="Times New Roman"/>
          <w:b/>
          <w:bCs/>
          <w:sz w:val="22"/>
          <w:szCs w:val="22"/>
        </w:rPr>
      </w:pPr>
    </w:p>
    <w:p w14:paraId="1E5185A8" w14:textId="77777777" w:rsidR="00CA0044" w:rsidRDefault="00CA0044" w:rsidP="00CA0044">
      <w:pPr>
        <w:spacing w:after="240"/>
        <w:rPr>
          <w:rFonts w:ascii="Times New Roman" w:hAnsi="Times New Roman"/>
          <w:b/>
          <w:bCs/>
          <w:sz w:val="22"/>
          <w:szCs w:val="22"/>
        </w:rPr>
      </w:pPr>
    </w:p>
    <w:p w14:paraId="38814643" w14:textId="77777777" w:rsidR="00CA0044" w:rsidRDefault="00CA0044" w:rsidP="00CA0044">
      <w:pPr>
        <w:spacing w:after="240"/>
        <w:rPr>
          <w:rFonts w:ascii="Times New Roman" w:hAnsi="Times New Roman"/>
          <w:b/>
          <w:bCs/>
          <w:sz w:val="22"/>
          <w:szCs w:val="22"/>
        </w:rPr>
      </w:pPr>
    </w:p>
    <w:p w14:paraId="52715613" w14:textId="77777777" w:rsidR="00CA0044" w:rsidRDefault="00CA0044" w:rsidP="00CA0044">
      <w:pPr>
        <w:spacing w:after="240"/>
        <w:rPr>
          <w:rFonts w:ascii="Times New Roman" w:hAnsi="Times New Roman"/>
          <w:b/>
          <w:bCs/>
          <w:sz w:val="22"/>
          <w:szCs w:val="22"/>
        </w:rPr>
      </w:pPr>
    </w:p>
    <w:p w14:paraId="60FFF9A8" w14:textId="77777777" w:rsidR="00CA0044" w:rsidRDefault="00CA0044" w:rsidP="00CA0044">
      <w:pPr>
        <w:spacing w:after="240"/>
        <w:rPr>
          <w:rFonts w:ascii="Times New Roman" w:hAnsi="Times New Roman"/>
          <w:b/>
          <w:bCs/>
          <w:sz w:val="22"/>
          <w:szCs w:val="22"/>
        </w:rPr>
      </w:pPr>
    </w:p>
    <w:p w14:paraId="57198B4E" w14:textId="77777777" w:rsidR="00CA0044" w:rsidRDefault="00CA0044" w:rsidP="00CA0044">
      <w:pPr>
        <w:spacing w:after="240"/>
        <w:rPr>
          <w:rFonts w:ascii="Times New Roman" w:hAnsi="Times New Roman"/>
          <w:b/>
          <w:bCs/>
          <w:sz w:val="22"/>
          <w:szCs w:val="22"/>
        </w:rPr>
      </w:pPr>
    </w:p>
    <w:p w14:paraId="0A02110C" w14:textId="77777777" w:rsidR="00CA0044" w:rsidRDefault="00CA0044" w:rsidP="00CA0044">
      <w:pPr>
        <w:spacing w:after="240"/>
        <w:rPr>
          <w:rFonts w:ascii="Times New Roman" w:hAnsi="Times New Roman"/>
          <w:b/>
          <w:bCs/>
          <w:sz w:val="22"/>
          <w:szCs w:val="22"/>
        </w:rPr>
      </w:pPr>
    </w:p>
    <w:p w14:paraId="0C54A772" w14:textId="77777777" w:rsidR="00CA0044" w:rsidRDefault="00CA0044" w:rsidP="00CA0044">
      <w:pPr>
        <w:spacing w:after="240"/>
        <w:rPr>
          <w:rFonts w:ascii="Times New Roman" w:hAnsi="Times New Roman"/>
          <w:b/>
          <w:bCs/>
          <w:sz w:val="22"/>
          <w:szCs w:val="22"/>
        </w:rPr>
      </w:pPr>
    </w:p>
    <w:p w14:paraId="26A868BA" w14:textId="77777777" w:rsidR="00CA0044" w:rsidRDefault="00CA0044" w:rsidP="00CA0044">
      <w:pPr>
        <w:spacing w:after="240"/>
        <w:rPr>
          <w:rFonts w:ascii="Times New Roman" w:hAnsi="Times New Roman"/>
          <w:b/>
          <w:bCs/>
          <w:sz w:val="22"/>
          <w:szCs w:val="22"/>
        </w:rPr>
      </w:pPr>
    </w:p>
    <w:p w14:paraId="25C676C5" w14:textId="77777777" w:rsidR="00CA0044" w:rsidRDefault="00CA0044" w:rsidP="00CA0044">
      <w:pPr>
        <w:spacing w:after="240"/>
        <w:rPr>
          <w:rFonts w:ascii="Times New Roman" w:hAnsi="Times New Roman"/>
          <w:b/>
          <w:bCs/>
          <w:sz w:val="22"/>
          <w:szCs w:val="22"/>
        </w:rPr>
      </w:pPr>
    </w:p>
    <w:p w14:paraId="49C73D2E" w14:textId="77777777" w:rsidR="00CA0044" w:rsidRDefault="00CA0044" w:rsidP="00CA0044">
      <w:pPr>
        <w:spacing w:after="240"/>
        <w:rPr>
          <w:rFonts w:ascii="Times New Roman" w:hAnsi="Times New Roman"/>
          <w:b/>
          <w:bCs/>
          <w:sz w:val="22"/>
          <w:szCs w:val="22"/>
        </w:rPr>
      </w:pPr>
    </w:p>
    <w:p w14:paraId="7B82F0D6" w14:textId="77777777" w:rsidR="00CA0044" w:rsidRDefault="00CA0044" w:rsidP="00CA0044">
      <w:pPr>
        <w:spacing w:after="240"/>
        <w:rPr>
          <w:rFonts w:ascii="Times New Roman" w:hAnsi="Times New Roman"/>
          <w:b/>
          <w:bCs/>
          <w:sz w:val="22"/>
          <w:szCs w:val="22"/>
        </w:rPr>
      </w:pPr>
    </w:p>
    <w:p w14:paraId="695E4DDB" w14:textId="77777777" w:rsidR="00CA0044" w:rsidRDefault="00CA0044" w:rsidP="00CA0044">
      <w:pPr>
        <w:spacing w:after="240"/>
        <w:rPr>
          <w:rFonts w:ascii="Times New Roman" w:hAnsi="Times New Roman"/>
          <w:b/>
          <w:bCs/>
          <w:sz w:val="22"/>
          <w:szCs w:val="22"/>
        </w:rPr>
      </w:pPr>
    </w:p>
    <w:p w14:paraId="61DDBE2C" w14:textId="77777777" w:rsidR="00CA0044" w:rsidRDefault="00CA0044" w:rsidP="00CA0044">
      <w:pPr>
        <w:spacing w:after="240"/>
        <w:rPr>
          <w:rFonts w:ascii="Times New Roman" w:hAnsi="Times New Roman"/>
          <w:b/>
          <w:bCs/>
          <w:sz w:val="22"/>
          <w:szCs w:val="22"/>
        </w:rPr>
      </w:pPr>
    </w:p>
    <w:p w14:paraId="12D5823E" w14:textId="77777777" w:rsidR="00CA0044" w:rsidRPr="00777C64" w:rsidRDefault="00CA0044" w:rsidP="00CA0044">
      <w:pPr>
        <w:spacing w:after="240"/>
        <w:rPr>
          <w:rFonts w:ascii="Times New Roman" w:hAnsi="Times New Roman"/>
          <w:b/>
          <w:bCs/>
          <w:sz w:val="22"/>
          <w:szCs w:val="22"/>
        </w:rPr>
      </w:pPr>
      <w:r w:rsidRPr="00777C64">
        <w:rPr>
          <w:rFonts w:ascii="Times New Roman" w:hAnsi="Times New Roman"/>
          <w:b/>
          <w:bCs/>
          <w:sz w:val="22"/>
          <w:szCs w:val="22"/>
        </w:rPr>
        <w:lastRenderedPageBreak/>
        <w:t xml:space="preserve">Supplemental Table </w:t>
      </w:r>
      <w:r>
        <w:rPr>
          <w:rFonts w:ascii="Times New Roman" w:hAnsi="Times New Roman"/>
          <w:b/>
          <w:bCs/>
          <w:sz w:val="22"/>
          <w:szCs w:val="22"/>
        </w:rPr>
        <w:t>3</w:t>
      </w:r>
      <w:r w:rsidRPr="00777C64">
        <w:rPr>
          <w:rFonts w:ascii="Times New Roman" w:hAnsi="Times New Roman"/>
          <w:b/>
          <w:bCs/>
          <w:sz w:val="22"/>
          <w:szCs w:val="22"/>
        </w:rPr>
        <w:t xml:space="preserve">. Balance of </w:t>
      </w:r>
      <w:r>
        <w:rPr>
          <w:rFonts w:ascii="Times New Roman" w:hAnsi="Times New Roman"/>
          <w:b/>
          <w:bCs/>
          <w:sz w:val="22"/>
          <w:szCs w:val="22"/>
        </w:rPr>
        <w:t>C</w:t>
      </w:r>
      <w:r w:rsidRPr="00777C64">
        <w:rPr>
          <w:rFonts w:ascii="Times New Roman" w:hAnsi="Times New Roman"/>
          <w:b/>
          <w:bCs/>
          <w:sz w:val="22"/>
          <w:szCs w:val="22"/>
        </w:rPr>
        <w:t xml:space="preserve">ovariates using </w:t>
      </w:r>
      <w:r w:rsidRPr="00777C64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Inverse Probability of Treatment Weighting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between Patients on Warfarin who Switch to Apixaban versus Patients who Continue on Warfarin </w:t>
      </w:r>
      <w:r w:rsidRPr="00777C64">
        <w:rPr>
          <w:rFonts w:ascii="Times New Roman" w:hAnsi="Times New Roman"/>
          <w:sz w:val="21"/>
          <w:szCs w:val="21"/>
          <w:shd w:val="clear" w:color="auto" w:fill="FFFFFF"/>
        </w:rPr>
        <w:t> </w:t>
      </w:r>
    </w:p>
    <w:tbl>
      <w:tblPr>
        <w:tblW w:w="7022" w:type="dxa"/>
        <w:tblInd w:w="1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2385"/>
        <w:gridCol w:w="2160"/>
      </w:tblGrid>
      <w:tr w:rsidR="00CA0044" w:rsidRPr="00D82639" w14:paraId="2905F740" w14:textId="77777777" w:rsidTr="00C3068E">
        <w:trPr>
          <w:trHeight w:val="315"/>
        </w:trPr>
        <w:tc>
          <w:tcPr>
            <w:tcW w:w="247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2395A" w14:textId="77777777" w:rsidR="00CA0044" w:rsidRPr="00D82639" w:rsidRDefault="00CA0044" w:rsidP="00C306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Covariate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EE759" w14:textId="77777777" w:rsidR="00CA0044" w:rsidRPr="00D82639" w:rsidRDefault="00CA0044" w:rsidP="00C3068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Standardized Difference </w:t>
            </w:r>
            <w:r w:rsidRPr="000F04A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without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IPTW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DF6E7" w14:textId="77777777" w:rsidR="00CA0044" w:rsidRPr="00D82639" w:rsidRDefault="00CA0044" w:rsidP="00C3068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Standardized Difference with IPTW</w:t>
            </w:r>
          </w:p>
        </w:tc>
      </w:tr>
      <w:tr w:rsidR="00CA0044" w:rsidRPr="00D82639" w14:paraId="59C98E6D" w14:textId="77777777" w:rsidTr="00C3068E">
        <w:trPr>
          <w:trHeight w:val="315"/>
        </w:trPr>
        <w:tc>
          <w:tcPr>
            <w:tcW w:w="247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B2B7D" w14:textId="77777777" w:rsidR="00CA0044" w:rsidRPr="00D82639" w:rsidRDefault="00CA0044" w:rsidP="00C306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 w:rsidRPr="00D82639">
              <w:rPr>
                <w:rFonts w:ascii="Times New Roman" w:eastAsia="Times New Roman" w:hAnsi="Times New Roman"/>
                <w:sz w:val="22"/>
                <w:szCs w:val="22"/>
              </w:rPr>
              <w:t>ge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04110" w14:textId="77777777" w:rsidR="00CA0044" w:rsidRPr="00D82639" w:rsidRDefault="00CA0044" w:rsidP="00C3068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2639">
              <w:rPr>
                <w:rFonts w:ascii="Times New Roman" w:eastAsia="Times New Roman" w:hAnsi="Times New Roman"/>
                <w:sz w:val="22"/>
                <w:szCs w:val="22"/>
              </w:rPr>
              <w:t>-0.2301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CD6CF" w14:textId="77777777" w:rsidR="00CA0044" w:rsidRPr="00D82639" w:rsidRDefault="00CA0044" w:rsidP="00C3068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3" w:name="_Hlk58054924"/>
            <w:r w:rsidRPr="00D82639">
              <w:rPr>
                <w:rFonts w:ascii="Times New Roman" w:eastAsia="Times New Roman" w:hAnsi="Times New Roman"/>
                <w:sz w:val="22"/>
                <w:szCs w:val="22"/>
              </w:rPr>
              <w:t>-0.1788</w:t>
            </w:r>
            <w:bookmarkEnd w:id="3"/>
          </w:p>
        </w:tc>
      </w:tr>
      <w:tr w:rsidR="00CA0044" w:rsidRPr="00D82639" w14:paraId="15D87CE9" w14:textId="77777777" w:rsidTr="00C3068E">
        <w:trPr>
          <w:trHeight w:val="315"/>
        </w:trPr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9D386" w14:textId="77777777" w:rsidR="00CA0044" w:rsidRPr="00D82639" w:rsidRDefault="00CA0044" w:rsidP="00C306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2639">
              <w:rPr>
                <w:rFonts w:ascii="Times New Roman" w:eastAsia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HA</w:t>
            </w:r>
            <w:r w:rsidRPr="00D82639">
              <w:rPr>
                <w:rFonts w:ascii="Times New Roman" w:eastAsia="Times New Roman" w:hAnsi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DS</w:t>
            </w:r>
            <w:r w:rsidRPr="00D82639">
              <w:rPr>
                <w:rFonts w:ascii="Times New Roman" w:eastAsia="Times New Roman" w:hAnsi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-VASc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4930D" w14:textId="77777777" w:rsidR="00CA0044" w:rsidRPr="00D82639" w:rsidRDefault="00CA0044" w:rsidP="00C3068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2639">
              <w:rPr>
                <w:rFonts w:ascii="Times New Roman" w:eastAsia="Times New Roman" w:hAnsi="Times New Roman"/>
                <w:sz w:val="22"/>
                <w:szCs w:val="22"/>
              </w:rPr>
              <w:t>-0.2884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A0541" w14:textId="77777777" w:rsidR="00CA0044" w:rsidRPr="00D82639" w:rsidRDefault="00CA0044" w:rsidP="00C3068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2639">
              <w:rPr>
                <w:rFonts w:ascii="Times New Roman" w:eastAsia="Times New Roman" w:hAnsi="Times New Roman"/>
                <w:sz w:val="22"/>
                <w:szCs w:val="22"/>
              </w:rPr>
              <w:t>-0.1146</w:t>
            </w:r>
          </w:p>
        </w:tc>
      </w:tr>
      <w:tr w:rsidR="00CA0044" w:rsidRPr="00D82639" w14:paraId="420DED23" w14:textId="77777777" w:rsidTr="00C3068E">
        <w:trPr>
          <w:trHeight w:val="315"/>
        </w:trPr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CB882" w14:textId="77777777" w:rsidR="00CA0044" w:rsidRPr="00D82639" w:rsidRDefault="00CA0044" w:rsidP="00C306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4" w:name="_Hlk58054836"/>
            <w:r>
              <w:rPr>
                <w:rFonts w:ascii="Times New Roman" w:eastAsia="Times New Roman" w:hAnsi="Times New Roman"/>
                <w:sz w:val="22"/>
                <w:szCs w:val="22"/>
              </w:rPr>
              <w:t>HAS-BLED</w:t>
            </w:r>
            <w:bookmarkEnd w:id="4"/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F201B" w14:textId="77777777" w:rsidR="00CA0044" w:rsidRPr="00D82639" w:rsidRDefault="00CA0044" w:rsidP="00C3068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2639">
              <w:rPr>
                <w:rFonts w:ascii="Times New Roman" w:eastAsia="Times New Roman" w:hAnsi="Times New Roman"/>
                <w:sz w:val="22"/>
                <w:szCs w:val="22"/>
              </w:rPr>
              <w:t>-0.3726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F6D38" w14:textId="77777777" w:rsidR="00CA0044" w:rsidRPr="00D82639" w:rsidRDefault="00CA0044" w:rsidP="00C3068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5" w:name="_Hlk58054893"/>
            <w:r w:rsidRPr="00D82639">
              <w:rPr>
                <w:rFonts w:ascii="Times New Roman" w:eastAsia="Times New Roman" w:hAnsi="Times New Roman"/>
                <w:sz w:val="22"/>
                <w:szCs w:val="22"/>
              </w:rPr>
              <w:t>-0.2315</w:t>
            </w:r>
            <w:bookmarkEnd w:id="5"/>
          </w:p>
        </w:tc>
      </w:tr>
      <w:tr w:rsidR="00CA0044" w:rsidRPr="00D82639" w14:paraId="1AAB6430" w14:textId="77777777" w:rsidTr="00C3068E">
        <w:trPr>
          <w:trHeight w:val="315"/>
        </w:trPr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F31DB" w14:textId="77777777" w:rsidR="00CA0044" w:rsidRPr="00D82639" w:rsidRDefault="00CA0044" w:rsidP="00C306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Sex (male)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865BE" w14:textId="77777777" w:rsidR="00CA0044" w:rsidRPr="00D82639" w:rsidRDefault="00CA0044" w:rsidP="00C3068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2639">
              <w:rPr>
                <w:rFonts w:ascii="Times New Roman" w:eastAsia="Times New Roman" w:hAnsi="Times New Roman"/>
                <w:sz w:val="22"/>
                <w:szCs w:val="22"/>
              </w:rPr>
              <w:t>0.1971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3F2EE" w14:textId="77777777" w:rsidR="00CA0044" w:rsidRPr="00D82639" w:rsidRDefault="00CA0044" w:rsidP="00C3068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2639">
              <w:rPr>
                <w:rFonts w:ascii="Times New Roman" w:eastAsia="Times New Roman" w:hAnsi="Times New Roman"/>
                <w:sz w:val="22"/>
                <w:szCs w:val="22"/>
              </w:rPr>
              <w:t>-0.0768</w:t>
            </w:r>
          </w:p>
        </w:tc>
      </w:tr>
      <w:tr w:rsidR="00CA0044" w:rsidRPr="00D82639" w14:paraId="08F8C3D3" w14:textId="77777777" w:rsidTr="00C3068E">
        <w:trPr>
          <w:trHeight w:val="315"/>
        </w:trPr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F431B" w14:textId="77777777" w:rsidR="00CA0044" w:rsidRPr="00D82639" w:rsidRDefault="00CA0044" w:rsidP="00C306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History of stroke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E2917" w14:textId="77777777" w:rsidR="00CA0044" w:rsidRPr="00D82639" w:rsidRDefault="00CA0044" w:rsidP="00C3068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2639">
              <w:rPr>
                <w:rFonts w:ascii="Times New Roman" w:eastAsia="Times New Roman" w:hAnsi="Times New Roman"/>
                <w:sz w:val="22"/>
                <w:szCs w:val="22"/>
              </w:rPr>
              <w:t>-0.2363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B3FBC" w14:textId="77777777" w:rsidR="00CA0044" w:rsidRPr="00D82639" w:rsidRDefault="00CA0044" w:rsidP="00C3068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2639">
              <w:rPr>
                <w:rFonts w:ascii="Times New Roman" w:eastAsia="Times New Roman" w:hAnsi="Times New Roman"/>
                <w:sz w:val="22"/>
                <w:szCs w:val="22"/>
              </w:rPr>
              <w:t>-0.1045</w:t>
            </w:r>
          </w:p>
        </w:tc>
      </w:tr>
      <w:tr w:rsidR="00CA0044" w:rsidRPr="00D82639" w14:paraId="3254C383" w14:textId="77777777" w:rsidTr="00C3068E">
        <w:trPr>
          <w:trHeight w:val="315"/>
        </w:trPr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D35CA" w14:textId="77777777" w:rsidR="00CA0044" w:rsidRPr="00D82639" w:rsidRDefault="00CA0044" w:rsidP="00C306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History of heart disease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572CE" w14:textId="77777777" w:rsidR="00CA0044" w:rsidRPr="00D82639" w:rsidRDefault="00CA0044" w:rsidP="00C3068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2639">
              <w:rPr>
                <w:rFonts w:ascii="Times New Roman" w:eastAsia="Times New Roman" w:hAnsi="Times New Roman"/>
                <w:sz w:val="22"/>
                <w:szCs w:val="22"/>
              </w:rPr>
              <w:t>-0.3468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21C4E" w14:textId="77777777" w:rsidR="00CA0044" w:rsidRPr="00D82639" w:rsidRDefault="00CA0044" w:rsidP="00C3068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2639">
              <w:rPr>
                <w:rFonts w:ascii="Times New Roman" w:eastAsia="Times New Roman" w:hAnsi="Times New Roman"/>
                <w:sz w:val="22"/>
                <w:szCs w:val="22"/>
              </w:rPr>
              <w:t>-0.0359</w:t>
            </w:r>
          </w:p>
        </w:tc>
      </w:tr>
      <w:tr w:rsidR="00CA0044" w:rsidRPr="00D82639" w14:paraId="7CC1C3FC" w14:textId="77777777" w:rsidTr="00C3068E">
        <w:trPr>
          <w:trHeight w:val="315"/>
        </w:trPr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D56FF" w14:textId="77777777" w:rsidR="00CA0044" w:rsidRPr="00D82639" w:rsidRDefault="00CA0044" w:rsidP="00C306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History of major bleeding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F6FBE" w14:textId="77777777" w:rsidR="00CA0044" w:rsidRPr="00D82639" w:rsidRDefault="00CA0044" w:rsidP="00C3068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2639">
              <w:rPr>
                <w:rFonts w:ascii="Times New Roman" w:eastAsia="Times New Roman" w:hAnsi="Times New Roman"/>
                <w:sz w:val="22"/>
                <w:szCs w:val="22"/>
              </w:rPr>
              <w:t>-0.0288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EB6A6" w14:textId="77777777" w:rsidR="00CA0044" w:rsidRPr="00D82639" w:rsidRDefault="00CA0044" w:rsidP="00C3068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2639">
              <w:rPr>
                <w:rFonts w:ascii="Times New Roman" w:eastAsia="Times New Roman" w:hAnsi="Times New Roman"/>
                <w:sz w:val="22"/>
                <w:szCs w:val="22"/>
              </w:rPr>
              <w:t>-0.0053</w:t>
            </w:r>
          </w:p>
        </w:tc>
      </w:tr>
      <w:tr w:rsidR="00CA0044" w:rsidRPr="00D82639" w14:paraId="7EF0C389" w14:textId="77777777" w:rsidTr="00C3068E">
        <w:trPr>
          <w:trHeight w:val="315"/>
        </w:trPr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897E7" w14:textId="77777777" w:rsidR="00CA0044" w:rsidRPr="00D82639" w:rsidRDefault="00CA0044" w:rsidP="00C306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History of diabetes mellitus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84E6A" w14:textId="77777777" w:rsidR="00CA0044" w:rsidRPr="00D82639" w:rsidRDefault="00CA0044" w:rsidP="00C3068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2639">
              <w:rPr>
                <w:rFonts w:ascii="Times New Roman" w:eastAsia="Times New Roman" w:hAnsi="Times New Roman"/>
                <w:sz w:val="22"/>
                <w:szCs w:val="22"/>
              </w:rPr>
              <w:t>0.0717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4F5A7" w14:textId="77777777" w:rsidR="00CA0044" w:rsidRPr="00D82639" w:rsidRDefault="00CA0044" w:rsidP="00C3068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2639">
              <w:rPr>
                <w:rFonts w:ascii="Times New Roman" w:eastAsia="Times New Roman" w:hAnsi="Times New Roman"/>
                <w:sz w:val="22"/>
                <w:szCs w:val="22"/>
              </w:rPr>
              <w:t>0.0012</w:t>
            </w:r>
          </w:p>
        </w:tc>
      </w:tr>
    </w:tbl>
    <w:p w14:paraId="758A54A1" w14:textId="77777777" w:rsidR="00CA0044" w:rsidRDefault="00CA0044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p w14:paraId="56DD9A0D" w14:textId="77777777" w:rsidR="00CA0044" w:rsidRPr="00D82639" w:rsidRDefault="00CA0044" w:rsidP="00CA0044">
      <w:pPr>
        <w:spacing w:after="240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Heart disease = myocardial infarction, coronary artery disease, or congestive heart failure; IPTW = inverse probability treatment weighting</w:t>
      </w:r>
    </w:p>
    <w:p w14:paraId="0E6BBE6A" w14:textId="77777777" w:rsidR="00CA0044" w:rsidRDefault="00CA0044" w:rsidP="00CA0044">
      <w:pPr>
        <w:jc w:val="both"/>
        <w:outlineLvl w:val="0"/>
        <w:rPr>
          <w:sz w:val="22"/>
          <w:szCs w:val="22"/>
        </w:rPr>
      </w:pPr>
    </w:p>
    <w:p w14:paraId="5674AC3E" w14:textId="77777777" w:rsidR="00CA0044" w:rsidRDefault="00CA0044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p w14:paraId="5500A827" w14:textId="77777777" w:rsidR="00CA0044" w:rsidRDefault="00CA0044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p w14:paraId="153FD403" w14:textId="77777777" w:rsidR="00CA0044" w:rsidRDefault="00CA0044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p w14:paraId="4CB52386" w14:textId="77777777" w:rsidR="00CA0044" w:rsidRDefault="00CA0044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p w14:paraId="5C209A81" w14:textId="77777777" w:rsidR="00CA0044" w:rsidRDefault="00CA0044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p w14:paraId="69D423FF" w14:textId="77777777" w:rsidR="00CA0044" w:rsidRDefault="00CA0044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p w14:paraId="0A75E560" w14:textId="77777777" w:rsidR="00CA0044" w:rsidRDefault="00CA0044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p w14:paraId="67ED5164" w14:textId="77777777" w:rsidR="00CA0044" w:rsidRDefault="00CA0044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p w14:paraId="1658480A" w14:textId="77777777" w:rsidR="00CA0044" w:rsidRDefault="00CA0044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p w14:paraId="53D071E3" w14:textId="77777777" w:rsidR="00CA0044" w:rsidRDefault="00CA0044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p w14:paraId="7EADEB86" w14:textId="77777777" w:rsidR="00CA0044" w:rsidRDefault="00CA0044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p w14:paraId="7131809E" w14:textId="77777777" w:rsidR="00CA0044" w:rsidRDefault="00CA0044" w:rsidP="00CA0044">
      <w:pPr>
        <w:spacing w:after="240"/>
        <w:rPr>
          <w:rFonts w:ascii="Times New Roman" w:hAnsi="Times New Roman" w:cs="Arial"/>
          <w:b/>
          <w:bCs/>
          <w:sz w:val="22"/>
          <w:szCs w:val="22"/>
        </w:rPr>
      </w:pPr>
    </w:p>
    <w:p w14:paraId="132020DE" w14:textId="77777777" w:rsidR="00CA0044" w:rsidRPr="007D3CCA" w:rsidRDefault="00CA0044" w:rsidP="00CA0044">
      <w:pPr>
        <w:spacing w:after="24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 w:cs="Arial"/>
          <w:b/>
          <w:bCs/>
          <w:sz w:val="22"/>
          <w:szCs w:val="22"/>
        </w:rPr>
        <w:lastRenderedPageBreak/>
        <w:t>Supplemental Table</w:t>
      </w:r>
      <w:r w:rsidRPr="00317F3D">
        <w:rPr>
          <w:rFonts w:ascii="Times New Roman" w:hAnsi="Times New Roman" w:cs="Arial"/>
          <w:b/>
          <w:bCs/>
          <w:sz w:val="22"/>
          <w:szCs w:val="22"/>
        </w:rPr>
        <w:t xml:space="preserve"> </w:t>
      </w:r>
      <w:r>
        <w:rPr>
          <w:rFonts w:ascii="Times New Roman" w:hAnsi="Times New Roman" w:cs="Arial"/>
          <w:b/>
          <w:bCs/>
          <w:sz w:val="22"/>
          <w:szCs w:val="22"/>
        </w:rPr>
        <w:t>4</w:t>
      </w:r>
      <w:r w:rsidRPr="00317F3D">
        <w:rPr>
          <w:rFonts w:ascii="Times New Roman" w:hAnsi="Times New Roman" w:cs="Arial"/>
          <w:b/>
          <w:bCs/>
          <w:sz w:val="22"/>
          <w:szCs w:val="22"/>
        </w:rPr>
        <w:t>.</w:t>
      </w:r>
      <w:r>
        <w:rPr>
          <w:rFonts w:ascii="Times New Roman" w:hAnsi="Times New Roman" w:cs="Arial"/>
          <w:sz w:val="22"/>
          <w:szCs w:val="22"/>
        </w:rPr>
        <w:t xml:space="preserve"> </w:t>
      </w:r>
      <w:r w:rsidRPr="009B47C4">
        <w:rPr>
          <w:rFonts w:ascii="Times New Roman" w:hAnsi="Times New Roman" w:cs="Arial"/>
          <w:b/>
          <w:bCs/>
          <w:sz w:val="22"/>
          <w:szCs w:val="22"/>
        </w:rPr>
        <w:t xml:space="preserve">Adjusted Risk of Stroke and Major Bleeding in Patients with Atrial Fibrillation on Warfarin who Switch to Apixaban versus Continue on Warfarin </w:t>
      </w:r>
      <w:r>
        <w:rPr>
          <w:rFonts w:ascii="Times New Roman" w:hAnsi="Times New Roman" w:cs="Arial"/>
          <w:b/>
          <w:bCs/>
          <w:sz w:val="22"/>
          <w:szCs w:val="22"/>
        </w:rPr>
        <w:t>Removing</w:t>
      </w:r>
      <w:r w:rsidRPr="009B47C4">
        <w:rPr>
          <w:rFonts w:ascii="Times New Roman" w:hAnsi="Times New Roman" w:cs="Arial"/>
          <w:b/>
          <w:bCs/>
          <w:sz w:val="22"/>
          <w:szCs w:val="22"/>
        </w:rPr>
        <w:t xml:space="preserve"> for Death within 90 Days of January 1, 2012 and Date of Apixaban Switch</w:t>
      </w:r>
      <w:r>
        <w:rPr>
          <w:rFonts w:ascii="Times New Roman" w:hAnsi="Times New Roman"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227"/>
        <w:tblW w:w="6858" w:type="dxa"/>
        <w:tblLayout w:type="fixed"/>
        <w:tblLook w:val="00A0" w:firstRow="1" w:lastRow="0" w:firstColumn="1" w:lastColumn="0" w:noHBand="0" w:noVBand="0"/>
      </w:tblPr>
      <w:tblGrid>
        <w:gridCol w:w="2880"/>
        <w:gridCol w:w="2448"/>
        <w:gridCol w:w="1530"/>
      </w:tblGrid>
      <w:tr w:rsidR="00CA0044" w:rsidRPr="009329DC" w14:paraId="3CAFCAE6" w14:textId="77777777" w:rsidTr="00C3068E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529994AD" w14:textId="77777777" w:rsidR="00CA0044" w:rsidRPr="009329DC" w:rsidRDefault="00CA0044" w:rsidP="00C3068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99B3E" w14:textId="77777777" w:rsidR="00CA0044" w:rsidRPr="009329DC" w:rsidRDefault="00CA0044" w:rsidP="00C3068E">
            <w:pPr>
              <w:jc w:val="center"/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9329DC">
              <w:rPr>
                <w:rFonts w:ascii="Times New Roman" w:hAnsi="Times New Roman" w:cs="Arial"/>
                <w:b/>
                <w:sz w:val="22"/>
                <w:szCs w:val="22"/>
              </w:rPr>
              <w:t xml:space="preserve">Risk Estimate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59707" w14:textId="77777777" w:rsidR="00CA0044" w:rsidRPr="009329DC" w:rsidRDefault="00CA0044" w:rsidP="00C3068E">
            <w:pPr>
              <w:jc w:val="center"/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9329DC">
              <w:rPr>
                <w:rFonts w:ascii="Times New Roman" w:hAnsi="Times New Roman" w:cs="Arial"/>
                <w:b/>
                <w:sz w:val="22"/>
                <w:szCs w:val="22"/>
              </w:rPr>
              <w:t xml:space="preserve">P value </w:t>
            </w:r>
          </w:p>
        </w:tc>
      </w:tr>
      <w:tr w:rsidR="00CA0044" w:rsidRPr="009329DC" w14:paraId="39AA7592" w14:textId="77777777" w:rsidTr="00C3068E">
        <w:tc>
          <w:tcPr>
            <w:tcW w:w="2880" w:type="dxa"/>
            <w:tcBorders>
              <w:top w:val="single" w:sz="4" w:space="0" w:color="auto"/>
            </w:tcBorders>
          </w:tcPr>
          <w:p w14:paraId="3F07ADD9" w14:textId="77777777" w:rsidR="00CA0044" w:rsidRPr="009329DC" w:rsidRDefault="00CA0044" w:rsidP="00C306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29DC">
              <w:rPr>
                <w:rFonts w:ascii="Times New Roman" w:hAnsi="Times New Roman"/>
                <w:b/>
                <w:sz w:val="22"/>
                <w:szCs w:val="22"/>
              </w:rPr>
              <w:t>All Cause Stroke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24A544EF" w14:textId="77777777" w:rsidR="00CA0044" w:rsidRPr="009329DC" w:rsidRDefault="00CA0044" w:rsidP="00C306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3525C43" w14:textId="77777777" w:rsidR="00CA0044" w:rsidRPr="009329DC" w:rsidRDefault="00CA0044" w:rsidP="00C306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0044" w:rsidRPr="009329DC" w14:paraId="197EB3CA" w14:textId="77777777" w:rsidTr="00C3068E">
        <w:tc>
          <w:tcPr>
            <w:tcW w:w="2880" w:type="dxa"/>
          </w:tcPr>
          <w:p w14:paraId="5B6D25FF" w14:textId="77777777" w:rsidR="00CA0044" w:rsidRPr="009329DC" w:rsidRDefault="00CA0044" w:rsidP="00C3068E">
            <w:pPr>
              <w:rPr>
                <w:rFonts w:ascii="Times New Roman" w:hAnsi="Times New Roman"/>
                <w:sz w:val="22"/>
                <w:szCs w:val="22"/>
              </w:rPr>
            </w:pPr>
            <w:r w:rsidRPr="009329DC">
              <w:rPr>
                <w:rFonts w:ascii="Times New Roman" w:hAnsi="Times New Roman"/>
                <w:sz w:val="22"/>
                <w:szCs w:val="22"/>
              </w:rPr>
              <w:t>Adjusted HR (95% CI)</w:t>
            </w:r>
          </w:p>
        </w:tc>
        <w:tc>
          <w:tcPr>
            <w:tcW w:w="2448" w:type="dxa"/>
          </w:tcPr>
          <w:p w14:paraId="05579E2D" w14:textId="77777777" w:rsidR="00CA0044" w:rsidRPr="009329DC" w:rsidRDefault="00CA0044" w:rsidP="00C306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9DC">
              <w:rPr>
                <w:rFonts w:ascii="Times New Roman" w:eastAsiaTheme="minorHAnsi" w:hAnsi="Times New Roman"/>
                <w:sz w:val="22"/>
                <w:szCs w:val="22"/>
              </w:rPr>
              <w:t>0.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33</w:t>
            </w:r>
            <w:r w:rsidRPr="009329DC">
              <w:rPr>
                <w:rFonts w:ascii="Times New Roman" w:eastAsiaTheme="minorHAnsi" w:hAnsi="Times New Roman"/>
                <w:sz w:val="22"/>
                <w:szCs w:val="22"/>
              </w:rPr>
              <w:t xml:space="preserve"> (0.0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  <w:r w:rsidRPr="009329DC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Pr="009329DC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Pr="009329DC">
              <w:rPr>
                <w:rFonts w:ascii="Times New Roman" w:eastAsiaTheme="minorHAnsi" w:hAnsi="Times New Roman"/>
                <w:sz w:val="22"/>
                <w:szCs w:val="22"/>
              </w:rPr>
              <w:t>)</w:t>
            </w:r>
          </w:p>
        </w:tc>
        <w:tc>
          <w:tcPr>
            <w:tcW w:w="1530" w:type="dxa"/>
          </w:tcPr>
          <w:p w14:paraId="0D5BE577" w14:textId="77777777" w:rsidR="00CA0044" w:rsidRPr="009329DC" w:rsidRDefault="00CA0044" w:rsidP="00C306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9DC">
              <w:rPr>
                <w:rFonts w:ascii="Times New Roman" w:hAnsi="Times New Roman"/>
                <w:sz w:val="22"/>
                <w:szCs w:val="22"/>
              </w:rPr>
              <w:t xml:space="preserve"> 0.</w:t>
            </w: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 w:rsidR="00CA0044" w:rsidRPr="009329DC" w14:paraId="6AFF4864" w14:textId="77777777" w:rsidTr="00C3068E">
        <w:tc>
          <w:tcPr>
            <w:tcW w:w="2880" w:type="dxa"/>
          </w:tcPr>
          <w:p w14:paraId="2CC410A5" w14:textId="77777777" w:rsidR="00CA0044" w:rsidRPr="009329DC" w:rsidRDefault="00CA0044" w:rsidP="00C306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29DC">
              <w:rPr>
                <w:rFonts w:ascii="Times New Roman" w:hAnsi="Times New Roman"/>
                <w:b/>
                <w:sz w:val="22"/>
                <w:szCs w:val="22"/>
              </w:rPr>
              <w:t>Major Bleeding</w:t>
            </w:r>
          </w:p>
        </w:tc>
        <w:tc>
          <w:tcPr>
            <w:tcW w:w="2448" w:type="dxa"/>
          </w:tcPr>
          <w:p w14:paraId="78BF4F9F" w14:textId="77777777" w:rsidR="00CA0044" w:rsidRPr="009329DC" w:rsidRDefault="00CA0044" w:rsidP="00C306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E5E841D" w14:textId="77777777" w:rsidR="00CA0044" w:rsidRPr="009329DC" w:rsidRDefault="00CA0044" w:rsidP="00C306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0044" w:rsidRPr="009329DC" w14:paraId="60513498" w14:textId="77777777" w:rsidTr="00C3068E">
        <w:tc>
          <w:tcPr>
            <w:tcW w:w="2880" w:type="dxa"/>
            <w:tcBorders>
              <w:bottom w:val="single" w:sz="4" w:space="0" w:color="auto"/>
            </w:tcBorders>
          </w:tcPr>
          <w:p w14:paraId="5E8907D5" w14:textId="77777777" w:rsidR="00CA0044" w:rsidRPr="009329DC" w:rsidRDefault="00CA0044" w:rsidP="00C306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29DC">
              <w:rPr>
                <w:rFonts w:ascii="Times New Roman" w:hAnsi="Times New Roman"/>
                <w:sz w:val="22"/>
                <w:szCs w:val="22"/>
              </w:rPr>
              <w:t>Adjusted HR (95% CI)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49FE589C" w14:textId="77777777" w:rsidR="00CA0044" w:rsidRPr="009329DC" w:rsidRDefault="00CA0044" w:rsidP="00C306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9DC">
              <w:rPr>
                <w:rFonts w:ascii="Times New Roman" w:eastAsiaTheme="minorHAnsi" w:hAnsi="Times New Roman"/>
                <w:sz w:val="22"/>
                <w:szCs w:val="22"/>
              </w:rPr>
              <w:t>0.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53</w:t>
            </w:r>
            <w:r w:rsidRPr="009329DC">
              <w:rPr>
                <w:rFonts w:ascii="Times New Roman" w:eastAsiaTheme="minorHAnsi" w:hAnsi="Times New Roman"/>
                <w:sz w:val="22"/>
                <w:szCs w:val="22"/>
              </w:rPr>
              <w:t xml:space="preserve"> (0.0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  <w:r w:rsidRPr="009329DC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Pr="009329DC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  <w:r w:rsidRPr="009329DC">
              <w:rPr>
                <w:rFonts w:ascii="Times New Roman" w:eastAsiaTheme="minorHAnsi" w:hAnsi="Times New Roman"/>
                <w:sz w:val="22"/>
                <w:szCs w:val="22"/>
              </w:rPr>
              <w:t>5)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9A3788" w14:textId="77777777" w:rsidR="00CA0044" w:rsidRPr="009329DC" w:rsidRDefault="00CA0044" w:rsidP="00C306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9DC">
              <w:rPr>
                <w:rFonts w:ascii="Times New Roman" w:hAnsi="Times New Roman"/>
                <w:sz w:val="22"/>
                <w:szCs w:val="22"/>
              </w:rPr>
              <w:t>0.</w:t>
            </w:r>
            <w:r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</w:tr>
    </w:tbl>
    <w:p w14:paraId="265BA368" w14:textId="77777777" w:rsidR="00CA0044" w:rsidRDefault="00CA0044" w:rsidP="00CA0044">
      <w:pPr>
        <w:rPr>
          <w:b/>
          <w:bCs/>
        </w:rPr>
      </w:pPr>
    </w:p>
    <w:p w14:paraId="24988DBF" w14:textId="77777777" w:rsidR="00CA0044" w:rsidRDefault="00CA0044" w:rsidP="00CA0044">
      <w:pPr>
        <w:rPr>
          <w:b/>
          <w:bCs/>
        </w:rPr>
      </w:pPr>
    </w:p>
    <w:p w14:paraId="0B829E60" w14:textId="77777777" w:rsidR="00CA0044" w:rsidRDefault="00CA0044" w:rsidP="00CA0044">
      <w:pPr>
        <w:rPr>
          <w:b/>
          <w:bCs/>
        </w:rPr>
      </w:pPr>
    </w:p>
    <w:p w14:paraId="2D026F04" w14:textId="77777777" w:rsidR="00CA0044" w:rsidRDefault="00CA0044" w:rsidP="00CA0044">
      <w:pPr>
        <w:rPr>
          <w:b/>
          <w:bCs/>
        </w:rPr>
      </w:pPr>
    </w:p>
    <w:p w14:paraId="5169B163" w14:textId="77777777" w:rsidR="00CA0044" w:rsidRDefault="00CA0044" w:rsidP="00CA0044">
      <w:pPr>
        <w:rPr>
          <w:b/>
          <w:bCs/>
        </w:rPr>
      </w:pPr>
    </w:p>
    <w:p w14:paraId="5EC70100" w14:textId="77777777" w:rsidR="00CA0044" w:rsidRDefault="00CA0044" w:rsidP="00CA0044">
      <w:pPr>
        <w:rPr>
          <w:b/>
          <w:bCs/>
        </w:rPr>
      </w:pPr>
    </w:p>
    <w:p w14:paraId="137E3545" w14:textId="77777777" w:rsidR="00CA0044" w:rsidRDefault="00CA0044" w:rsidP="00CA0044">
      <w:pPr>
        <w:rPr>
          <w:b/>
          <w:bCs/>
        </w:rPr>
      </w:pPr>
    </w:p>
    <w:p w14:paraId="6BCE4A7E" w14:textId="77777777" w:rsidR="00CA0044" w:rsidRDefault="00CA0044" w:rsidP="00CA0044">
      <w:pPr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</w:rPr>
        <w:t>I</w:t>
      </w:r>
      <w:r w:rsidRPr="00727B61">
        <w:rPr>
          <w:rFonts w:ascii="Times New Roman" w:hAnsi="Times New Roman"/>
          <w:sz w:val="22"/>
          <w:szCs w:val="22"/>
        </w:rPr>
        <w:t>nverse probability treatment weight</w:t>
      </w:r>
      <w:r>
        <w:rPr>
          <w:rFonts w:ascii="Times New Roman" w:hAnsi="Times New Roman"/>
          <w:sz w:val="22"/>
          <w:szCs w:val="22"/>
        </w:rPr>
        <w:t>ing</w:t>
      </w:r>
      <w:r w:rsidRPr="00727B61">
        <w:rPr>
          <w:rFonts w:ascii="Times New Roman" w:hAnsi="Times New Roman"/>
          <w:sz w:val="22"/>
          <w:szCs w:val="22"/>
        </w:rPr>
        <w:t xml:space="preserve"> (IPTW)</w:t>
      </w:r>
      <w:r>
        <w:rPr>
          <w:rFonts w:ascii="Times New Roman" w:hAnsi="Times New Roman"/>
          <w:sz w:val="22"/>
          <w:szCs w:val="22"/>
        </w:rPr>
        <w:t xml:space="preserve"> adjusted s</w:t>
      </w:r>
      <w:r w:rsidRPr="00727B61">
        <w:rPr>
          <w:rFonts w:ascii="Times New Roman" w:hAnsi="Times New Roman"/>
          <w:sz w:val="22"/>
          <w:szCs w:val="22"/>
        </w:rPr>
        <w:t xml:space="preserve">urvival analyses with death as competing risk were used to compare the time to first all cause stroke or major bleeding event between groups. The eight covariates </w:t>
      </w:r>
      <w:r>
        <w:rPr>
          <w:rFonts w:ascii="Times New Roman" w:hAnsi="Times New Roman"/>
          <w:sz w:val="22"/>
          <w:szCs w:val="22"/>
        </w:rPr>
        <w:t xml:space="preserve">used in the IPTW model </w:t>
      </w:r>
      <w:r w:rsidRPr="00727B61">
        <w:rPr>
          <w:rFonts w:ascii="Times New Roman" w:hAnsi="Times New Roman"/>
          <w:sz w:val="22"/>
          <w:szCs w:val="22"/>
        </w:rPr>
        <w:t>were: age, sex, CHA</w:t>
      </w:r>
      <w:r w:rsidRPr="00727B61">
        <w:rPr>
          <w:rFonts w:ascii="Times New Roman" w:hAnsi="Times New Roman"/>
          <w:sz w:val="22"/>
          <w:szCs w:val="22"/>
          <w:vertAlign w:val="subscript"/>
        </w:rPr>
        <w:t xml:space="preserve"> 2</w:t>
      </w:r>
      <w:r w:rsidRPr="00727B61">
        <w:rPr>
          <w:rFonts w:ascii="Times New Roman" w:hAnsi="Times New Roman"/>
          <w:sz w:val="22"/>
          <w:szCs w:val="22"/>
        </w:rPr>
        <w:t>DS</w:t>
      </w:r>
      <w:r w:rsidRPr="00727B61">
        <w:rPr>
          <w:rFonts w:ascii="Times New Roman" w:hAnsi="Times New Roman"/>
          <w:sz w:val="22"/>
          <w:szCs w:val="22"/>
          <w:vertAlign w:val="subscript"/>
        </w:rPr>
        <w:t xml:space="preserve">2 </w:t>
      </w:r>
      <w:r w:rsidRPr="00727B61">
        <w:rPr>
          <w:rFonts w:ascii="Times New Roman" w:hAnsi="Times New Roman"/>
          <w:sz w:val="22"/>
          <w:szCs w:val="22"/>
        </w:rPr>
        <w:t>-</w:t>
      </w:r>
      <w:proofErr w:type="spellStart"/>
      <w:r w:rsidRPr="00727B61">
        <w:rPr>
          <w:rFonts w:ascii="Times New Roman" w:hAnsi="Times New Roman"/>
          <w:sz w:val="22"/>
          <w:szCs w:val="22"/>
        </w:rPr>
        <w:t>Vasc</w:t>
      </w:r>
      <w:proofErr w:type="spellEnd"/>
      <w:r w:rsidRPr="00727B61">
        <w:rPr>
          <w:rFonts w:ascii="Times New Roman" w:hAnsi="Times New Roman"/>
          <w:sz w:val="22"/>
          <w:szCs w:val="22"/>
        </w:rPr>
        <w:t xml:space="preserve"> score, HAS-BLED score, history of stroke, history of bleeding, history of diabetes mellitus, history of heart disease (defined as either myocardial infarction, coronary artery disease, or congestive heart failure)</w:t>
      </w:r>
      <w:r>
        <w:rPr>
          <w:rFonts w:ascii="Times New Roman" w:hAnsi="Times New Roman"/>
          <w:sz w:val="22"/>
          <w:szCs w:val="22"/>
        </w:rPr>
        <w:t>.</w:t>
      </w:r>
      <w:r w:rsidRPr="00727B61">
        <w:rPr>
          <w:rFonts w:ascii="Times New Roman" w:hAnsi="Times New Roman"/>
          <w:sz w:val="22"/>
          <w:szCs w:val="22"/>
        </w:rPr>
        <w:t xml:space="preserve"> </w:t>
      </w:r>
      <w:r w:rsidRPr="00727B6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Individuals were censored at anticoagulation discontinuation, discontinuous Medicare part D, dialysis, kidney transplant, a 2</w:t>
      </w:r>
      <w:r w:rsidRPr="00727B61">
        <w:rPr>
          <w:rFonts w:ascii="Times New Roman" w:hAnsi="Times New Roman"/>
          <w:color w:val="000000"/>
          <w:sz w:val="22"/>
          <w:szCs w:val="22"/>
          <w:vertAlign w:val="superscript"/>
        </w:rPr>
        <w:t>nd</w:t>
      </w:r>
      <w:r w:rsidRPr="00727B6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 switch in anticoagulant, or death.</w:t>
      </w:r>
    </w:p>
    <w:p w14:paraId="640CA6FA" w14:textId="77777777" w:rsidR="00CA0044" w:rsidRPr="00DF0CCE" w:rsidRDefault="00CA0044" w:rsidP="00CA0044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14:paraId="546EB18A" w14:textId="77777777" w:rsidR="00CA0044" w:rsidRPr="00DF0CCE" w:rsidRDefault="00CA0044" w:rsidP="00CA0044">
      <w:pPr>
        <w:jc w:val="both"/>
        <w:outlineLvl w:val="0"/>
        <w:rPr>
          <w:rFonts w:ascii="Times New Roman" w:hAnsi="Times New Roman"/>
          <w:sz w:val="22"/>
          <w:szCs w:val="22"/>
        </w:rPr>
      </w:pPr>
      <w:r w:rsidRPr="00DF0CCE">
        <w:rPr>
          <w:rFonts w:ascii="Times New Roman" w:hAnsi="Times New Roman"/>
          <w:sz w:val="22"/>
          <w:szCs w:val="22"/>
        </w:rPr>
        <w:t xml:space="preserve">HR= hazard ratio; CI = confidence interval  </w:t>
      </w:r>
    </w:p>
    <w:p w14:paraId="359DEA7A" w14:textId="77777777" w:rsidR="00CA0044" w:rsidRDefault="00CA0044" w:rsidP="00CA0044">
      <w:pPr>
        <w:rPr>
          <w:b/>
          <w:bCs/>
        </w:rPr>
      </w:pPr>
    </w:p>
    <w:p w14:paraId="06392104" w14:textId="77777777" w:rsidR="00CA0044" w:rsidRDefault="00CA0044" w:rsidP="00CA0044"/>
    <w:p w14:paraId="147C9405" w14:textId="77777777" w:rsidR="004C04D5" w:rsidRDefault="004C04D5"/>
    <w:sectPr w:rsidR="004C04D5" w:rsidSect="000216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D234C"/>
    <w:multiLevelType w:val="hybridMultilevel"/>
    <w:tmpl w:val="66844F10"/>
    <w:lvl w:ilvl="0" w:tplc="AFEEC8B6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44"/>
    <w:rsid w:val="002773E8"/>
    <w:rsid w:val="004C04D5"/>
    <w:rsid w:val="005C6FDE"/>
    <w:rsid w:val="00A930D3"/>
    <w:rsid w:val="00CA0044"/>
    <w:rsid w:val="00D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DADAB"/>
  <w15:chartTrackingRefBased/>
  <w15:docId w15:val="{58E9E65F-CA26-4E26-9F23-1527B1C0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04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A0044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CA0044"/>
    <w:pPr>
      <w:widowControl w:val="0"/>
      <w:autoSpaceDE w:val="0"/>
      <w:autoSpaceDN w:val="0"/>
      <w:spacing w:line="229" w:lineRule="exact"/>
      <w:ind w:left="140"/>
    </w:pPr>
    <w:rPr>
      <w:rFonts w:ascii="Times New Roman" w:eastAsia="Times New Roman" w:hAnsi="Times New Roman"/>
      <w:sz w:val="22"/>
      <w:szCs w:val="22"/>
      <w:lang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A930D3"/>
    <w:pPr>
      <w:spacing w:after="200"/>
    </w:pPr>
    <w:rPr>
      <w:rFonts w:asciiTheme="minorHAnsi" w:eastAsia="SimSun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0D3"/>
    <w:rPr>
      <w:rFonts w:eastAsia="SimSu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International_Statistical_Classification_of_Diseases_and_Related_Health_Proble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Garlo, Katherine</dc:creator>
  <cp:keywords/>
  <dc:description/>
  <cp:lastModifiedBy>Garlo, Katherine</cp:lastModifiedBy>
  <cp:revision>5</cp:revision>
  <dcterms:created xsi:type="dcterms:W3CDTF">2020-12-26T14:54:00Z</dcterms:created>
  <dcterms:modified xsi:type="dcterms:W3CDTF">2021-01-15T16:47:00Z</dcterms:modified>
</cp:coreProperties>
</file>