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lang w:val="en-US" w:eastAsia="zh-CN"/>
        </w:rPr>
        <w:t>Table S1</w:t>
      </w:r>
      <w:r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  <w:t>. Relationship between thyroid hormone sensitivity indices and prediabetes and diabetes</w:t>
      </w:r>
      <w:r>
        <w:rPr>
          <w:rFonts w:hint="eastAsia" w:eastAsia="宋体" w:cs="Times New Roman"/>
          <w:b w:val="0"/>
          <w:bCs w:val="0"/>
          <w:lang w:val="en-US" w:eastAsia="zh-CN"/>
        </w:rPr>
        <w:t>.</w:t>
      </w:r>
    </w:p>
    <w:p>
      <w:pPr>
        <w:spacing w:line="480" w:lineRule="auto"/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lang w:val="en-US" w:eastAsia="zh-CN"/>
        </w:rPr>
        <w:t>Table S2</w:t>
      </w:r>
      <w:r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  <w:t>. Relationship between gender-specific thyroid hormone sensitivity indices and prediabetes and diabetes</w:t>
      </w:r>
      <w:r>
        <w:rPr>
          <w:rFonts w:hint="eastAsia" w:eastAsia="宋体" w:cs="Times New Roman"/>
          <w:b w:val="0"/>
          <w:bCs w:val="0"/>
          <w:lang w:val="en-US" w:eastAsia="zh-CN"/>
        </w:rPr>
        <w:t>.</w:t>
      </w:r>
    </w:p>
    <w:p>
      <w:pPr>
        <w:spacing w:line="480" w:lineRule="auto"/>
        <w:rPr>
          <w:rFonts w:hint="eastAsia"/>
          <w:b/>
          <w:bCs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lang w:val="en-US" w:eastAsia="zh-CN"/>
        </w:rPr>
        <w:t>Table S3</w:t>
      </w:r>
      <w:r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  <w:t>. Relationship between thyroid hormone sensitivity index and prediabetes and diabetes in different age</w:t>
      </w:r>
      <w:r>
        <w:rPr>
          <w:rFonts w:hint="eastAsia" w:eastAsia="宋体" w:cs="Times New Roman"/>
          <w:b w:val="0"/>
          <w:bCs w:val="0"/>
          <w:lang w:val="en-US" w:eastAsia="zh-CN"/>
        </w:rPr>
        <w:t>s</w:t>
      </w:r>
      <w:r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  <w:t xml:space="preserve"> and </w:t>
      </w:r>
      <w:r>
        <w:rPr>
          <w:rFonts w:hint="eastAsia" w:ascii="Times New Roman" w:hAnsi="Times New Roman" w:eastAsia="宋体" w:cs="Times New Roman"/>
          <w:b w:val="0"/>
          <w:bCs w:val="0"/>
          <w:lang w:val="en-US" w:eastAsia="zh-CN"/>
        </w:rPr>
        <w:t>sex</w:t>
      </w:r>
      <w:r>
        <w:rPr>
          <w:rFonts w:hint="eastAsia" w:eastAsia="宋体" w:cs="Times New Roman"/>
          <w:b w:val="0"/>
          <w:bCs w:val="0"/>
          <w:lang w:val="en-US" w:eastAsia="zh-CN"/>
        </w:rPr>
        <w:t>es.</w:t>
      </w:r>
    </w:p>
    <w:p>
      <w:pPr>
        <w:spacing w:line="480" w:lineRule="auto"/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Table S1  </w:t>
      </w:r>
      <w:r>
        <w:rPr>
          <w:rFonts w:hint="eastAsia" w:eastAsia="宋体" w:cs="Times New Roman"/>
          <w:b/>
          <w:bCs/>
          <w:color w:val="000000"/>
          <w:kern w:val="0"/>
          <w:sz w:val="24"/>
          <w:highlight w:val="none"/>
          <w:lang w:val="en-US" w:eastAsia="zh-CN" w:bidi="ar"/>
        </w:rPr>
        <w:t>Relationship</w:t>
      </w:r>
      <w:r>
        <w:rPr>
          <w:rFonts w:hint="eastAsia"/>
          <w:b/>
          <w:bCs/>
          <w:lang w:val="en-US" w:eastAsia="zh-CN"/>
        </w:rPr>
        <w:t xml:space="preserve"> between thyroid hormone sensitivity indices and prediabetes and diabetes</w:t>
      </w:r>
    </w:p>
    <w:tbl>
      <w:tblPr>
        <w:tblStyle w:val="3"/>
        <w:tblW w:w="7518" w:type="dxa"/>
        <w:tblInd w:w="5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613"/>
        <w:gridCol w:w="1581"/>
        <w:gridCol w:w="1612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69" w:type="dxa"/>
            <w:vMerge w:val="restart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Variables</w:t>
            </w:r>
          </w:p>
        </w:tc>
        <w:tc>
          <w:tcPr>
            <w:tcW w:w="319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Prediabetes</w:t>
            </w:r>
          </w:p>
        </w:tc>
        <w:tc>
          <w:tcPr>
            <w:tcW w:w="315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Diabetes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169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OR(95% CI)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vertAlign w:val="superscript"/>
                <w:lang w:val="en-US" w:eastAsia="zh-CN"/>
              </w:rPr>
              <w:t>1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OR(95% CI)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vertAlign w:val="superscript"/>
                <w:lang w:val="en-US" w:eastAsia="zh-CN"/>
              </w:rPr>
              <w:t>2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OR(95% CI)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vertAlign w:val="superscript"/>
                <w:lang w:val="en-US" w:eastAsia="zh-CN"/>
              </w:rPr>
              <w:t>1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OR(95% CI)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vertAlign w:val="superscript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  <w:t>TSHI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0.87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(0.8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-0.8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0.8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(0.8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-0.8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0.87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(0.8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-0.8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0.8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(0.8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-0.8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≤1.50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vertAlign w:val="baseline"/>
                <w:lang w:val="en-US" w:eastAsia="zh-CN"/>
              </w:rPr>
              <w:t>Reference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vertAlign w:val="baseline"/>
                <w:lang w:val="en-US" w:eastAsia="zh-CN"/>
              </w:rPr>
              <w:t>Reference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vertAlign w:val="baseline"/>
                <w:lang w:val="en-US" w:eastAsia="zh-CN"/>
              </w:rPr>
              <w:t>Reference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vertAlign w:val="baseline"/>
                <w:lang w:val="en-US" w:eastAsia="zh-CN"/>
              </w:rPr>
              <w:t>Reference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(1.50-2.49)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 w:val="0"/>
                <w:bCs w:val="0"/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61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60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63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61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59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63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52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53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51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53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≥2.49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 w:val="0"/>
                <w:bCs w:val="0"/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66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64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68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64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62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66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64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62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66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62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60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63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  <w:t>TT4RI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0.99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99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99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0.99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99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99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0.99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99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99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0.99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99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99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≤9.01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vertAlign w:val="baseline"/>
                <w:lang w:val="en-US" w:eastAsia="zh-CN"/>
              </w:rPr>
              <w:t>Reference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vertAlign w:val="baseline"/>
                <w:lang w:val="en-US" w:eastAsia="zh-CN"/>
              </w:rPr>
              <w:t>Reference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vertAlign w:val="baseline"/>
                <w:lang w:val="en-US" w:eastAsia="zh-CN"/>
              </w:rPr>
              <w:t>Reference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vertAlign w:val="baseline"/>
                <w:lang w:val="en-US" w:eastAsia="zh-CN"/>
              </w:rPr>
              <w:t>Reference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(9.01-25.58)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 w:val="0"/>
                <w:bCs w:val="0"/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53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52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55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53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52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55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44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46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46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≥25.58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 w:val="0"/>
                <w:bCs w:val="0"/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59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57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61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57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56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59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52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51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53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49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52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  <w:t>TFQI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72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70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74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69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67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71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71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70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74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68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66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70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≤-0.23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vertAlign w:val="baseline"/>
                <w:lang w:val="en-US" w:eastAsia="zh-CN"/>
              </w:rPr>
              <w:t>Reference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vertAlign w:val="baseline"/>
                <w:lang w:val="en-US" w:eastAsia="zh-CN"/>
              </w:rPr>
              <w:t>Reference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vertAlign w:val="baseline"/>
                <w:lang w:val="en-US" w:eastAsia="zh-CN"/>
              </w:rPr>
              <w:t>Reference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vertAlign w:val="baseline"/>
                <w:lang w:val="en-US" w:eastAsia="zh-CN"/>
              </w:rPr>
              <w:t>Reference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(-0.23-0.12)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 w:val="0"/>
                <w:bCs w:val="0"/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80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77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-0.8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79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77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81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74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72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76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73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71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76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≥0.12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 w:val="0"/>
                <w:bCs w:val="0"/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76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74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78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73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71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75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77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75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79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73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71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75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  <w:t>PTFQI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63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61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65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60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59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62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57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55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59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55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53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56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≤-0.13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vertAlign w:val="baseline"/>
                <w:lang w:val="en-US" w:eastAsia="zh-CN"/>
              </w:rPr>
              <w:t>Reference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vertAlign w:val="baseline"/>
                <w:lang w:val="en-US" w:eastAsia="zh-CN"/>
              </w:rPr>
              <w:t>Reference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vertAlign w:val="baseline"/>
                <w:lang w:val="en-US" w:eastAsia="zh-CN"/>
              </w:rPr>
              <w:t>Reference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vertAlign w:val="baseline"/>
                <w:lang w:val="en-US" w:eastAsia="zh-CN"/>
              </w:rPr>
              <w:t>Reference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(-0.13-0.24)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 w:val="0"/>
                <w:bCs w:val="0"/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65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64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67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65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63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67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57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55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58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62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60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63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≥0.24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 w:val="0"/>
                <w:bCs w:val="0"/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67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65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69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65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63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67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64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62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66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56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55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58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  <w:t>FT3/FT4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highlight w:val="none"/>
                <w:vertAlign w:val="baseline"/>
              </w:rPr>
            </w:pP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1.22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(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1.21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1.24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1.23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(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1.22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1.24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1.28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(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1.27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1.29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1.28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(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1.27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1.30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≤0.29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vertAlign w:val="baseline"/>
                <w:lang w:val="en-US" w:eastAsia="zh-CN"/>
              </w:rPr>
              <w:t>Reference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vertAlign w:val="baseline"/>
                <w:lang w:val="en-US" w:eastAsia="zh-CN"/>
              </w:rPr>
              <w:t>Reference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vertAlign w:val="baseline"/>
                <w:lang w:val="en-US" w:eastAsia="zh-CN"/>
              </w:rPr>
              <w:t>Reference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vertAlign w:val="baseline"/>
                <w:lang w:val="en-US" w:eastAsia="zh-CN"/>
              </w:rPr>
              <w:t>Reference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(0.29-0.41)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 w:val="0"/>
                <w:bCs w:val="0"/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74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72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76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75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73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77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42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43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0.43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41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44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≥0.41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jc w:val="center"/>
              <w:rPr>
                <w:b w:val="0"/>
                <w:bCs w:val="0"/>
                <w:highlight w:val="none"/>
                <w:vertAlign w:val="baseline"/>
              </w:rPr>
            </w:pP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1.33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1.29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1.37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1.36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1.32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1.40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1.14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1.11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1.17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1.17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1.14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1.20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</w:tr>
    </w:tbl>
    <w:p>
      <w:pPr>
        <w:spacing w:line="480" w:lineRule="auto"/>
        <w:rPr>
          <w:rFonts w:hint="default" w:ascii="Times New Roman" w:hAnsi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/>
          <w:sz w:val="21"/>
          <w:szCs w:val="21"/>
          <w:vertAlign w:val="superscript"/>
          <w:lang w:val="en-US" w:eastAsia="zh-CN"/>
        </w:rPr>
        <w:t>1</w:t>
      </w:r>
      <w:r>
        <w:rPr>
          <w:rFonts w:hint="default" w:ascii="Times New Roman" w:hAnsi="Times New Roman"/>
          <w:sz w:val="21"/>
          <w:szCs w:val="21"/>
          <w:lang w:val="en-US" w:eastAsia="zh-CN"/>
        </w:rPr>
        <w:t>Model 1: adjusted for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 xml:space="preserve"> age and </w:t>
      </w:r>
      <w:r>
        <w:rPr>
          <w:rFonts w:hint="default" w:ascii="Times New Roman" w:hAnsi="Times New Roman"/>
          <w:sz w:val="21"/>
          <w:szCs w:val="21"/>
          <w:lang w:val="en-US" w:eastAsia="zh-CN"/>
        </w:rPr>
        <w:t>sex;</w:t>
      </w:r>
    </w:p>
    <w:p>
      <w:pPr>
        <w:spacing w:line="480" w:lineRule="auto"/>
        <w:rPr>
          <w:rFonts w:hint="default" w:ascii="Times New Roman" w:hAnsi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/>
          <w:sz w:val="21"/>
          <w:szCs w:val="21"/>
          <w:vertAlign w:val="superscript"/>
          <w:lang w:val="en-US" w:eastAsia="zh-CN"/>
        </w:rPr>
        <w:t>2</w:t>
      </w:r>
      <w:r>
        <w:rPr>
          <w:rFonts w:hint="default" w:ascii="Times New Roman" w:hAnsi="Times New Roman"/>
          <w:sz w:val="21"/>
          <w:szCs w:val="21"/>
          <w:lang w:val="en-US" w:eastAsia="zh-CN"/>
        </w:rPr>
        <w:t xml:space="preserve">Model 2: adjusted for age, sex, 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h</w:t>
      </w:r>
      <w:r>
        <w:rPr>
          <w:rFonts w:hint="default" w:ascii="Times New Roman" w:hAnsi="Times New Roman"/>
          <w:sz w:val="21"/>
          <w:szCs w:val="21"/>
          <w:lang w:val="en-US" w:eastAsia="zh-CN"/>
        </w:rPr>
        <w:t xml:space="preserve">ypertension, 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h</w:t>
      </w:r>
      <w:r>
        <w:rPr>
          <w:rFonts w:hint="default" w:ascii="Times New Roman" w:hAnsi="Times New Roman"/>
          <w:sz w:val="21"/>
          <w:szCs w:val="21"/>
          <w:lang w:val="en-US" w:eastAsia="zh-CN"/>
        </w:rPr>
        <w:t>yperlipidemia, smoking, drinking.</w:t>
      </w:r>
    </w:p>
    <w:p>
      <w:pPr>
        <w:spacing w:line="480" w:lineRule="auto"/>
      </w:pPr>
      <w:r>
        <w:rPr>
          <w:rFonts w:hint="default" w:ascii="Times New Roman" w:hAnsi="Times New Roman"/>
          <w:sz w:val="21"/>
          <w:szCs w:val="21"/>
          <w:lang w:val="en-US" w:eastAsia="zh-CN"/>
        </w:rPr>
        <w:t xml:space="preserve">Compared with 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NGT</w:t>
      </w:r>
      <w:r>
        <w:rPr>
          <w:rFonts w:hint="default" w:ascii="Times New Roman" w:hAnsi="Times New Roman"/>
          <w:sz w:val="21"/>
          <w:szCs w:val="21"/>
          <w:lang w:val="en-US" w:eastAsia="zh-CN"/>
        </w:rPr>
        <w:t xml:space="preserve">,** </w:t>
      </w:r>
      <w:r>
        <w:rPr>
          <w:rFonts w:hint="default" w:ascii="Times New Roman" w:hAnsi="Times New Roman"/>
          <w:i/>
          <w:iCs/>
          <w:sz w:val="21"/>
          <w:szCs w:val="21"/>
          <w:lang w:val="en-US" w:eastAsia="zh-CN"/>
        </w:rPr>
        <w:t>P</w:t>
      </w:r>
      <w:r>
        <w:rPr>
          <w:rFonts w:hint="default" w:ascii="Times New Roman" w:hAnsi="Times New Roman"/>
          <w:sz w:val="21"/>
          <w:szCs w:val="21"/>
          <w:lang w:val="en-US" w:eastAsia="zh-CN"/>
        </w:rPr>
        <w:t xml:space="preserve"> &lt; 0.0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0</w:t>
      </w:r>
      <w:r>
        <w:rPr>
          <w:rFonts w:hint="default" w:ascii="Times New Roman" w:hAnsi="Times New Roman"/>
          <w:sz w:val="21"/>
          <w:szCs w:val="21"/>
          <w:lang w:val="en-US" w:eastAsia="zh-CN"/>
        </w:rPr>
        <w:t>1</w:t>
      </w:r>
    </w:p>
    <w:p>
      <w:pPr>
        <w:spacing w:line="480" w:lineRule="auto"/>
        <w:jc w:val="left"/>
        <w:rPr>
          <w:rFonts w:hint="eastAsia"/>
          <w:b/>
          <w:bCs/>
          <w:lang w:val="en-US" w:eastAsia="zh-CN"/>
        </w:rPr>
      </w:pPr>
    </w:p>
    <w:p>
      <w:pPr>
        <w:spacing w:line="480" w:lineRule="auto"/>
        <w:jc w:val="left"/>
        <w:rPr>
          <w:b/>
          <w:bCs/>
        </w:rPr>
      </w:pPr>
      <w:r>
        <w:rPr>
          <w:rFonts w:hint="eastAsia"/>
          <w:b/>
          <w:bCs/>
          <w:lang w:val="en-US" w:eastAsia="zh-CN"/>
        </w:rPr>
        <w:t>Table S2  Relationship between sex-specific thyroid hormone sensitivity indices and prediabetes and diabetes</w:t>
      </w:r>
    </w:p>
    <w:tbl>
      <w:tblPr>
        <w:tblStyle w:val="3"/>
        <w:tblW w:w="8052" w:type="dxa"/>
        <w:tblInd w:w="3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989"/>
        <w:gridCol w:w="1541"/>
        <w:gridCol w:w="1575"/>
        <w:gridCol w:w="1609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4" w:type="dxa"/>
            <w:vMerge w:val="restart"/>
            <w:tcBorders>
              <w:top w:val="single" w:color="auto" w:sz="8" w:space="0"/>
              <w:left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Theme="minorEastAsia" w:cstheme="minorBidi"/>
                <w:b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  <w:t>Sex</w:t>
            </w:r>
          </w:p>
        </w:tc>
        <w:tc>
          <w:tcPr>
            <w:tcW w:w="989" w:type="dxa"/>
            <w:vMerge w:val="restart"/>
            <w:tcBorders>
              <w:top w:val="single" w:color="auto" w:sz="8" w:space="0"/>
              <w:left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Variables</w:t>
            </w:r>
          </w:p>
        </w:tc>
        <w:tc>
          <w:tcPr>
            <w:tcW w:w="311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Prediabetes</w:t>
            </w:r>
          </w:p>
        </w:tc>
        <w:tc>
          <w:tcPr>
            <w:tcW w:w="318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Diabetes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764" w:type="dxa"/>
            <w:vMerge w:val="continue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989" w:type="dxa"/>
            <w:vMerge w:val="continue"/>
            <w:tcBorders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/>
                <w:bCs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OR(95% CI)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vertAlign w:val="superscript"/>
                <w:lang w:val="en-US" w:eastAsia="zh-CN"/>
              </w:rPr>
              <w:t>1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/>
                <w:bCs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OR(95% CI)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vertAlign w:val="superscript"/>
                <w:lang w:val="en-US" w:eastAsia="zh-CN"/>
              </w:rPr>
              <w:t>2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/>
                <w:bCs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OR(95% CI)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vertAlign w:val="superscript"/>
                <w:lang w:val="en-US" w:eastAsia="zh-CN"/>
              </w:rPr>
              <w:t>1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/>
                <w:bCs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OR(95% CI)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vertAlign w:val="superscript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4" w:type="dxa"/>
            <w:vMerge w:val="restart"/>
            <w:tcBorders>
              <w:top w:val="single" w:color="auto" w:sz="4" w:space="0"/>
              <w:left w:val="nil"/>
              <w:right w:val="nil"/>
            </w:tcBorders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Male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TSHI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0.90(0.89-0.92)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0.89(0.88-0.91)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0.88(0.86-0.89)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0.86(0.85-0.88)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TT4RI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64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TFQI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0.79(0.76-0.82)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0.76(0.73-0.79)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0.80(0.77-0.83)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0.76(0.73-0.79)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PTFQI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0.70(0.67-0.73)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0.68(0.65-0.71)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0.64(0.61-0.66)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0.61(0.58-0.64)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FT3/FT4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1.18(1.16-1.20)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1.19(1.17-1.21)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1.24(1.23-1.26)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1.25(1.23-1.27)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TSHI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0.84(0.83-0.85)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0.83(0.82-0.84)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0.82(0.81-0.83)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0.81(0.80-0.82)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TT4RI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TFQI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0.65(0.62-0.68)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0.62(0.59-0.65)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0.64(0.61-0.66)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0.60(0.58-0.63)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PTFQI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0.56(0.54-0.59)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0.54(0.52-0.57)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0.51(0.49-0.54)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0.49(0.47-0.51)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FT3/FT4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1.26(1.24-1.28)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1.27(1.25-1.29)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1.31(1.29-1.33)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1.32(1.30-1.33)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</w:tr>
    </w:tbl>
    <w:p>
      <w:pPr>
        <w:spacing w:line="480" w:lineRule="auto"/>
        <w:rPr>
          <w:rFonts w:hint="default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vertAlign w:val="superscript"/>
          <w:lang w:val="en-US" w:eastAsia="zh-CN"/>
        </w:rPr>
        <w:t>1</w:t>
      </w:r>
      <w:r>
        <w:rPr>
          <w:rFonts w:hint="default"/>
          <w:sz w:val="21"/>
          <w:szCs w:val="21"/>
          <w:lang w:val="en-US" w:eastAsia="zh-CN"/>
        </w:rPr>
        <w:t>Model 1: adjusted for</w:t>
      </w:r>
      <w:r>
        <w:rPr>
          <w:rFonts w:hint="eastAsia"/>
          <w:sz w:val="21"/>
          <w:szCs w:val="21"/>
          <w:lang w:val="en-US" w:eastAsia="zh-CN"/>
        </w:rPr>
        <w:t xml:space="preserve"> age</w:t>
      </w:r>
      <w:r>
        <w:rPr>
          <w:rFonts w:hint="default"/>
          <w:sz w:val="21"/>
          <w:szCs w:val="21"/>
          <w:lang w:val="en-US" w:eastAsia="zh-CN"/>
        </w:rPr>
        <w:t>;</w:t>
      </w:r>
    </w:p>
    <w:p>
      <w:pPr>
        <w:spacing w:line="480" w:lineRule="auto"/>
      </w:pPr>
      <w:r>
        <w:rPr>
          <w:rFonts w:hint="default"/>
          <w:sz w:val="21"/>
          <w:szCs w:val="21"/>
          <w:vertAlign w:val="superscript"/>
          <w:lang w:val="en-US" w:eastAsia="zh-CN"/>
        </w:rPr>
        <w:t>2</w:t>
      </w:r>
      <w:r>
        <w:rPr>
          <w:rFonts w:hint="default"/>
          <w:sz w:val="21"/>
          <w:szCs w:val="21"/>
          <w:lang w:val="en-US" w:eastAsia="zh-CN"/>
        </w:rPr>
        <w:t xml:space="preserve">Model 2: adjusted for age, </w:t>
      </w:r>
      <w:r>
        <w:rPr>
          <w:rFonts w:hint="eastAsia"/>
          <w:sz w:val="21"/>
          <w:szCs w:val="21"/>
          <w:lang w:val="en-US" w:eastAsia="zh-CN"/>
        </w:rPr>
        <w:t>h</w:t>
      </w:r>
      <w:r>
        <w:rPr>
          <w:rFonts w:hint="default"/>
          <w:sz w:val="21"/>
          <w:szCs w:val="21"/>
          <w:lang w:val="en-US" w:eastAsia="zh-CN"/>
        </w:rPr>
        <w:t xml:space="preserve">ypertension, </w:t>
      </w:r>
      <w:r>
        <w:rPr>
          <w:rFonts w:hint="eastAsia"/>
          <w:sz w:val="21"/>
          <w:szCs w:val="21"/>
          <w:lang w:val="en-US" w:eastAsia="zh-CN"/>
        </w:rPr>
        <w:t>h</w:t>
      </w:r>
      <w:r>
        <w:rPr>
          <w:rFonts w:hint="default"/>
          <w:sz w:val="21"/>
          <w:szCs w:val="21"/>
          <w:lang w:val="en-US" w:eastAsia="zh-CN"/>
        </w:rPr>
        <w:t>yperlipidemia, smoking, drinking.</w:t>
      </w:r>
    </w:p>
    <w:p>
      <w:pPr>
        <w:spacing w:line="480" w:lineRule="auto"/>
        <w:rPr>
          <w:rFonts w:hint="default" w:ascii="Times New Roman" w:hAnsi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/>
          <w:sz w:val="21"/>
          <w:szCs w:val="21"/>
          <w:lang w:val="en-US" w:eastAsia="zh-CN"/>
        </w:rPr>
        <w:t xml:space="preserve">Compared with 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NGT</w:t>
      </w:r>
      <w:r>
        <w:rPr>
          <w:rFonts w:hint="default" w:ascii="Times New Roman" w:hAnsi="Times New Roman"/>
          <w:sz w:val="21"/>
          <w:szCs w:val="21"/>
          <w:lang w:val="en-US" w:eastAsia="zh-CN"/>
        </w:rPr>
        <w:t xml:space="preserve">,** </w:t>
      </w:r>
      <w:r>
        <w:rPr>
          <w:rFonts w:hint="default" w:ascii="Times New Roman" w:hAnsi="Times New Roman"/>
          <w:i/>
          <w:iCs/>
          <w:sz w:val="21"/>
          <w:szCs w:val="21"/>
          <w:lang w:val="en-US" w:eastAsia="zh-CN"/>
        </w:rPr>
        <w:t>P</w:t>
      </w:r>
      <w:r>
        <w:rPr>
          <w:rFonts w:hint="default" w:ascii="Times New Roman" w:hAnsi="Times New Roman"/>
          <w:sz w:val="21"/>
          <w:szCs w:val="21"/>
          <w:lang w:val="en-US" w:eastAsia="zh-CN"/>
        </w:rPr>
        <w:t xml:space="preserve"> &lt; 0.0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0</w:t>
      </w:r>
      <w:r>
        <w:rPr>
          <w:rFonts w:hint="default" w:ascii="Times New Roman" w:hAnsi="Times New Roman"/>
          <w:sz w:val="21"/>
          <w:szCs w:val="21"/>
          <w:lang w:val="en-US" w:eastAsia="zh-CN"/>
        </w:rPr>
        <w:t>1</w:t>
      </w:r>
    </w:p>
    <w:p/>
    <w:p/>
    <w:p/>
    <w:p>
      <w:pPr>
        <w:spacing w:line="480" w:lineRule="auto"/>
        <w:rPr>
          <w:rFonts w:hint="default"/>
          <w:b/>
          <w:bCs/>
          <w:lang w:val="en-US"/>
        </w:rPr>
      </w:pPr>
      <w:r>
        <w:rPr>
          <w:rFonts w:hint="eastAsia"/>
          <w:b/>
          <w:bCs/>
          <w:lang w:val="en-US" w:eastAsia="zh-CN"/>
        </w:rPr>
        <w:t>Table S3  Relationship between thyroid hormone sensitivity and prediabetes and diabetes in different ages and sexes</w:t>
      </w:r>
    </w:p>
    <w:tbl>
      <w:tblPr>
        <w:tblStyle w:val="3"/>
        <w:tblW w:w="8052" w:type="dxa"/>
        <w:tblInd w:w="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989"/>
        <w:gridCol w:w="1541"/>
        <w:gridCol w:w="1575"/>
        <w:gridCol w:w="1609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Merge w:val="restart"/>
            <w:tcBorders>
              <w:top w:val="single" w:color="auto" w:sz="8" w:space="0"/>
              <w:left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Theme="minorEastAsia" w:cstheme="minorBidi"/>
                <w:b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  <w:t>Age</w:t>
            </w:r>
          </w:p>
        </w:tc>
        <w:tc>
          <w:tcPr>
            <w:tcW w:w="989" w:type="dxa"/>
            <w:vMerge w:val="restart"/>
            <w:tcBorders>
              <w:top w:val="single" w:color="auto" w:sz="8" w:space="0"/>
              <w:left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Variables</w:t>
            </w:r>
          </w:p>
        </w:tc>
        <w:tc>
          <w:tcPr>
            <w:tcW w:w="311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Prediabetes</w:t>
            </w:r>
          </w:p>
        </w:tc>
        <w:tc>
          <w:tcPr>
            <w:tcW w:w="318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Diabetes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764" w:type="dxa"/>
            <w:vMerge w:val="continue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989" w:type="dxa"/>
            <w:vMerge w:val="continue"/>
            <w:tcBorders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/>
                <w:bCs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OR(95% CI)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vertAlign w:val="superscript"/>
                <w:lang w:val="en-US" w:eastAsia="zh-CN"/>
              </w:rPr>
              <w:t>1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/>
                <w:bCs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OR(95% CI)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vertAlign w:val="superscript"/>
                <w:lang w:val="en-US" w:eastAsia="zh-CN"/>
              </w:rPr>
              <w:t>2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/>
                <w:bCs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OR(95% CI)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vertAlign w:val="superscript"/>
                <w:lang w:val="en-US" w:eastAsia="zh-CN"/>
              </w:rPr>
              <w:t>1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Theme="minorEastAsia" w:cstheme="minorBidi"/>
                <w:b/>
                <w:bCs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OR(95% CI)</w:t>
            </w:r>
            <w:r>
              <w:rPr>
                <w:rFonts w:hint="eastAsia" w:eastAsia="宋体" w:cs="Times New Roman"/>
                <w:b/>
                <w:bCs/>
                <w:sz w:val="18"/>
                <w:szCs w:val="18"/>
                <w:highlight w:val="none"/>
                <w:vertAlign w:val="superscript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Merge w:val="restart"/>
            <w:tcBorders>
              <w:top w:val="single" w:color="auto" w:sz="4" w:space="0"/>
              <w:left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≤60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TSHI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0.88(0.87-0.90)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0.87(0.86-0.89)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0.88(0.87-0.90)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0.87(0.86-0.89)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TT4RI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 w:val="0"/>
                <w:bCs w:val="0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 w:val="0"/>
                <w:bCs w:val="0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 w:val="0"/>
                <w:bCs w:val="0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TFQI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0.73(0.69-0.77)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0.71(0.67-0.75)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0.81(0.77-0.85)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0.78(0.74-0.83)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64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PTFQI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0.63(0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.60-0.67)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0.61(0.58-0.65)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0.64(0.60-0.67)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0.62(0.59-0.66)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FT3/FT4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1.25(1.23-1.27)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1.25(1.23-1.28)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1.26(1.23-1.28)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1.25(1.23-1.28)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＞60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TSHI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0.86(0.85-0.87)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0.85(0.84-0.86)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0.93(0.90-0.95)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0.82(0.81-0.83)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TT4RI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 w:val="0"/>
                <w:bCs w:val="0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 w:val="0"/>
                <w:bCs w:val="0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 w:val="0"/>
                <w:bCs w:val="0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0.99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(0.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-0.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99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TFQI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0.71(0.68-0.74)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0.68(0.65-0.70)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0.67(0.65-0.70)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0.63(0.61-0.66)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PTFQI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0.62(0.60-0.65)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0.60(0.58-0.62)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0.54(0.52-0.56)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0.51(0.49-0.53)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Merge w:val="continue"/>
            <w:tcBorders>
              <w:left w:val="nil"/>
              <w:bottom w:val="single" w:color="auto" w:sz="8" w:space="0"/>
              <w:right w:val="nil"/>
            </w:tcBorders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FT3/FT4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1.21(1.20-1.23)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1.22(1.20-1.24)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1.29(1.27-1.31)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1.30(1.28-1.31)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**</w:t>
            </w:r>
          </w:p>
        </w:tc>
      </w:tr>
    </w:tbl>
    <w:p>
      <w:pPr>
        <w:spacing w:line="480" w:lineRule="auto"/>
        <w:rPr>
          <w:rFonts w:hint="default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vertAlign w:val="superscript"/>
          <w:lang w:val="en-US" w:eastAsia="zh-CN"/>
        </w:rPr>
        <w:t>1</w:t>
      </w:r>
      <w:r>
        <w:rPr>
          <w:rFonts w:hint="default"/>
          <w:sz w:val="21"/>
          <w:szCs w:val="21"/>
          <w:lang w:val="en-US" w:eastAsia="zh-CN"/>
        </w:rPr>
        <w:t>Model 1: adjusted for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default"/>
          <w:sz w:val="21"/>
          <w:szCs w:val="21"/>
          <w:lang w:val="en-US" w:eastAsia="zh-CN"/>
        </w:rPr>
        <w:t>sex;</w:t>
      </w:r>
    </w:p>
    <w:p>
      <w:pPr>
        <w:spacing w:line="480" w:lineRule="auto"/>
      </w:pPr>
      <w:r>
        <w:rPr>
          <w:rFonts w:hint="default"/>
          <w:sz w:val="21"/>
          <w:szCs w:val="21"/>
          <w:vertAlign w:val="superscript"/>
          <w:lang w:val="en-US" w:eastAsia="zh-CN"/>
        </w:rPr>
        <w:t>2</w:t>
      </w:r>
      <w:r>
        <w:rPr>
          <w:rFonts w:hint="default"/>
          <w:sz w:val="21"/>
          <w:szCs w:val="21"/>
          <w:lang w:val="en-US" w:eastAsia="zh-CN"/>
        </w:rPr>
        <w:t xml:space="preserve">Model 2: adjusted for sex, </w:t>
      </w:r>
      <w:r>
        <w:rPr>
          <w:rFonts w:hint="eastAsia"/>
          <w:sz w:val="21"/>
          <w:szCs w:val="21"/>
          <w:lang w:val="en-US" w:eastAsia="zh-CN"/>
        </w:rPr>
        <w:t>h</w:t>
      </w:r>
      <w:r>
        <w:rPr>
          <w:rFonts w:hint="default"/>
          <w:sz w:val="21"/>
          <w:szCs w:val="21"/>
          <w:lang w:val="en-US" w:eastAsia="zh-CN"/>
        </w:rPr>
        <w:t xml:space="preserve">ypertension, </w:t>
      </w:r>
      <w:r>
        <w:rPr>
          <w:rFonts w:hint="eastAsia"/>
          <w:sz w:val="21"/>
          <w:szCs w:val="21"/>
          <w:lang w:val="en-US" w:eastAsia="zh-CN"/>
        </w:rPr>
        <w:t>h</w:t>
      </w:r>
      <w:r>
        <w:rPr>
          <w:rFonts w:hint="default"/>
          <w:sz w:val="21"/>
          <w:szCs w:val="21"/>
          <w:lang w:val="en-US" w:eastAsia="zh-CN"/>
        </w:rPr>
        <w:t>yperlipidemia, smoking, drinking.</w:t>
      </w:r>
    </w:p>
    <w:p>
      <w:pPr>
        <w:spacing w:line="480" w:lineRule="auto"/>
        <w:rPr>
          <w:rFonts w:hint="default" w:ascii="Times New Roman" w:hAnsi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/>
          <w:sz w:val="21"/>
          <w:szCs w:val="21"/>
          <w:lang w:val="en-US" w:eastAsia="zh-CN"/>
        </w:rPr>
        <w:t xml:space="preserve">Compared with 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NGT</w:t>
      </w:r>
      <w:r>
        <w:rPr>
          <w:rFonts w:hint="default" w:ascii="Times New Roman" w:hAnsi="Times New Roman"/>
          <w:sz w:val="21"/>
          <w:szCs w:val="21"/>
          <w:lang w:val="en-US" w:eastAsia="zh-CN"/>
        </w:rPr>
        <w:t xml:space="preserve">,** </w:t>
      </w:r>
      <w:r>
        <w:rPr>
          <w:rFonts w:hint="default" w:ascii="Times New Roman" w:hAnsi="Times New Roman"/>
          <w:i/>
          <w:iCs/>
          <w:sz w:val="21"/>
          <w:szCs w:val="21"/>
          <w:lang w:val="en-US" w:eastAsia="zh-CN"/>
        </w:rPr>
        <w:t>P</w:t>
      </w:r>
      <w:r>
        <w:rPr>
          <w:rFonts w:hint="default" w:ascii="Times New Roman" w:hAnsi="Times New Roman"/>
          <w:sz w:val="21"/>
          <w:szCs w:val="21"/>
          <w:lang w:val="en-US" w:eastAsia="zh-CN"/>
        </w:rPr>
        <w:t xml:space="preserve"> &lt; 0.0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0</w:t>
      </w:r>
      <w:r>
        <w:rPr>
          <w:rFonts w:hint="default" w:ascii="Times New Roman" w:hAnsi="Times New Roman"/>
          <w:sz w:val="21"/>
          <w:szCs w:val="21"/>
          <w:lang w:val="en-US" w:eastAsia="zh-CN"/>
        </w:rPr>
        <w:t>1</w:t>
      </w:r>
    </w:p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05286"/>
    <w:rsid w:val="08042ADE"/>
    <w:rsid w:val="114A10DE"/>
    <w:rsid w:val="22065FDB"/>
    <w:rsid w:val="2ABC5A31"/>
    <w:rsid w:val="31D200D9"/>
    <w:rsid w:val="63C455F9"/>
    <w:rsid w:val="73B0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2022-03-06T12:49:00Z</dcterms:created>
  <dc:creator>-w-</dc:creator>
  <cp:lastModifiedBy>-w-</cp:lastModifiedBy>
  <dcterms:modified xsi:type="dcterms:W3CDTF">2022-03-08T01:47:35Z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DFD6DF879D5E44758683085462CEEC83</vt:lpwstr>
  </property>
</Properties>
</file>