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2D7A" w:rsidRPr="00962D7A" w:rsidRDefault="00962D7A" w:rsidP="00962D7A">
      <w:pPr>
        <w:spacing w:after="0" w:line="480" w:lineRule="auto"/>
        <w:jc w:val="both"/>
        <w:rPr>
          <w:rFonts w:ascii="Arial" w:eastAsia="Times New Roman" w:hAnsi="Arial" w:cs="Arial"/>
          <w:b/>
        </w:rPr>
      </w:pPr>
      <w:r w:rsidRPr="00962D7A">
        <w:rPr>
          <w:rFonts w:ascii="Arial" w:eastAsia="Times New Roman" w:hAnsi="Arial" w:cs="Arial"/>
          <w:b/>
        </w:rPr>
        <w:t xml:space="preserve">SUPPLEMENTARY FIGURES </w:t>
      </w:r>
    </w:p>
    <w:p w:rsidR="00962D7A" w:rsidRPr="00962D7A" w:rsidRDefault="00962D7A" w:rsidP="00962D7A">
      <w:pPr>
        <w:spacing w:after="0" w:line="480" w:lineRule="auto"/>
        <w:jc w:val="both"/>
        <w:rPr>
          <w:rFonts w:ascii="Arial" w:eastAsia="Times New Roman" w:hAnsi="Arial" w:cs="Arial"/>
        </w:rPr>
      </w:pPr>
    </w:p>
    <w:p w:rsidR="00962D7A" w:rsidRPr="00962D7A" w:rsidRDefault="00962D7A" w:rsidP="00962D7A">
      <w:pPr>
        <w:spacing w:before="120" w:after="0" w:line="480" w:lineRule="auto"/>
        <w:rPr>
          <w:rFonts w:ascii="Arial" w:eastAsia="Times New Roman" w:hAnsi="Arial" w:cs="Arial"/>
          <w:sz w:val="20"/>
          <w:szCs w:val="20"/>
        </w:rPr>
      </w:pPr>
      <w:r w:rsidRPr="00962D7A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5E670B84" wp14:editId="32319DB9">
            <wp:extent cx="6043828" cy="35528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549" cy="3556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2D7A" w:rsidRPr="00962D7A" w:rsidRDefault="00962D7A" w:rsidP="00962D7A">
      <w:pPr>
        <w:spacing w:before="120" w:after="0" w:line="480" w:lineRule="auto"/>
        <w:rPr>
          <w:rFonts w:ascii="Arial" w:eastAsia="Times New Roman" w:hAnsi="Arial" w:cs="Arial"/>
          <w:sz w:val="20"/>
          <w:szCs w:val="20"/>
        </w:rPr>
      </w:pPr>
      <w:r w:rsidRPr="00962D7A">
        <w:rPr>
          <w:rFonts w:ascii="Arial" w:eastAsia="Times New Roman" w:hAnsi="Arial" w:cs="Arial"/>
          <w:b/>
          <w:bCs/>
          <w:sz w:val="20"/>
          <w:szCs w:val="20"/>
        </w:rPr>
        <w:t>Supplementary Fig. 1</w:t>
      </w:r>
      <w:r w:rsidRPr="00962D7A">
        <w:rPr>
          <w:rFonts w:ascii="Arial" w:eastAsia="Times New Roman" w:hAnsi="Arial" w:cs="Arial"/>
          <w:sz w:val="20"/>
          <w:szCs w:val="20"/>
        </w:rPr>
        <w:t xml:space="preserve"> </w:t>
      </w:r>
      <w:r w:rsidRPr="00962D7A">
        <w:rPr>
          <w:rFonts w:ascii="Arial" w:eastAsia="Times New Roman" w:hAnsi="Arial" w:cs="Arial"/>
          <w:b/>
          <w:bCs/>
          <w:sz w:val="20"/>
          <w:szCs w:val="20"/>
        </w:rPr>
        <w:t>Treatment effects of MKIs</w:t>
      </w:r>
      <w:r w:rsidRPr="00962D7A">
        <w:rPr>
          <w:rFonts w:ascii="Arial" w:eastAsia="Times New Roman" w:hAnsi="Arial" w:cs="Arial"/>
          <w:sz w:val="20"/>
          <w:szCs w:val="20"/>
        </w:rPr>
        <w:t xml:space="preserve">. (A) </w:t>
      </w:r>
      <w:proofErr w:type="gramStart"/>
      <w:r w:rsidRPr="00962D7A">
        <w:rPr>
          <w:rFonts w:ascii="Arial" w:eastAsia="Times New Roman" w:hAnsi="Arial" w:cs="Arial"/>
          <w:sz w:val="20"/>
          <w:szCs w:val="20"/>
        </w:rPr>
        <w:t>3-</w:t>
      </w:r>
      <w:proofErr w:type="gramEnd"/>
      <w:r w:rsidRPr="00962D7A">
        <w:rPr>
          <w:rFonts w:ascii="Arial" w:eastAsia="Times New Roman" w:hAnsi="Arial" w:cs="Arial"/>
          <w:sz w:val="20"/>
          <w:szCs w:val="20"/>
        </w:rPr>
        <w:t xml:space="preserve">day cell viability dose response of A549 cells treated with volasertib, alisertib, or AZD7762 with indicated doses. (B-C) PD-L1 expression levels of A549 cells treated with vehicle control (0.1% DMSO in PBS), AZD7762500 (500 nM), alisertib (200 nM), or volasertib (100 nM); (B) Representative histogram and (C) MFI quantification; data presented as mean ± SD from biological duplicates, 10,000 events per sample. (D) </w:t>
      </w:r>
      <w:proofErr w:type="gramStart"/>
      <w:r w:rsidRPr="00962D7A">
        <w:rPr>
          <w:rFonts w:ascii="Arial" w:eastAsia="Times New Roman" w:hAnsi="Arial" w:cs="Arial"/>
          <w:sz w:val="20"/>
          <w:szCs w:val="20"/>
        </w:rPr>
        <w:t>3-</w:t>
      </w:r>
      <w:proofErr w:type="gramEnd"/>
      <w:r w:rsidRPr="00962D7A">
        <w:rPr>
          <w:rFonts w:ascii="Arial" w:eastAsia="Times New Roman" w:hAnsi="Arial" w:cs="Arial"/>
          <w:sz w:val="20"/>
          <w:szCs w:val="20"/>
        </w:rPr>
        <w:t xml:space="preserve">day cell viability dose response of H460 cells treated with volasertib, alisertib, or AZD7762 with indicated doses. (E) </w:t>
      </w:r>
      <w:proofErr w:type="gramStart"/>
      <w:r w:rsidRPr="00962D7A">
        <w:rPr>
          <w:rFonts w:ascii="Arial" w:eastAsia="Times New Roman" w:hAnsi="Arial" w:cs="Arial"/>
          <w:sz w:val="20"/>
          <w:szCs w:val="20"/>
        </w:rPr>
        <w:t>3-</w:t>
      </w:r>
      <w:proofErr w:type="gramEnd"/>
      <w:r w:rsidRPr="00962D7A">
        <w:rPr>
          <w:rFonts w:ascii="Arial" w:eastAsia="Times New Roman" w:hAnsi="Arial" w:cs="Arial"/>
          <w:sz w:val="20"/>
          <w:szCs w:val="20"/>
        </w:rPr>
        <w:t>day cell viability dose response of LLC-JSP murine lung cancer cells treated with volasertib, alisertib, or AZD7762 with indicated doses. (F) PD-L1 expression levels of LLC-JSP cells treated with vehicle control (0.1% DMSO in PBS) or 500 ng/ml of each drug (~1250 nM AZD7762, ~950 nM alisertib, or ~800 nM volasertib); 10,000 events per sample. Viability data presented as mean ± SD from 3-4 independent samples.</w:t>
      </w:r>
    </w:p>
    <w:p w:rsidR="00962D7A" w:rsidRPr="00962D7A" w:rsidRDefault="00962D7A" w:rsidP="00962D7A">
      <w:pPr>
        <w:spacing w:before="120" w:after="0" w:line="480" w:lineRule="auto"/>
        <w:rPr>
          <w:rFonts w:ascii="Arial" w:eastAsia="Times New Roman" w:hAnsi="Arial" w:cs="Arial"/>
          <w:sz w:val="20"/>
          <w:szCs w:val="20"/>
        </w:rPr>
      </w:pPr>
    </w:p>
    <w:p w:rsidR="00962D7A" w:rsidRPr="00962D7A" w:rsidRDefault="00962D7A" w:rsidP="00962D7A">
      <w:pPr>
        <w:spacing w:before="120" w:after="0" w:line="480" w:lineRule="auto"/>
        <w:rPr>
          <w:rFonts w:ascii="Arial" w:eastAsia="Times New Roman" w:hAnsi="Arial" w:cs="Arial"/>
          <w:sz w:val="20"/>
          <w:szCs w:val="20"/>
        </w:rPr>
      </w:pPr>
    </w:p>
    <w:p w:rsidR="00962D7A" w:rsidRPr="00962D7A" w:rsidRDefault="00962D7A" w:rsidP="00962D7A">
      <w:pPr>
        <w:spacing w:before="120" w:after="0" w:line="480" w:lineRule="auto"/>
        <w:rPr>
          <w:rFonts w:ascii="Arial" w:eastAsia="Times New Roman" w:hAnsi="Arial" w:cs="Arial"/>
          <w:sz w:val="20"/>
          <w:szCs w:val="20"/>
        </w:rPr>
      </w:pPr>
      <w:r w:rsidRPr="00962D7A">
        <w:rPr>
          <w:rFonts w:ascii="Arial" w:eastAsia="Times New Roman" w:hAnsi="Arial" w:cs="Arial"/>
          <w:noProof/>
          <w:sz w:val="20"/>
          <w:szCs w:val="20"/>
        </w:rPr>
        <w:lastRenderedPageBreak/>
        <w:drawing>
          <wp:inline distT="0" distB="0" distL="0" distR="0" wp14:anchorId="347C82B9" wp14:editId="27AFB5BF">
            <wp:extent cx="5388764" cy="17430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615" cy="174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2D7A" w:rsidRPr="00962D7A" w:rsidRDefault="00962D7A" w:rsidP="00962D7A">
      <w:pPr>
        <w:spacing w:before="120" w:after="0" w:line="480" w:lineRule="auto"/>
        <w:rPr>
          <w:rFonts w:ascii="Arial" w:eastAsia="Times New Roman" w:hAnsi="Arial" w:cs="Arial"/>
          <w:sz w:val="20"/>
          <w:szCs w:val="20"/>
        </w:rPr>
      </w:pPr>
      <w:r w:rsidRPr="00962D7A">
        <w:rPr>
          <w:rFonts w:ascii="Arial" w:eastAsia="Times New Roman" w:hAnsi="Arial" w:cs="Arial"/>
          <w:b/>
          <w:bCs/>
          <w:sz w:val="20"/>
          <w:szCs w:val="20"/>
        </w:rPr>
        <w:t>Supplementary Fig. 2</w:t>
      </w:r>
      <w:r w:rsidRPr="00962D7A">
        <w:rPr>
          <w:rFonts w:ascii="Arial" w:eastAsia="Times New Roman" w:hAnsi="Arial" w:cs="Arial"/>
          <w:sz w:val="20"/>
          <w:szCs w:val="20"/>
        </w:rPr>
        <w:t xml:space="preserve"> </w:t>
      </w:r>
      <w:r w:rsidRPr="00962D7A">
        <w:rPr>
          <w:rFonts w:ascii="Arial" w:eastAsia="Times New Roman" w:hAnsi="Arial" w:cs="Arial"/>
          <w:b/>
          <w:bCs/>
          <w:sz w:val="20"/>
          <w:szCs w:val="20"/>
        </w:rPr>
        <w:t>Treatment effects of onvansertib (PLK1 inhibitor)</w:t>
      </w:r>
      <w:r w:rsidRPr="00962D7A">
        <w:rPr>
          <w:rFonts w:ascii="Arial" w:eastAsia="Times New Roman" w:hAnsi="Arial" w:cs="Arial"/>
          <w:sz w:val="20"/>
          <w:szCs w:val="20"/>
        </w:rPr>
        <w:t xml:space="preserve">. (A) 3-day cell viability dose response of A549 cells treated with onvansertib with indicated doses. (B-C) PD-L1 expression levels of A549 cells treated with vehicle control (0.1% DMSO in PBS) or onvansertib (100 nM); (B) Representative histogram and (C) MFI quantification; data presented as mean ± SD from biological duplicates, 10,000 events per sample. </w:t>
      </w:r>
    </w:p>
    <w:p w:rsidR="00962D7A" w:rsidRPr="00962D7A" w:rsidRDefault="00962D7A" w:rsidP="00962D7A">
      <w:pPr>
        <w:spacing w:before="120" w:after="0" w:line="480" w:lineRule="auto"/>
        <w:rPr>
          <w:rFonts w:ascii="Arial" w:eastAsia="Times New Roman" w:hAnsi="Arial" w:cs="Arial"/>
          <w:sz w:val="20"/>
          <w:szCs w:val="20"/>
        </w:rPr>
      </w:pPr>
    </w:p>
    <w:p w:rsidR="00962D7A" w:rsidRPr="00962D7A" w:rsidRDefault="00962D7A" w:rsidP="00962D7A">
      <w:pPr>
        <w:spacing w:before="120" w:after="0" w:line="480" w:lineRule="auto"/>
        <w:rPr>
          <w:rFonts w:ascii="Arial" w:eastAsia="Times New Roman" w:hAnsi="Arial" w:cs="Arial"/>
          <w:sz w:val="20"/>
          <w:szCs w:val="20"/>
        </w:rPr>
      </w:pPr>
      <w:r w:rsidRPr="00962D7A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1ADC1F41" wp14:editId="09A7C34E">
            <wp:extent cx="5076825" cy="178238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853" cy="1790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2D7A" w:rsidRPr="00962D7A" w:rsidRDefault="00962D7A" w:rsidP="00962D7A">
      <w:pPr>
        <w:spacing w:before="120" w:after="0" w:line="480" w:lineRule="auto"/>
        <w:rPr>
          <w:rFonts w:ascii="Arial" w:eastAsia="Times New Roman" w:hAnsi="Arial" w:cs="Arial"/>
          <w:sz w:val="20"/>
          <w:szCs w:val="20"/>
        </w:rPr>
      </w:pPr>
      <w:r w:rsidRPr="00962D7A">
        <w:rPr>
          <w:rFonts w:ascii="Arial" w:eastAsia="Times New Roman" w:hAnsi="Arial" w:cs="Arial"/>
          <w:b/>
          <w:bCs/>
          <w:sz w:val="20"/>
          <w:szCs w:val="20"/>
        </w:rPr>
        <w:t>Supplementary Fig. 3</w:t>
      </w:r>
      <w:r w:rsidRPr="00962D7A">
        <w:rPr>
          <w:rFonts w:ascii="Arial" w:eastAsia="Times New Roman" w:hAnsi="Arial" w:cs="Arial"/>
          <w:sz w:val="20"/>
          <w:szCs w:val="20"/>
        </w:rPr>
        <w:t xml:space="preserve"> </w:t>
      </w:r>
      <w:r w:rsidRPr="00962D7A">
        <w:rPr>
          <w:rFonts w:ascii="Arial" w:eastAsia="Times New Roman" w:hAnsi="Arial" w:cs="Arial"/>
          <w:b/>
          <w:bCs/>
          <w:sz w:val="20"/>
          <w:szCs w:val="20"/>
        </w:rPr>
        <w:t xml:space="preserve">NSCLC cells downstream protein expressions. </w:t>
      </w:r>
      <w:r w:rsidRPr="00962D7A">
        <w:rPr>
          <w:rFonts w:ascii="Arial" w:eastAsia="Times New Roman" w:hAnsi="Arial" w:cs="Arial"/>
          <w:sz w:val="20"/>
          <w:szCs w:val="20"/>
        </w:rPr>
        <w:t xml:space="preserve">Protein expression of </w:t>
      </w:r>
      <w:r w:rsidRPr="00962D7A">
        <w:rPr>
          <w:rFonts w:ascii="Arial" w:eastAsia="SimSun" w:hAnsi="Arial" w:cs="Arial"/>
          <w:sz w:val="20"/>
          <w:szCs w:val="20"/>
          <w:lang w:eastAsia="zh-CN"/>
        </w:rPr>
        <w:t xml:space="preserve">phosphorylated NF-kB p65 (Ser536) (93H1), phosphorylated p44/42 MAPK (ERK1/2) (Thr202/Tyr204), and </w:t>
      </w:r>
      <w:r w:rsidRPr="00962D7A">
        <w:rPr>
          <w:rFonts w:ascii="Symbol" w:eastAsia="SimSun" w:hAnsi="Symbol" w:cs="Arial"/>
          <w:sz w:val="20"/>
          <w:szCs w:val="20"/>
          <w:lang w:eastAsia="zh-CN"/>
        </w:rPr>
        <w:t></w:t>
      </w:r>
      <w:r w:rsidRPr="00962D7A">
        <w:rPr>
          <w:rFonts w:ascii="Arial" w:eastAsia="SimSun" w:hAnsi="Arial" w:cs="Arial"/>
          <w:sz w:val="20"/>
          <w:szCs w:val="20"/>
          <w:lang w:eastAsia="zh-CN"/>
        </w:rPr>
        <w:t xml:space="preserve">-Actin (8H10D10) </w:t>
      </w:r>
      <w:r w:rsidRPr="00962D7A">
        <w:rPr>
          <w:rFonts w:ascii="Arial" w:eastAsia="Times New Roman" w:hAnsi="Arial" w:cs="Arial"/>
          <w:sz w:val="20"/>
          <w:szCs w:val="20"/>
        </w:rPr>
        <w:t>3 days post treatment. (Left) H460 NSCLC cells treated with vehicle control (0.1% DMSO in PBS), SCH772984 (</w:t>
      </w:r>
      <w:proofErr w:type="gramStart"/>
      <w:r w:rsidRPr="00962D7A">
        <w:rPr>
          <w:rFonts w:ascii="Arial" w:eastAsia="Times New Roman" w:hAnsi="Arial" w:cs="Arial"/>
          <w:sz w:val="20"/>
          <w:szCs w:val="20"/>
        </w:rPr>
        <w:t>1</w:t>
      </w:r>
      <w:proofErr w:type="gramEnd"/>
      <w:r w:rsidRPr="00962D7A">
        <w:rPr>
          <w:rFonts w:ascii="Arial" w:eastAsia="Times New Roman" w:hAnsi="Arial" w:cs="Arial"/>
          <w:sz w:val="20"/>
          <w:szCs w:val="20"/>
        </w:rPr>
        <w:t xml:space="preserve"> uM), or volasertib (100 nM). (Right) A549 NSCLC cells treated with vehicle control (0.1% DMSO in PBS) or volasertib (100 nM). </w:t>
      </w:r>
    </w:p>
    <w:p w:rsidR="00962D7A" w:rsidRPr="00962D7A" w:rsidRDefault="00962D7A" w:rsidP="00962D7A">
      <w:pPr>
        <w:spacing w:before="120" w:after="0" w:line="480" w:lineRule="auto"/>
        <w:rPr>
          <w:rFonts w:ascii="Arial" w:eastAsia="Times New Roman" w:hAnsi="Arial" w:cs="Arial"/>
          <w:sz w:val="20"/>
          <w:szCs w:val="20"/>
        </w:rPr>
      </w:pPr>
    </w:p>
    <w:p w:rsidR="00962D7A" w:rsidRPr="00962D7A" w:rsidRDefault="00962D7A" w:rsidP="00962D7A">
      <w:pPr>
        <w:spacing w:before="120" w:after="0" w:line="480" w:lineRule="auto"/>
        <w:rPr>
          <w:rFonts w:ascii="Arial" w:eastAsia="Times New Roman" w:hAnsi="Arial" w:cs="Arial"/>
          <w:b/>
          <w:bCs/>
          <w:sz w:val="20"/>
          <w:szCs w:val="20"/>
        </w:rPr>
      </w:pPr>
    </w:p>
    <w:p w:rsidR="00962D7A" w:rsidRPr="00962D7A" w:rsidRDefault="00962D7A" w:rsidP="00962D7A">
      <w:pPr>
        <w:spacing w:before="120" w:after="0" w:line="480" w:lineRule="auto"/>
        <w:rPr>
          <w:rFonts w:ascii="Arial" w:eastAsia="Times New Roman" w:hAnsi="Arial" w:cs="Arial"/>
          <w:b/>
          <w:bCs/>
          <w:sz w:val="20"/>
          <w:szCs w:val="20"/>
        </w:rPr>
      </w:pPr>
    </w:p>
    <w:p w:rsidR="00962D7A" w:rsidRPr="00962D7A" w:rsidRDefault="00962D7A" w:rsidP="00962D7A">
      <w:pPr>
        <w:spacing w:before="120" w:after="0" w:line="480" w:lineRule="auto"/>
        <w:rPr>
          <w:rFonts w:ascii="Arial" w:eastAsia="Times New Roman" w:hAnsi="Arial" w:cs="Arial"/>
          <w:b/>
          <w:bCs/>
          <w:sz w:val="20"/>
          <w:szCs w:val="20"/>
        </w:rPr>
      </w:pPr>
    </w:p>
    <w:p w:rsidR="00962D7A" w:rsidRPr="00962D7A" w:rsidRDefault="00962D7A" w:rsidP="00962D7A">
      <w:pPr>
        <w:spacing w:before="120" w:after="0" w:line="480" w:lineRule="auto"/>
        <w:rPr>
          <w:rFonts w:ascii="Arial" w:eastAsia="Times New Roman" w:hAnsi="Arial" w:cs="Arial"/>
          <w:b/>
          <w:bCs/>
          <w:sz w:val="20"/>
          <w:szCs w:val="20"/>
        </w:rPr>
      </w:pPr>
    </w:p>
    <w:p w:rsidR="00962D7A" w:rsidRPr="00962D7A" w:rsidRDefault="00962D7A" w:rsidP="00962D7A">
      <w:pPr>
        <w:spacing w:before="120" w:after="0" w:line="480" w:lineRule="auto"/>
        <w:rPr>
          <w:rFonts w:ascii="Arial" w:eastAsia="Times New Roman" w:hAnsi="Arial" w:cs="Arial"/>
          <w:sz w:val="20"/>
          <w:szCs w:val="20"/>
        </w:rPr>
      </w:pPr>
    </w:p>
    <w:p w:rsidR="00962D7A" w:rsidRPr="00962D7A" w:rsidRDefault="00962D7A" w:rsidP="00962D7A">
      <w:pPr>
        <w:spacing w:before="120" w:after="0" w:line="480" w:lineRule="auto"/>
        <w:rPr>
          <w:rFonts w:ascii="Arial" w:eastAsia="Times New Roman" w:hAnsi="Arial" w:cs="Arial"/>
          <w:sz w:val="20"/>
          <w:szCs w:val="20"/>
        </w:rPr>
      </w:pPr>
      <w:r w:rsidRPr="00962D7A">
        <w:rPr>
          <w:rFonts w:ascii="Arial" w:eastAsia="Times New Roman" w:hAnsi="Arial" w:cs="Arial"/>
          <w:noProof/>
          <w:sz w:val="20"/>
          <w:szCs w:val="20"/>
        </w:rPr>
        <w:lastRenderedPageBreak/>
        <w:drawing>
          <wp:inline distT="0" distB="0" distL="0" distR="0" wp14:anchorId="03FC2DC7" wp14:editId="7C74E5BC">
            <wp:extent cx="6200775" cy="446282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520" cy="4476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2D7A" w:rsidRPr="00962D7A" w:rsidRDefault="00962D7A" w:rsidP="00962D7A">
      <w:pPr>
        <w:spacing w:after="120" w:line="480" w:lineRule="auto"/>
        <w:rPr>
          <w:rFonts w:ascii="Arial" w:eastAsia="Times New Roman" w:hAnsi="Arial" w:cs="Arial"/>
          <w:sz w:val="20"/>
          <w:szCs w:val="20"/>
        </w:rPr>
      </w:pPr>
      <w:r w:rsidRPr="00962D7A">
        <w:rPr>
          <w:rFonts w:ascii="Arial" w:eastAsia="Times New Roman" w:hAnsi="Arial" w:cs="Arial"/>
          <w:b/>
          <w:bCs/>
          <w:sz w:val="20"/>
          <w:szCs w:val="20"/>
        </w:rPr>
        <w:t>Supplementary Fig. 4</w:t>
      </w:r>
      <w:r w:rsidRPr="00962D7A">
        <w:rPr>
          <w:rFonts w:ascii="Arial" w:eastAsia="Times New Roman" w:hAnsi="Arial" w:cs="Arial"/>
          <w:sz w:val="20"/>
          <w:szCs w:val="20"/>
        </w:rPr>
        <w:t xml:space="preserve"> </w:t>
      </w:r>
      <w:r w:rsidRPr="00962D7A">
        <w:rPr>
          <w:rFonts w:ascii="Arial" w:eastAsia="Times New Roman" w:hAnsi="Arial" w:cs="Arial"/>
          <w:b/>
          <w:bCs/>
          <w:sz w:val="20"/>
          <w:szCs w:val="20"/>
        </w:rPr>
        <w:t xml:space="preserve">Nanoparticle characterization. </w:t>
      </w:r>
      <w:r w:rsidRPr="00962D7A">
        <w:rPr>
          <w:rFonts w:ascii="Arial" w:eastAsia="Times New Roman" w:hAnsi="Arial" w:cs="Arial"/>
          <w:sz w:val="20"/>
          <w:szCs w:val="20"/>
        </w:rPr>
        <w:t>(A) TEM image of final ARAC construct. (B) Hydrodynamic size of ARAC post-synthesis (fresh) or after 1 year storage at -80</w:t>
      </w:r>
      <w:r w:rsidRPr="00962D7A">
        <w:rPr>
          <w:rFonts w:ascii="Arial" w:eastAsia="Times New Roman" w:hAnsi="Arial" w:cs="Arial"/>
          <w:sz w:val="20"/>
          <w:szCs w:val="20"/>
          <w:vertAlign w:val="superscript"/>
        </w:rPr>
        <w:t>o</w:t>
      </w:r>
      <w:r w:rsidRPr="00962D7A">
        <w:rPr>
          <w:rFonts w:ascii="Arial" w:eastAsia="Times New Roman" w:hAnsi="Arial" w:cs="Arial"/>
          <w:sz w:val="20"/>
          <w:szCs w:val="20"/>
        </w:rPr>
        <w:t xml:space="preserve">C. (C) Thermogravimetric curves of bare MSNP core, iPLK1-MSNP-PEI, and iPLK1-MSNP-PEI-PEG (ARAC) used to determine polymer loading. (D) iPLK1 (volasertib) release (quantified by UV-vis absorbance at 330 nm) from the nanoconstruct in lysosomal solution (pH 4.5) or PBS (pH 7.4) over time. </w:t>
      </w:r>
    </w:p>
    <w:p w:rsidR="00962D7A" w:rsidRPr="00962D7A" w:rsidRDefault="00962D7A" w:rsidP="00962D7A">
      <w:pPr>
        <w:spacing w:before="120" w:after="120" w:line="240" w:lineRule="exact"/>
        <w:rPr>
          <w:rFonts w:ascii="Arial" w:eastAsia="Times New Roman" w:hAnsi="Arial" w:cs="Arial"/>
        </w:rPr>
      </w:pPr>
    </w:p>
    <w:p w:rsidR="00962D7A" w:rsidRPr="00962D7A" w:rsidRDefault="00962D7A" w:rsidP="00962D7A">
      <w:pPr>
        <w:spacing w:before="120" w:after="120" w:line="240" w:lineRule="exact"/>
        <w:rPr>
          <w:rFonts w:ascii="Arial" w:eastAsia="Times New Roman" w:hAnsi="Arial" w:cs="Arial"/>
        </w:rPr>
      </w:pPr>
    </w:p>
    <w:p w:rsidR="00962D7A" w:rsidRPr="00962D7A" w:rsidRDefault="00962D7A" w:rsidP="00962D7A">
      <w:pPr>
        <w:spacing w:before="120" w:after="120" w:line="240" w:lineRule="exact"/>
        <w:rPr>
          <w:rFonts w:ascii="Arial" w:eastAsia="Times New Roman" w:hAnsi="Arial" w:cs="Arial"/>
        </w:rPr>
      </w:pPr>
    </w:p>
    <w:p w:rsidR="00962D7A" w:rsidRPr="00962D7A" w:rsidRDefault="00962D7A" w:rsidP="00962D7A">
      <w:pPr>
        <w:spacing w:before="120" w:after="120" w:line="240" w:lineRule="exact"/>
        <w:rPr>
          <w:rFonts w:ascii="Arial" w:eastAsia="Times New Roman" w:hAnsi="Arial" w:cs="Arial"/>
        </w:rPr>
      </w:pPr>
    </w:p>
    <w:p w:rsidR="00962D7A" w:rsidRPr="00962D7A" w:rsidRDefault="00962D7A" w:rsidP="00962D7A">
      <w:pPr>
        <w:spacing w:before="120" w:after="120" w:line="240" w:lineRule="exact"/>
        <w:rPr>
          <w:rFonts w:ascii="Arial" w:eastAsia="Times New Roman" w:hAnsi="Arial" w:cs="Arial"/>
        </w:rPr>
      </w:pPr>
    </w:p>
    <w:p w:rsidR="00962D7A" w:rsidRPr="00962D7A" w:rsidRDefault="00962D7A" w:rsidP="00962D7A">
      <w:pPr>
        <w:spacing w:before="120" w:after="120" w:line="240" w:lineRule="exact"/>
        <w:rPr>
          <w:rFonts w:ascii="Arial" w:eastAsia="Times New Roman" w:hAnsi="Arial" w:cs="Arial"/>
        </w:rPr>
      </w:pPr>
    </w:p>
    <w:p w:rsidR="00962D7A" w:rsidRPr="00962D7A" w:rsidRDefault="00962D7A" w:rsidP="00962D7A">
      <w:pPr>
        <w:spacing w:before="120" w:after="120" w:line="240" w:lineRule="exact"/>
        <w:rPr>
          <w:rFonts w:ascii="Arial" w:eastAsia="Times New Roman" w:hAnsi="Arial" w:cs="Arial"/>
        </w:rPr>
      </w:pPr>
    </w:p>
    <w:p w:rsidR="00962D7A" w:rsidRPr="00962D7A" w:rsidRDefault="00962D7A" w:rsidP="00962D7A">
      <w:pPr>
        <w:spacing w:before="120" w:after="120" w:line="240" w:lineRule="exact"/>
        <w:rPr>
          <w:rFonts w:ascii="Arial" w:eastAsia="Times New Roman" w:hAnsi="Arial" w:cs="Arial"/>
        </w:rPr>
      </w:pPr>
    </w:p>
    <w:p w:rsidR="00962D7A" w:rsidRPr="00962D7A" w:rsidRDefault="00962D7A" w:rsidP="00962D7A">
      <w:pPr>
        <w:spacing w:before="120" w:after="120" w:line="240" w:lineRule="exact"/>
        <w:rPr>
          <w:rFonts w:ascii="Arial" w:eastAsia="Times New Roman" w:hAnsi="Arial" w:cs="Arial"/>
        </w:rPr>
      </w:pPr>
    </w:p>
    <w:p w:rsidR="00962D7A" w:rsidRPr="00962D7A" w:rsidRDefault="00962D7A" w:rsidP="00962D7A">
      <w:pPr>
        <w:spacing w:before="120" w:after="120" w:line="240" w:lineRule="exact"/>
        <w:rPr>
          <w:rFonts w:ascii="Arial" w:eastAsia="Times New Roman" w:hAnsi="Arial" w:cs="Arial"/>
          <w:bCs/>
        </w:rPr>
      </w:pPr>
      <w:r w:rsidRPr="00962D7A">
        <w:rPr>
          <w:rFonts w:ascii="Arial" w:eastAsia="Times New Roman" w:hAnsi="Arial" w:cs="Arial"/>
          <w:bCs/>
        </w:rPr>
        <w:t xml:space="preserve"> </w:t>
      </w:r>
    </w:p>
    <w:p w:rsidR="00962D7A" w:rsidRPr="00962D7A" w:rsidRDefault="00962D7A" w:rsidP="00962D7A">
      <w:pPr>
        <w:spacing w:before="120" w:after="120" w:line="240" w:lineRule="exact"/>
        <w:rPr>
          <w:rFonts w:ascii="Arial" w:eastAsia="Times New Roman" w:hAnsi="Arial" w:cs="Arial"/>
          <w:bCs/>
        </w:rPr>
      </w:pPr>
    </w:p>
    <w:p w:rsidR="00962D7A" w:rsidRPr="00962D7A" w:rsidRDefault="00962D7A" w:rsidP="00962D7A">
      <w:pPr>
        <w:spacing w:before="120" w:after="120" w:line="240" w:lineRule="exact"/>
        <w:rPr>
          <w:rFonts w:ascii="Arial" w:eastAsia="Times New Roman" w:hAnsi="Arial" w:cs="Arial"/>
          <w:bCs/>
        </w:rPr>
      </w:pPr>
      <w:r w:rsidRPr="00962D7A">
        <w:rPr>
          <w:rFonts w:ascii="Arial" w:eastAsia="Times New Roman" w:hAnsi="Arial" w:cs="Arial"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B9E5136" wp14:editId="739E5E74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6856730" cy="2040034"/>
            <wp:effectExtent l="0" t="0" r="127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2040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2D7A" w:rsidRPr="00962D7A" w:rsidRDefault="00962D7A" w:rsidP="00962D7A">
      <w:pPr>
        <w:spacing w:after="120" w:line="480" w:lineRule="auto"/>
        <w:rPr>
          <w:rFonts w:ascii="Arial" w:eastAsia="Times New Roman" w:hAnsi="Arial" w:cs="Arial"/>
          <w:bCs/>
          <w:sz w:val="20"/>
          <w:szCs w:val="20"/>
        </w:rPr>
      </w:pPr>
      <w:r w:rsidRPr="00962D7A">
        <w:rPr>
          <w:rFonts w:ascii="Arial" w:eastAsia="Times New Roman" w:hAnsi="Arial" w:cs="Arial"/>
          <w:b/>
          <w:bCs/>
          <w:sz w:val="20"/>
          <w:szCs w:val="20"/>
        </w:rPr>
        <w:t>Supplementary Fig. 5</w:t>
      </w:r>
      <w:r w:rsidRPr="00962D7A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Pr="00962D7A">
        <w:rPr>
          <w:rFonts w:ascii="Arial" w:eastAsia="Times New Roman" w:hAnsi="Arial" w:cs="Arial"/>
          <w:b/>
          <w:bCs/>
          <w:sz w:val="20"/>
          <w:szCs w:val="20"/>
        </w:rPr>
        <w:t>ARAC efficacy in NSCLC cells</w:t>
      </w:r>
      <w:r w:rsidRPr="00962D7A">
        <w:rPr>
          <w:rFonts w:ascii="Arial" w:eastAsia="Times New Roman" w:hAnsi="Arial" w:cs="Arial"/>
          <w:bCs/>
          <w:sz w:val="20"/>
          <w:szCs w:val="20"/>
        </w:rPr>
        <w:t xml:space="preserve">. 3-day cell viability of (A) A549, (B) H460, and (C) LLC-JSP cells treated with ARAC or bare nanoparticle (NP, containing no APIs) at specified doses of nanoparticle. Nanoconstructs were stored for 5 months at -80ºC prior to treatment. Data presented as mean ± SD from </w:t>
      </w:r>
      <w:proofErr w:type="gramStart"/>
      <w:r w:rsidRPr="00962D7A">
        <w:rPr>
          <w:rFonts w:ascii="Arial" w:eastAsia="Times New Roman" w:hAnsi="Arial" w:cs="Arial"/>
          <w:bCs/>
          <w:sz w:val="20"/>
          <w:szCs w:val="20"/>
        </w:rPr>
        <w:t>4</w:t>
      </w:r>
      <w:proofErr w:type="gramEnd"/>
      <w:r w:rsidRPr="00962D7A">
        <w:rPr>
          <w:rFonts w:ascii="Arial" w:eastAsia="Times New Roman" w:hAnsi="Arial" w:cs="Arial"/>
          <w:bCs/>
          <w:sz w:val="20"/>
          <w:szCs w:val="20"/>
        </w:rPr>
        <w:t xml:space="preserve"> independent samples.</w:t>
      </w:r>
    </w:p>
    <w:p w:rsidR="00962D7A" w:rsidRPr="00962D7A" w:rsidRDefault="00962D7A" w:rsidP="00962D7A">
      <w:pPr>
        <w:spacing w:after="120" w:line="480" w:lineRule="auto"/>
        <w:rPr>
          <w:rFonts w:ascii="Arial" w:eastAsia="Times New Roman" w:hAnsi="Arial" w:cs="Arial"/>
          <w:bCs/>
          <w:sz w:val="20"/>
          <w:szCs w:val="20"/>
        </w:rPr>
      </w:pPr>
    </w:p>
    <w:p w:rsidR="00962D7A" w:rsidRPr="00962D7A" w:rsidRDefault="00962D7A" w:rsidP="00962D7A">
      <w:pPr>
        <w:spacing w:before="120" w:after="120" w:line="240" w:lineRule="exact"/>
        <w:rPr>
          <w:rFonts w:ascii="Arial" w:eastAsia="Times New Roman" w:hAnsi="Arial" w:cs="Arial"/>
          <w:bCs/>
        </w:rPr>
      </w:pPr>
      <w:r w:rsidRPr="00962D7A">
        <w:rPr>
          <w:rFonts w:ascii="Arial" w:eastAsia="Times New Roman" w:hAnsi="Arial" w:cs="Arial"/>
          <w:bCs/>
          <w:noProof/>
        </w:rPr>
        <w:drawing>
          <wp:anchor distT="0" distB="0" distL="114300" distR="114300" simplePos="0" relativeHeight="251660288" behindDoc="1" locked="0" layoutInCell="1" allowOverlap="1" wp14:anchorId="1D9A802E" wp14:editId="4B3417E3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4686300" cy="4094480"/>
            <wp:effectExtent l="0" t="0" r="0" b="1270"/>
            <wp:wrapTight wrapText="bothSides">
              <wp:wrapPolygon edited="0">
                <wp:start x="18176" y="0"/>
                <wp:lineTo x="439" y="201"/>
                <wp:lineTo x="88" y="603"/>
                <wp:lineTo x="702" y="1809"/>
                <wp:lineTo x="615" y="8442"/>
                <wp:lineTo x="4566" y="9849"/>
                <wp:lineTo x="5005" y="9849"/>
                <wp:lineTo x="176" y="11155"/>
                <wp:lineTo x="176" y="11557"/>
                <wp:lineTo x="702" y="13065"/>
                <wp:lineTo x="615" y="20501"/>
                <wp:lineTo x="6673" y="21104"/>
                <wp:lineTo x="17737" y="21104"/>
                <wp:lineTo x="17737" y="21506"/>
                <wp:lineTo x="19229" y="21506"/>
                <wp:lineTo x="19229" y="21104"/>
                <wp:lineTo x="21512" y="20702"/>
                <wp:lineTo x="21512" y="11457"/>
                <wp:lineTo x="14839" y="11457"/>
                <wp:lineTo x="19229" y="10050"/>
                <wp:lineTo x="19229" y="9849"/>
                <wp:lineTo x="21512" y="9346"/>
                <wp:lineTo x="21512" y="1407"/>
                <wp:lineTo x="18702" y="0"/>
                <wp:lineTo x="18176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09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2D7A" w:rsidRPr="00962D7A" w:rsidRDefault="00962D7A" w:rsidP="00962D7A">
      <w:pPr>
        <w:spacing w:before="120" w:after="120" w:line="240" w:lineRule="exact"/>
        <w:rPr>
          <w:rFonts w:ascii="Arial" w:eastAsia="Times New Roman" w:hAnsi="Arial" w:cs="Arial"/>
          <w:bCs/>
        </w:rPr>
      </w:pPr>
    </w:p>
    <w:p w:rsidR="00962D7A" w:rsidRPr="00962D7A" w:rsidRDefault="00962D7A" w:rsidP="00962D7A">
      <w:pPr>
        <w:spacing w:before="120" w:after="120" w:line="240" w:lineRule="exact"/>
        <w:rPr>
          <w:rFonts w:ascii="Arial" w:eastAsia="Times New Roman" w:hAnsi="Arial" w:cs="Arial"/>
          <w:bCs/>
        </w:rPr>
      </w:pPr>
    </w:p>
    <w:p w:rsidR="00962D7A" w:rsidRPr="00962D7A" w:rsidRDefault="00962D7A" w:rsidP="00962D7A">
      <w:pPr>
        <w:spacing w:before="120" w:after="120" w:line="240" w:lineRule="exact"/>
        <w:rPr>
          <w:rFonts w:ascii="Arial" w:eastAsia="Times New Roman" w:hAnsi="Arial" w:cs="Arial"/>
          <w:bCs/>
        </w:rPr>
      </w:pPr>
    </w:p>
    <w:p w:rsidR="00962D7A" w:rsidRPr="00962D7A" w:rsidRDefault="00962D7A" w:rsidP="00962D7A">
      <w:pPr>
        <w:spacing w:before="120" w:after="120" w:line="240" w:lineRule="exact"/>
        <w:rPr>
          <w:rFonts w:ascii="Arial" w:eastAsia="Times New Roman" w:hAnsi="Arial" w:cs="Arial"/>
          <w:bCs/>
        </w:rPr>
      </w:pPr>
    </w:p>
    <w:p w:rsidR="00962D7A" w:rsidRPr="00962D7A" w:rsidRDefault="00962D7A" w:rsidP="00962D7A">
      <w:pPr>
        <w:spacing w:before="120" w:after="120" w:line="240" w:lineRule="exact"/>
        <w:rPr>
          <w:rFonts w:ascii="Arial" w:eastAsia="Times New Roman" w:hAnsi="Arial" w:cs="Arial"/>
          <w:bCs/>
        </w:rPr>
      </w:pPr>
    </w:p>
    <w:p w:rsidR="00962D7A" w:rsidRPr="00962D7A" w:rsidRDefault="00962D7A" w:rsidP="00962D7A">
      <w:pPr>
        <w:spacing w:before="120" w:after="120" w:line="240" w:lineRule="exact"/>
        <w:rPr>
          <w:rFonts w:ascii="Arial" w:eastAsia="Times New Roman" w:hAnsi="Arial" w:cs="Arial"/>
          <w:bCs/>
        </w:rPr>
      </w:pPr>
    </w:p>
    <w:p w:rsidR="00962D7A" w:rsidRPr="00962D7A" w:rsidRDefault="00962D7A" w:rsidP="00962D7A">
      <w:pPr>
        <w:spacing w:before="120" w:after="120" w:line="240" w:lineRule="exact"/>
        <w:rPr>
          <w:rFonts w:ascii="Arial" w:eastAsia="Times New Roman" w:hAnsi="Arial" w:cs="Arial"/>
          <w:bCs/>
        </w:rPr>
      </w:pPr>
    </w:p>
    <w:p w:rsidR="00962D7A" w:rsidRPr="00962D7A" w:rsidRDefault="00962D7A" w:rsidP="00962D7A">
      <w:pPr>
        <w:spacing w:before="120" w:after="120" w:line="240" w:lineRule="exact"/>
        <w:rPr>
          <w:rFonts w:ascii="Arial" w:eastAsia="Times New Roman" w:hAnsi="Arial" w:cs="Arial"/>
          <w:bCs/>
        </w:rPr>
      </w:pPr>
    </w:p>
    <w:p w:rsidR="00962D7A" w:rsidRPr="00962D7A" w:rsidRDefault="00962D7A" w:rsidP="00962D7A">
      <w:pPr>
        <w:spacing w:before="120" w:after="120" w:line="240" w:lineRule="exact"/>
        <w:rPr>
          <w:rFonts w:ascii="Arial" w:eastAsia="Times New Roman" w:hAnsi="Arial" w:cs="Arial"/>
          <w:bCs/>
        </w:rPr>
      </w:pPr>
    </w:p>
    <w:p w:rsidR="00962D7A" w:rsidRPr="00962D7A" w:rsidRDefault="00962D7A" w:rsidP="00962D7A">
      <w:pPr>
        <w:spacing w:before="120" w:after="120" w:line="240" w:lineRule="exact"/>
        <w:rPr>
          <w:rFonts w:ascii="Arial" w:eastAsia="Times New Roman" w:hAnsi="Arial" w:cs="Arial"/>
          <w:bCs/>
        </w:rPr>
      </w:pPr>
    </w:p>
    <w:p w:rsidR="00962D7A" w:rsidRPr="00962D7A" w:rsidRDefault="00962D7A" w:rsidP="00962D7A">
      <w:pPr>
        <w:spacing w:before="120" w:after="120" w:line="240" w:lineRule="exact"/>
        <w:rPr>
          <w:rFonts w:ascii="Arial" w:eastAsia="Times New Roman" w:hAnsi="Arial" w:cs="Arial"/>
          <w:bCs/>
        </w:rPr>
      </w:pPr>
    </w:p>
    <w:p w:rsidR="00962D7A" w:rsidRPr="00962D7A" w:rsidRDefault="00962D7A" w:rsidP="00962D7A">
      <w:pPr>
        <w:spacing w:before="120" w:after="120" w:line="240" w:lineRule="exact"/>
        <w:rPr>
          <w:rFonts w:ascii="Arial" w:eastAsia="Times New Roman" w:hAnsi="Arial" w:cs="Arial"/>
          <w:bCs/>
        </w:rPr>
      </w:pPr>
    </w:p>
    <w:p w:rsidR="00962D7A" w:rsidRPr="00962D7A" w:rsidRDefault="00962D7A" w:rsidP="00962D7A">
      <w:pPr>
        <w:spacing w:before="120" w:after="120" w:line="240" w:lineRule="exact"/>
        <w:rPr>
          <w:rFonts w:ascii="Arial" w:eastAsia="Times New Roman" w:hAnsi="Arial" w:cs="Arial"/>
          <w:bCs/>
        </w:rPr>
      </w:pPr>
    </w:p>
    <w:p w:rsidR="00962D7A" w:rsidRPr="00962D7A" w:rsidRDefault="00962D7A" w:rsidP="00962D7A">
      <w:pPr>
        <w:spacing w:before="120" w:after="120" w:line="240" w:lineRule="exact"/>
        <w:rPr>
          <w:rFonts w:ascii="Arial" w:eastAsia="Times New Roman" w:hAnsi="Arial" w:cs="Arial"/>
          <w:bCs/>
        </w:rPr>
      </w:pPr>
    </w:p>
    <w:p w:rsidR="00962D7A" w:rsidRPr="00962D7A" w:rsidRDefault="00962D7A" w:rsidP="00962D7A">
      <w:pPr>
        <w:spacing w:before="120" w:after="120" w:line="240" w:lineRule="exact"/>
        <w:rPr>
          <w:rFonts w:ascii="Arial" w:eastAsia="Times New Roman" w:hAnsi="Arial" w:cs="Arial"/>
          <w:bCs/>
        </w:rPr>
      </w:pPr>
    </w:p>
    <w:p w:rsidR="00962D7A" w:rsidRPr="00962D7A" w:rsidRDefault="00962D7A" w:rsidP="00962D7A">
      <w:pPr>
        <w:spacing w:before="120" w:after="120" w:line="240" w:lineRule="exact"/>
        <w:rPr>
          <w:rFonts w:ascii="Arial" w:eastAsia="Times New Roman" w:hAnsi="Arial" w:cs="Arial"/>
          <w:bCs/>
        </w:rPr>
      </w:pPr>
    </w:p>
    <w:p w:rsidR="00962D7A" w:rsidRPr="00962D7A" w:rsidRDefault="00962D7A" w:rsidP="00962D7A">
      <w:pPr>
        <w:spacing w:before="120" w:after="0" w:line="480" w:lineRule="auto"/>
        <w:rPr>
          <w:rFonts w:ascii="Arial" w:eastAsia="Times New Roman" w:hAnsi="Arial" w:cs="Arial"/>
          <w:b/>
          <w:sz w:val="20"/>
          <w:szCs w:val="20"/>
        </w:rPr>
      </w:pPr>
    </w:p>
    <w:p w:rsidR="00962D7A" w:rsidRPr="00962D7A" w:rsidRDefault="00962D7A" w:rsidP="00962D7A">
      <w:pPr>
        <w:spacing w:before="120" w:after="0" w:line="48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62D7A">
        <w:rPr>
          <w:rFonts w:ascii="Arial" w:eastAsia="Times New Roman" w:hAnsi="Arial" w:cs="Cordia New"/>
          <w:b/>
          <w:bCs/>
          <w:color w:val="000000"/>
          <w:kern w:val="24"/>
          <w:sz w:val="20"/>
          <w:szCs w:val="20"/>
        </w:rPr>
        <w:t>Supplementary Fig. 6</w:t>
      </w:r>
      <w:r w:rsidRPr="00962D7A">
        <w:rPr>
          <w:rFonts w:ascii="Arial" w:eastAsia="Times New Roman" w:hAnsi="Arial" w:cs="Cordia New"/>
          <w:color w:val="000000"/>
          <w:kern w:val="24"/>
          <w:sz w:val="20"/>
          <w:szCs w:val="20"/>
        </w:rPr>
        <w:t xml:space="preserve"> </w:t>
      </w:r>
      <w:r w:rsidRPr="00962D7A">
        <w:rPr>
          <w:rFonts w:ascii="Arial" w:eastAsia="Times New Roman" w:hAnsi="Arial" w:cs="Cordia New"/>
          <w:b/>
          <w:bCs/>
          <w:color w:val="000000"/>
          <w:kern w:val="24"/>
          <w:sz w:val="20"/>
          <w:szCs w:val="20"/>
        </w:rPr>
        <w:t xml:space="preserve">Nanoparticle delivery of PLK1 inhibitor volasertib (iPLK1-NP). </w:t>
      </w:r>
      <w:r w:rsidRPr="00962D7A">
        <w:rPr>
          <w:rFonts w:ascii="Arial" w:eastAsia="Times New Roman" w:hAnsi="Arial" w:cs="Cordia New"/>
          <w:color w:val="000000"/>
          <w:kern w:val="24"/>
          <w:sz w:val="20"/>
          <w:szCs w:val="20"/>
        </w:rPr>
        <w:t xml:space="preserve">Viability of (A) 4T1 breast cancer or (C) B16-F10 melanoma cells treated with volasertib (in 1%DMSO/PBS), iPLK1-NP (in PBS), or 1%DMSO/PBS for 3 days. Data presented as mean ± SD from </w:t>
      </w:r>
      <w:proofErr w:type="gramStart"/>
      <w:r w:rsidRPr="00962D7A">
        <w:rPr>
          <w:rFonts w:ascii="Arial" w:eastAsia="Times New Roman" w:hAnsi="Arial" w:cs="Cordia New"/>
          <w:color w:val="000000"/>
          <w:kern w:val="24"/>
          <w:sz w:val="20"/>
          <w:szCs w:val="20"/>
        </w:rPr>
        <w:t>4</w:t>
      </w:r>
      <w:proofErr w:type="gramEnd"/>
      <w:r w:rsidRPr="00962D7A">
        <w:rPr>
          <w:rFonts w:ascii="Arial" w:eastAsia="Times New Roman" w:hAnsi="Arial" w:cs="Cordia New"/>
          <w:color w:val="000000"/>
          <w:kern w:val="24"/>
          <w:sz w:val="20"/>
          <w:szCs w:val="20"/>
        </w:rPr>
        <w:t xml:space="preserve"> independent samples; ****P&lt;0.0001. PD-L1 surface expression of (B) 4T1 or (D) B16-F10 cells treated with PBS or iPLK1-NP (42 </w:t>
      </w:r>
      <w:r w:rsidRPr="00962D7A">
        <w:rPr>
          <w:rFonts w:ascii="Symbol" w:eastAsia="Times New Roman" w:hAnsi="Symbol" w:cs="Arial"/>
          <w:color w:val="000000"/>
          <w:kern w:val="24"/>
          <w:sz w:val="20"/>
          <w:szCs w:val="20"/>
        </w:rPr>
        <w:t></w:t>
      </w:r>
      <w:r w:rsidRPr="00962D7A">
        <w:rPr>
          <w:rFonts w:ascii="Arial" w:eastAsia="Times New Roman" w:hAnsi="Arial" w:cs="Cordia New"/>
          <w:color w:val="000000"/>
          <w:kern w:val="24"/>
          <w:sz w:val="20"/>
          <w:szCs w:val="20"/>
        </w:rPr>
        <w:t xml:space="preserve">g/ml NP, 210 ng/ml volasertib). </w:t>
      </w:r>
    </w:p>
    <w:p w:rsidR="00962D7A" w:rsidRPr="00962D7A" w:rsidRDefault="00962D7A" w:rsidP="00962D7A">
      <w:pPr>
        <w:spacing w:before="120" w:after="0" w:line="480" w:lineRule="auto"/>
        <w:rPr>
          <w:rFonts w:ascii="Arial" w:eastAsia="Times New Roman" w:hAnsi="Arial" w:cs="Arial"/>
          <w:b/>
        </w:rPr>
      </w:pPr>
      <w:r w:rsidRPr="00962D7A">
        <w:rPr>
          <w:rFonts w:ascii="Arial" w:eastAsia="Times New Roman" w:hAnsi="Arial" w:cs="Arial"/>
          <w:b/>
          <w:noProof/>
        </w:rPr>
        <w:lastRenderedPageBreak/>
        <w:drawing>
          <wp:inline distT="0" distB="0" distL="0" distR="0" wp14:anchorId="28853BA1" wp14:editId="1A4D5300">
            <wp:extent cx="6853555" cy="2902774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250" cy="2917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2D7A" w:rsidRPr="00962D7A" w:rsidRDefault="00962D7A" w:rsidP="00962D7A">
      <w:pPr>
        <w:spacing w:before="120" w:after="0" w:line="480" w:lineRule="auto"/>
        <w:rPr>
          <w:rFonts w:ascii="Arial" w:eastAsia="Times New Roman" w:hAnsi="Arial" w:cs="Arial"/>
          <w:bCs/>
          <w:kern w:val="24"/>
          <w:sz w:val="20"/>
          <w:szCs w:val="20"/>
        </w:rPr>
      </w:pPr>
      <w:r w:rsidRPr="00962D7A">
        <w:rPr>
          <w:rFonts w:ascii="Arial" w:eastAsia="Times New Roman" w:hAnsi="Arial" w:cs="Arial"/>
          <w:b/>
          <w:bCs/>
          <w:kern w:val="24"/>
          <w:sz w:val="20"/>
          <w:szCs w:val="20"/>
        </w:rPr>
        <w:t>Supplementary Fig. 7 PD-L1 antibody-conjugated nanoparticle (p-NP) uptake in NSCLC cells.</w:t>
      </w:r>
      <w:r w:rsidRPr="00962D7A">
        <w:rPr>
          <w:rFonts w:ascii="Arial" w:eastAsia="Times New Roman" w:hAnsi="Arial" w:cs="Arial"/>
          <w:bCs/>
          <w:kern w:val="24"/>
          <w:sz w:val="20"/>
          <w:szCs w:val="20"/>
        </w:rPr>
        <w:t xml:space="preserve"> H460 NSCLC cells were treated with p-NP carrying a fluorescent dye (Dy677) for 1 h at 4</w:t>
      </w:r>
      <w:r w:rsidRPr="00962D7A">
        <w:rPr>
          <w:rFonts w:ascii="Arial" w:eastAsia="Times New Roman" w:hAnsi="Arial" w:cs="Arial"/>
          <w:bCs/>
          <w:kern w:val="24"/>
          <w:sz w:val="20"/>
          <w:szCs w:val="20"/>
          <w:vertAlign w:val="superscript"/>
        </w:rPr>
        <w:softHyphen/>
      </w:r>
      <w:r w:rsidRPr="00962D7A">
        <w:rPr>
          <w:rFonts w:ascii="Arial" w:eastAsia="Times New Roman" w:hAnsi="Arial" w:cs="Arial"/>
          <w:bCs/>
          <w:kern w:val="24"/>
          <w:sz w:val="20"/>
          <w:szCs w:val="20"/>
          <w:vertAlign w:val="superscript"/>
        </w:rPr>
        <w:softHyphen/>
        <w:t>o</w:t>
      </w:r>
      <w:r w:rsidRPr="00962D7A">
        <w:rPr>
          <w:rFonts w:ascii="Arial" w:eastAsia="Times New Roman" w:hAnsi="Arial" w:cs="Arial"/>
          <w:bCs/>
          <w:kern w:val="24"/>
          <w:sz w:val="20"/>
          <w:szCs w:val="20"/>
        </w:rPr>
        <w:t>C, 1 h at 37</w:t>
      </w:r>
      <w:r w:rsidRPr="00962D7A">
        <w:rPr>
          <w:rFonts w:ascii="Arial" w:eastAsia="Times New Roman" w:hAnsi="Arial" w:cs="Arial"/>
          <w:bCs/>
          <w:kern w:val="24"/>
          <w:sz w:val="20"/>
          <w:szCs w:val="20"/>
          <w:vertAlign w:val="superscript"/>
        </w:rPr>
        <w:t>o</w:t>
      </w:r>
      <w:r w:rsidRPr="00962D7A">
        <w:rPr>
          <w:rFonts w:ascii="Arial" w:eastAsia="Times New Roman" w:hAnsi="Arial" w:cs="Arial"/>
          <w:bCs/>
          <w:kern w:val="24"/>
          <w:sz w:val="20"/>
          <w:szCs w:val="20"/>
        </w:rPr>
        <w:t>C, or 4 h at 37</w:t>
      </w:r>
      <w:r w:rsidRPr="00962D7A">
        <w:rPr>
          <w:rFonts w:ascii="Arial" w:eastAsia="Times New Roman" w:hAnsi="Arial" w:cs="Arial"/>
          <w:bCs/>
          <w:kern w:val="24"/>
          <w:sz w:val="20"/>
          <w:szCs w:val="20"/>
          <w:vertAlign w:val="superscript"/>
        </w:rPr>
        <w:t>o</w:t>
      </w:r>
      <w:r w:rsidRPr="00962D7A">
        <w:rPr>
          <w:rFonts w:ascii="Arial" w:eastAsia="Times New Roman" w:hAnsi="Arial" w:cs="Arial"/>
          <w:bCs/>
          <w:kern w:val="24"/>
          <w:sz w:val="20"/>
          <w:szCs w:val="20"/>
        </w:rPr>
        <w:t>C. Cells were then fixed and stained for WGA (Alexa 555), PD-L1 (Alexa 488), and DAPI prior to imaging with Zeiss CellObserver Spinning Disk confocal microscope, using 63x1.4 NA lens and Hamamatsu Orca Flash 4 v2 camera. Individual channels and merged images are shown for each condition.</w:t>
      </w:r>
    </w:p>
    <w:p w:rsidR="00962D7A" w:rsidRPr="00962D7A" w:rsidRDefault="00962D7A" w:rsidP="00962D7A">
      <w:pPr>
        <w:spacing w:before="120" w:after="0" w:line="480" w:lineRule="auto"/>
        <w:rPr>
          <w:rFonts w:ascii="Arial" w:eastAsia="Times New Roman" w:hAnsi="Arial" w:cs="Arial"/>
          <w:b/>
          <w:bCs/>
          <w:kern w:val="24"/>
          <w:sz w:val="20"/>
          <w:szCs w:val="20"/>
        </w:rPr>
      </w:pPr>
    </w:p>
    <w:p w:rsidR="00962D7A" w:rsidRPr="00962D7A" w:rsidRDefault="00962D7A" w:rsidP="00962D7A">
      <w:pPr>
        <w:spacing w:before="120" w:after="0" w:line="480" w:lineRule="auto"/>
        <w:rPr>
          <w:rFonts w:ascii="Arial" w:eastAsia="Times New Roman" w:hAnsi="Arial" w:cs="Arial"/>
          <w:b/>
        </w:rPr>
      </w:pPr>
      <w:r w:rsidRPr="00962D7A">
        <w:rPr>
          <w:rFonts w:ascii="Arial" w:eastAsia="Times New Roman" w:hAnsi="Arial" w:cs="Arial"/>
          <w:b/>
          <w:noProof/>
        </w:rPr>
        <w:drawing>
          <wp:inline distT="0" distB="0" distL="0" distR="0" wp14:anchorId="2375F3BB" wp14:editId="7F140068">
            <wp:extent cx="5238750" cy="21701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17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2D7A" w:rsidRPr="00962D7A" w:rsidRDefault="00962D7A" w:rsidP="00962D7A">
      <w:pPr>
        <w:spacing w:before="120" w:after="0" w:line="480" w:lineRule="auto"/>
        <w:rPr>
          <w:rFonts w:ascii="Arial" w:eastAsia="Times New Roman" w:hAnsi="Arial" w:cs="Arial"/>
          <w:kern w:val="24"/>
          <w:sz w:val="20"/>
          <w:szCs w:val="20"/>
        </w:rPr>
      </w:pPr>
      <w:r w:rsidRPr="00962D7A">
        <w:rPr>
          <w:rFonts w:ascii="Arial" w:eastAsia="Times New Roman" w:hAnsi="Arial" w:cs="Arial"/>
          <w:b/>
          <w:bCs/>
          <w:kern w:val="24"/>
          <w:sz w:val="20"/>
          <w:szCs w:val="20"/>
        </w:rPr>
        <w:t>Supplementary Fig. 8. Targeting and treatment specificity of ARAC.</w:t>
      </w:r>
      <w:r w:rsidRPr="00962D7A">
        <w:rPr>
          <w:rFonts w:ascii="Arial" w:eastAsia="Times New Roman" w:hAnsi="Arial" w:cs="Arial"/>
          <w:b/>
          <w:kern w:val="24"/>
          <w:sz w:val="20"/>
          <w:szCs w:val="20"/>
        </w:rPr>
        <w:t xml:space="preserve"> </w:t>
      </w:r>
      <w:r w:rsidRPr="00962D7A">
        <w:rPr>
          <w:rFonts w:ascii="Arial" w:eastAsia="Times New Roman" w:hAnsi="Arial" w:cs="Arial"/>
          <w:kern w:val="24"/>
          <w:sz w:val="20"/>
          <w:szCs w:val="20"/>
        </w:rPr>
        <w:t>(A) PD-L1 expression of 4T1 cells 4-day post treatment of ARAC. Cells (PBS-treated (control) and ARAC-treated) were harvested and incubated with ARAC tagged with dye-tagged siRNA for 1 hr</w:t>
      </w:r>
      <w:proofErr w:type="gramStart"/>
      <w:r w:rsidRPr="00962D7A">
        <w:rPr>
          <w:rFonts w:ascii="Arial" w:eastAsia="Times New Roman" w:hAnsi="Arial" w:cs="Arial"/>
          <w:kern w:val="24"/>
          <w:sz w:val="20"/>
          <w:szCs w:val="20"/>
        </w:rPr>
        <w:t>;</w:t>
      </w:r>
      <w:proofErr w:type="gramEnd"/>
      <w:r w:rsidRPr="00962D7A">
        <w:rPr>
          <w:rFonts w:ascii="Arial" w:eastAsia="Times New Roman" w:hAnsi="Arial" w:cs="Arial"/>
          <w:kern w:val="24"/>
          <w:sz w:val="20"/>
          <w:szCs w:val="20"/>
        </w:rPr>
        <w:t xml:space="preserve"> 10,000 events per sample. (B) Cellular uptake of ARAC after 1 hr. (C) Cell viability of murine cancer cells (LLC-JSP, 4T1, B16-F10) and murine bone marrow-derived dendritic cells (BMDC) treated with ARAC. Data presented as mean ± SD from 3-4 independent samples.</w:t>
      </w:r>
    </w:p>
    <w:p w:rsidR="00962D7A" w:rsidRPr="00962D7A" w:rsidRDefault="00962D7A" w:rsidP="00962D7A">
      <w:pPr>
        <w:spacing w:before="120" w:after="0" w:line="480" w:lineRule="auto"/>
        <w:rPr>
          <w:rFonts w:ascii="Arial" w:eastAsia="Times New Roman" w:hAnsi="Arial" w:cs="Arial"/>
          <w:kern w:val="24"/>
          <w:sz w:val="20"/>
          <w:szCs w:val="20"/>
        </w:rPr>
      </w:pPr>
    </w:p>
    <w:p w:rsidR="00962D7A" w:rsidRPr="00962D7A" w:rsidRDefault="00962D7A" w:rsidP="00962D7A">
      <w:pPr>
        <w:spacing w:before="120" w:after="0" w:line="480" w:lineRule="auto"/>
        <w:rPr>
          <w:rFonts w:ascii="Arial" w:eastAsia="Times New Roman" w:hAnsi="Arial" w:cs="Arial"/>
        </w:rPr>
      </w:pPr>
      <w:r w:rsidRPr="00962D7A">
        <w:rPr>
          <w:rFonts w:ascii="Arial" w:eastAsia="Times New Roman" w:hAnsi="Arial" w:cs="Arial"/>
          <w:noProof/>
        </w:rPr>
        <w:lastRenderedPageBreak/>
        <w:drawing>
          <wp:inline distT="0" distB="0" distL="0" distR="0" wp14:anchorId="3D608DD1" wp14:editId="3C2D6477">
            <wp:extent cx="4715659" cy="1981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71" cy="1985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2D7A" w:rsidRPr="00962D7A" w:rsidRDefault="00962D7A" w:rsidP="00962D7A">
      <w:pPr>
        <w:spacing w:before="120" w:after="0" w:line="480" w:lineRule="auto"/>
        <w:rPr>
          <w:rFonts w:ascii="Arial" w:eastAsia="Times New Roman" w:hAnsi="Arial" w:cs="Arial"/>
          <w:sz w:val="20"/>
          <w:szCs w:val="20"/>
        </w:rPr>
      </w:pPr>
      <w:r w:rsidRPr="00962D7A">
        <w:rPr>
          <w:rFonts w:ascii="Arial" w:eastAsia="Times New Roman" w:hAnsi="Arial" w:cs="Arial"/>
          <w:b/>
          <w:bCs/>
          <w:sz w:val="20"/>
          <w:szCs w:val="20"/>
        </w:rPr>
        <w:t>Supplementary Fig. 9.</w:t>
      </w:r>
      <w:r w:rsidRPr="00962D7A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Pr="00962D7A">
        <w:rPr>
          <w:rFonts w:ascii="Arial" w:eastAsia="Times New Roman" w:hAnsi="Arial" w:cs="Arial"/>
          <w:b/>
          <w:bCs/>
          <w:sz w:val="20"/>
          <w:szCs w:val="20"/>
        </w:rPr>
        <w:t>p-siPLK1-NP efficacy in NSCLC cells</w:t>
      </w:r>
      <w:r w:rsidRPr="00962D7A">
        <w:rPr>
          <w:rFonts w:ascii="Arial" w:eastAsia="Times New Roman" w:hAnsi="Arial" w:cs="Arial"/>
          <w:b/>
          <w:sz w:val="20"/>
          <w:szCs w:val="20"/>
        </w:rPr>
        <w:t xml:space="preserve">. </w:t>
      </w:r>
      <w:r w:rsidRPr="00962D7A">
        <w:rPr>
          <w:rFonts w:ascii="Arial" w:eastAsia="Times New Roman" w:hAnsi="Arial" w:cs="Arial"/>
          <w:sz w:val="20"/>
          <w:szCs w:val="20"/>
        </w:rPr>
        <w:t>3-day cell viability of (A) A549 and (B) H460 cells treated with PD-L1 antibody-conjugated NP (p-NP) with siRNA against PLK1 (siPLK1) or scrambled non-target siRNA (siSCR) at varying doses of siRNA. siRNA was loaded at 4 wt.% of NP. Data presented as mean ± SD from 4 independent samples.</w:t>
      </w:r>
    </w:p>
    <w:p w:rsidR="00962D7A" w:rsidRPr="00962D7A" w:rsidRDefault="00962D7A" w:rsidP="00962D7A">
      <w:pPr>
        <w:spacing w:before="120" w:after="0" w:line="480" w:lineRule="auto"/>
        <w:rPr>
          <w:rFonts w:ascii="Arial" w:eastAsia="Times New Roman" w:hAnsi="Arial" w:cs="Arial"/>
          <w:b/>
        </w:rPr>
      </w:pPr>
    </w:p>
    <w:p w:rsidR="00962D7A" w:rsidRPr="00962D7A" w:rsidRDefault="00962D7A" w:rsidP="00962D7A">
      <w:pPr>
        <w:spacing w:before="120" w:after="0" w:line="480" w:lineRule="auto"/>
        <w:rPr>
          <w:rFonts w:ascii="Arial" w:eastAsia="Times New Roman" w:hAnsi="Arial" w:cs="Arial"/>
          <w:b/>
        </w:rPr>
      </w:pPr>
    </w:p>
    <w:p w:rsidR="00962D7A" w:rsidRPr="00962D7A" w:rsidRDefault="00962D7A" w:rsidP="00962D7A">
      <w:pPr>
        <w:spacing w:before="120" w:after="0" w:line="480" w:lineRule="auto"/>
        <w:rPr>
          <w:rFonts w:ascii="Arial" w:eastAsia="Times New Roman" w:hAnsi="Arial" w:cs="Arial"/>
          <w:b/>
        </w:rPr>
      </w:pPr>
    </w:p>
    <w:p w:rsidR="00962D7A" w:rsidRPr="00962D7A" w:rsidRDefault="00962D7A" w:rsidP="00962D7A">
      <w:pPr>
        <w:spacing w:before="120" w:after="0" w:line="480" w:lineRule="auto"/>
        <w:rPr>
          <w:rFonts w:ascii="Arial" w:eastAsia="Times New Roman" w:hAnsi="Arial" w:cs="Arial"/>
          <w:b/>
        </w:rPr>
      </w:pPr>
    </w:p>
    <w:p w:rsidR="00962D7A" w:rsidRPr="00962D7A" w:rsidRDefault="00962D7A" w:rsidP="00962D7A">
      <w:pPr>
        <w:spacing w:before="120" w:after="0" w:line="480" w:lineRule="auto"/>
        <w:rPr>
          <w:rFonts w:ascii="Arial" w:eastAsia="Times New Roman" w:hAnsi="Arial" w:cs="Arial"/>
          <w:b/>
        </w:rPr>
      </w:pPr>
    </w:p>
    <w:p w:rsidR="00962D7A" w:rsidRPr="00962D7A" w:rsidRDefault="00962D7A" w:rsidP="00962D7A">
      <w:pPr>
        <w:spacing w:before="120" w:after="0" w:line="480" w:lineRule="auto"/>
        <w:rPr>
          <w:rFonts w:ascii="Arial" w:eastAsia="Times New Roman" w:hAnsi="Arial" w:cs="Arial"/>
          <w:b/>
        </w:rPr>
      </w:pPr>
    </w:p>
    <w:p w:rsidR="00962D7A" w:rsidRPr="00962D7A" w:rsidRDefault="00962D7A" w:rsidP="00962D7A">
      <w:pPr>
        <w:spacing w:before="120" w:after="0" w:line="480" w:lineRule="auto"/>
        <w:rPr>
          <w:rFonts w:ascii="Arial" w:eastAsia="Times New Roman" w:hAnsi="Arial" w:cs="Arial"/>
          <w:b/>
        </w:rPr>
      </w:pPr>
    </w:p>
    <w:p w:rsidR="00962D7A" w:rsidRPr="00962D7A" w:rsidRDefault="00962D7A" w:rsidP="00962D7A">
      <w:pPr>
        <w:spacing w:before="120" w:after="0" w:line="480" w:lineRule="auto"/>
        <w:rPr>
          <w:rFonts w:ascii="Arial" w:eastAsia="Times New Roman" w:hAnsi="Arial" w:cs="Arial"/>
          <w:b/>
        </w:rPr>
      </w:pPr>
    </w:p>
    <w:p w:rsidR="00046DE3" w:rsidRDefault="00046DE3"/>
    <w:sectPr w:rsidR="00046DE3" w:rsidSect="00962D7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Microsoft Sans Serif"/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D7A"/>
    <w:rsid w:val="00046DE3"/>
    <w:rsid w:val="00762F3E"/>
    <w:rsid w:val="007B5F3B"/>
    <w:rsid w:val="008313D7"/>
    <w:rsid w:val="00962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556C2"/>
  <w15:chartTrackingRefBased/>
  <w15:docId w15:val="{00C3DDBF-DF65-4093-93FE-45B7D0F10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681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OHSU</Company>
  <LinksUpToDate>false</LinksUpToDate>
  <CharactersWithSpaces>4560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Moataz Reda</dc:creator>
  <cp:keywords/>
  <dc:description/>
  <cp:lastModifiedBy>Moataz Reda</cp:lastModifiedBy>
  <cp:revision>3</cp:revision>
  <dcterms:created xsi:type="dcterms:W3CDTF">2022-02-20T23:18:00Z</dcterms:created>
  <dcterms:modified xsi:type="dcterms:W3CDTF">2022-02-20T23:21:00Z</dcterms:modified>
</cp:coreProperties>
</file>