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EDB8B" w14:textId="77777777" w:rsidR="00E03672" w:rsidRDefault="00E03672" w:rsidP="00E03672">
      <w:pPr>
        <w:pStyle w:val="Heading1"/>
      </w:pPr>
      <w:r>
        <w:t>Preparatory brief:</w:t>
      </w:r>
    </w:p>
    <w:p w14:paraId="05A129CD" w14:textId="24382183" w:rsidR="00D30411" w:rsidRPr="007A3011" w:rsidRDefault="00541BE4" w:rsidP="00E03672">
      <w:pPr>
        <w:pStyle w:val="Heading1"/>
      </w:pPr>
      <w:r w:rsidRPr="007A3011">
        <w:t>Stakeholder consultation</w:t>
      </w:r>
      <w:r w:rsidR="00F27915" w:rsidRPr="007A3011">
        <w:t xml:space="preserve"> </w:t>
      </w:r>
      <w:r w:rsidR="00E03672">
        <w:t xml:space="preserve">on key performance indicators &amp; data landscape for </w:t>
      </w:r>
      <w:r w:rsidR="00D74A14" w:rsidRPr="007A3011">
        <w:t>Healt</w:t>
      </w:r>
      <w:r w:rsidR="00E03672">
        <w:t>h System Performance measurement</w:t>
      </w:r>
      <w:r w:rsidR="00906E34">
        <w:t xml:space="preserve"> in Ireland</w:t>
      </w:r>
    </w:p>
    <w:p w14:paraId="361110EE" w14:textId="77777777" w:rsidR="00E03672" w:rsidRDefault="00E03672" w:rsidP="00CE3E44">
      <w:pPr>
        <w:rPr>
          <w:i/>
        </w:rPr>
      </w:pPr>
    </w:p>
    <w:p w14:paraId="12CD4BB5" w14:textId="00571DFD" w:rsidR="00CE3E44" w:rsidRPr="007A3011" w:rsidRDefault="007E1DC1" w:rsidP="00CE3E44">
      <w:r>
        <w:rPr>
          <w:i/>
        </w:rPr>
        <w:t>August</w:t>
      </w:r>
      <w:r w:rsidR="00590801" w:rsidRPr="000957FE">
        <w:rPr>
          <w:i/>
        </w:rPr>
        <w:t xml:space="preserve"> </w:t>
      </w:r>
      <w:r>
        <w:rPr>
          <w:i/>
        </w:rPr>
        <w:t>12</w:t>
      </w:r>
      <w:r w:rsidR="000957FE" w:rsidRPr="000957FE">
        <w:rPr>
          <w:i/>
          <w:vertAlign w:val="superscript"/>
        </w:rPr>
        <w:t>th</w:t>
      </w:r>
      <w:r w:rsidR="000957FE" w:rsidRPr="000957FE">
        <w:rPr>
          <w:i/>
        </w:rPr>
        <w:t xml:space="preserve"> </w:t>
      </w:r>
      <w:r w:rsidR="00522EF1" w:rsidRPr="000957FE">
        <w:rPr>
          <w:i/>
        </w:rPr>
        <w:t>2020</w:t>
      </w:r>
      <w:r w:rsidR="003D3C35">
        <w:rPr>
          <w:i/>
        </w:rPr>
        <w:t xml:space="preserve"> </w:t>
      </w:r>
    </w:p>
    <w:p w14:paraId="7E90497B" w14:textId="7DDF52AD" w:rsidR="00422EBC" w:rsidRPr="007A3011" w:rsidRDefault="00422EBC" w:rsidP="000C00D1">
      <w:pPr>
        <w:pStyle w:val="Heading2"/>
      </w:pPr>
      <w:r w:rsidRPr="007A3011">
        <w:t>Aim of stakeholder consultation</w:t>
      </w:r>
    </w:p>
    <w:p w14:paraId="7B73B9BE" w14:textId="599254A2" w:rsidR="00422EBC" w:rsidRPr="007A3011" w:rsidRDefault="006A77AC" w:rsidP="00422EBC">
      <w:r w:rsidRPr="007A3011">
        <w:t>Consult the vi</w:t>
      </w:r>
      <w:r w:rsidR="00DF763C" w:rsidRPr="007A3011">
        <w:t>ews and expertise with regards to</w:t>
      </w:r>
      <w:r w:rsidRPr="007A3011">
        <w:t xml:space="preserve"> performance measurement of the</w:t>
      </w:r>
      <w:r w:rsidR="008377ED">
        <w:t xml:space="preserve"> Irish</w:t>
      </w:r>
      <w:r w:rsidRPr="007A3011">
        <w:t xml:space="preserve"> health system’s contributors and beneficiaries to identify key performance indicators and the current and required data landscape</w:t>
      </w:r>
      <w:r w:rsidR="002B2D1A">
        <w:t>, by means of group interviews</w:t>
      </w:r>
      <w:r w:rsidRPr="007A3011">
        <w:t xml:space="preserve">. </w:t>
      </w:r>
    </w:p>
    <w:p w14:paraId="54AC95F3" w14:textId="064CD62C" w:rsidR="00855DB1" w:rsidRPr="007A3011" w:rsidRDefault="00535DE6" w:rsidP="000C00D1">
      <w:pPr>
        <w:pStyle w:val="Heading2"/>
      </w:pPr>
      <w:r>
        <w:t>Recall b</w:t>
      </w:r>
      <w:r w:rsidR="00892916" w:rsidRPr="007A3011">
        <w:t xml:space="preserve">ackground of </w:t>
      </w:r>
      <w:r w:rsidR="00855DB1" w:rsidRPr="007A3011">
        <w:t>the project ‘Performance Accountability for the Irish Health System’</w:t>
      </w:r>
    </w:p>
    <w:p w14:paraId="1732DC78" w14:textId="54BA1F8D" w:rsidR="00855DB1" w:rsidRPr="007A3011" w:rsidRDefault="00855DB1" w:rsidP="00855DB1">
      <w:r w:rsidRPr="007A3011">
        <w:t xml:space="preserve">The Department of Health of Ireland requested the support of the European Commission’s Structural Reform Support Service (SRSS) for the development of </w:t>
      </w:r>
      <w:proofErr w:type="gramStart"/>
      <w:r w:rsidRPr="007A3011">
        <w:t>an</w:t>
      </w:r>
      <w:proofErr w:type="gramEnd"/>
      <w:r w:rsidRPr="007A3011">
        <w:t xml:space="preserve"> Health System Performance Assessment framework. The SRSS entails a programme of the European Commission that provides funding and expertise to support countries undergoing reforms. This request was approved and in September 2019 the project ‘Performance accountability for the Irish health system’ was launched, led by a research team of the Academic Medical Centre of the University of Amsterdam.</w:t>
      </w:r>
      <w:r w:rsidR="00892916" w:rsidRPr="007A3011">
        <w:t xml:space="preserve"> </w:t>
      </w:r>
    </w:p>
    <w:p w14:paraId="77CC6CED" w14:textId="27BE2B46" w:rsidR="00855DB1" w:rsidRPr="007A3011" w:rsidRDefault="00855DB1" w:rsidP="00855DB1"/>
    <w:p w14:paraId="3FB96841" w14:textId="2588AD9B" w:rsidR="00855DB1" w:rsidRPr="007A3011" w:rsidRDefault="00855DB1" w:rsidP="00855DB1">
      <w:r w:rsidRPr="007A3011">
        <w:t>The project’s aims are to:</w:t>
      </w:r>
    </w:p>
    <w:p w14:paraId="0778CA9C" w14:textId="5C6360A8" w:rsidR="00855DB1" w:rsidRPr="007A3011" w:rsidRDefault="00320A7C" w:rsidP="00C34E60">
      <w:pPr>
        <w:pStyle w:val="ListParagraph"/>
        <w:numPr>
          <w:ilvl w:val="0"/>
          <w:numId w:val="6"/>
        </w:numPr>
        <w:spacing w:line="276" w:lineRule="auto"/>
        <w:ind w:left="714" w:hanging="357"/>
        <w:rPr>
          <w:lang w:val="en-IE"/>
        </w:rPr>
      </w:pPr>
      <w:r w:rsidRPr="007A3011">
        <w:rPr>
          <w:b/>
          <w:sz w:val="22"/>
          <w:szCs w:val="22"/>
          <w:lang w:val="en-IE"/>
        </w:rPr>
        <w:t>p</w:t>
      </w:r>
      <w:r w:rsidR="00855DB1" w:rsidRPr="007A3011">
        <w:rPr>
          <w:b/>
          <w:sz w:val="22"/>
          <w:szCs w:val="22"/>
          <w:lang w:val="en-IE"/>
        </w:rPr>
        <w:t>rovide a framework</w:t>
      </w:r>
      <w:r w:rsidR="00855DB1" w:rsidRPr="007A3011">
        <w:rPr>
          <w:sz w:val="22"/>
          <w:szCs w:val="22"/>
          <w:lang w:val="en-IE"/>
        </w:rPr>
        <w:t xml:space="preserve"> for health system performance assessment with a method for</w:t>
      </w:r>
      <w:r w:rsidR="002535EF" w:rsidRPr="007A3011">
        <w:rPr>
          <w:sz w:val="22"/>
          <w:szCs w:val="22"/>
          <w:lang w:val="en-IE"/>
        </w:rPr>
        <w:t xml:space="preserve"> </w:t>
      </w:r>
      <w:r w:rsidR="00855DB1" w:rsidRPr="007A3011">
        <w:rPr>
          <w:sz w:val="22"/>
          <w:szCs w:val="22"/>
          <w:lang w:val="en-IE"/>
        </w:rPr>
        <w:t>the collection, collation</w:t>
      </w:r>
      <w:r w:rsidR="008D075D" w:rsidRPr="007A3011">
        <w:rPr>
          <w:sz w:val="22"/>
          <w:szCs w:val="22"/>
          <w:lang w:val="en-IE"/>
        </w:rPr>
        <w:t>, and analysis of robust health outcomes data around key performance indicators in the Irish health system;</w:t>
      </w:r>
    </w:p>
    <w:p w14:paraId="5A77BFA5" w14:textId="2EBB4D64" w:rsidR="008D075D" w:rsidRPr="007A3011" w:rsidRDefault="00320A7C" w:rsidP="00C34E60">
      <w:pPr>
        <w:pStyle w:val="ListParagraph"/>
        <w:numPr>
          <w:ilvl w:val="0"/>
          <w:numId w:val="6"/>
        </w:numPr>
        <w:spacing w:line="276" w:lineRule="auto"/>
        <w:ind w:left="714" w:hanging="357"/>
        <w:rPr>
          <w:lang w:val="en-IE"/>
        </w:rPr>
      </w:pPr>
      <w:r w:rsidRPr="007A3011">
        <w:rPr>
          <w:b/>
          <w:sz w:val="22"/>
          <w:szCs w:val="22"/>
          <w:lang w:val="en-IE"/>
        </w:rPr>
        <w:t>p</w:t>
      </w:r>
      <w:r w:rsidR="008D075D" w:rsidRPr="007A3011">
        <w:rPr>
          <w:b/>
          <w:sz w:val="22"/>
          <w:szCs w:val="22"/>
          <w:lang w:val="en-IE"/>
        </w:rPr>
        <w:t xml:space="preserve">rovide modules </w:t>
      </w:r>
      <w:r w:rsidR="008D075D" w:rsidRPr="007A3011">
        <w:rPr>
          <w:sz w:val="22"/>
          <w:szCs w:val="22"/>
          <w:lang w:val="en-IE"/>
        </w:rPr>
        <w:t>within the health system performance assessment framework with measurable and quantifiable outcomes-based indicators that are linked to relevant health policies and strategies, enabling the integration of policy and reforms into a broader view of performance;</w:t>
      </w:r>
    </w:p>
    <w:p w14:paraId="20A54F2C" w14:textId="3088A0CD" w:rsidR="00892916" w:rsidRPr="007A3011" w:rsidRDefault="00320A7C" w:rsidP="00855DB1">
      <w:pPr>
        <w:pStyle w:val="ListParagraph"/>
        <w:numPr>
          <w:ilvl w:val="0"/>
          <w:numId w:val="6"/>
        </w:numPr>
        <w:spacing w:line="276" w:lineRule="auto"/>
        <w:ind w:left="714" w:hanging="357"/>
        <w:rPr>
          <w:lang w:val="en-IE"/>
        </w:rPr>
      </w:pPr>
      <w:r w:rsidRPr="007A3011">
        <w:rPr>
          <w:b/>
          <w:sz w:val="22"/>
          <w:szCs w:val="22"/>
          <w:lang w:val="en-IE"/>
        </w:rPr>
        <w:t>e</w:t>
      </w:r>
      <w:r w:rsidR="008D075D" w:rsidRPr="007A3011">
        <w:rPr>
          <w:b/>
          <w:sz w:val="22"/>
          <w:szCs w:val="22"/>
          <w:lang w:val="en-IE"/>
        </w:rPr>
        <w:t xml:space="preserve">nhance the capacity </w:t>
      </w:r>
      <w:r w:rsidR="008D075D" w:rsidRPr="007A3011">
        <w:rPr>
          <w:sz w:val="22"/>
          <w:szCs w:val="22"/>
          <w:lang w:val="en-IE"/>
        </w:rPr>
        <w:t xml:space="preserve">of the Irish authorities to produce the first HSPA report. </w:t>
      </w:r>
    </w:p>
    <w:p w14:paraId="7303E197" w14:textId="019E9819" w:rsidR="004A43E4" w:rsidRDefault="00535DE6" w:rsidP="000C00D1">
      <w:pPr>
        <w:pStyle w:val="Heading2"/>
      </w:pPr>
      <w:r>
        <w:t>Stakeholder engagement during the p</w:t>
      </w:r>
      <w:r w:rsidR="007152C1" w:rsidRPr="007A3011">
        <w:t>roject phases</w:t>
      </w:r>
    </w:p>
    <w:p w14:paraId="499AACF7" w14:textId="5B6ADF15" w:rsidR="00535DE6" w:rsidRDefault="00535DE6" w:rsidP="00535DE6">
      <w:r>
        <w:t xml:space="preserve">Throughout the project, stakeholders are engaged in all development phases to ensure solid grounding of performance measurement within the health system. The first phase encompassed stakeholder panels, to prioritize the focus of the HSPA framework. In the </w:t>
      </w:r>
      <w:r w:rsidR="004C024D">
        <w:t>current</w:t>
      </w:r>
      <w:r>
        <w:t xml:space="preserve"> phases II and III,</w:t>
      </w:r>
      <w:r w:rsidR="004C024D">
        <w:t xml:space="preserve"> that are conducted in parallel,</w:t>
      </w:r>
      <w:r>
        <w:t xml:space="preserve"> stakeholders are consulted</w:t>
      </w:r>
      <w:r w:rsidR="000957FE">
        <w:t xml:space="preserve"> </w:t>
      </w:r>
      <w:r w:rsidR="00EB18A2">
        <w:t>by means of</w:t>
      </w:r>
      <w:r w:rsidR="000957FE">
        <w:t xml:space="preserve"> group interviews</w:t>
      </w:r>
      <w:r>
        <w:t xml:space="preserve"> to inform population of the HSPA framework with indicators and identify availability and fitness for use of </w:t>
      </w:r>
      <w:r w:rsidR="004C024D">
        <w:t>data sources</w:t>
      </w:r>
      <w:r>
        <w:t>.</w:t>
      </w:r>
      <w:r w:rsidR="00503D66">
        <w:t xml:space="preserve"> </w:t>
      </w:r>
      <w:r w:rsidR="00997BD0">
        <w:t xml:space="preserve"> </w:t>
      </w:r>
    </w:p>
    <w:p w14:paraId="48DF23CD" w14:textId="21EA9779" w:rsidR="00183DEF" w:rsidRDefault="00183DEF">
      <w:pPr>
        <w:spacing w:after="160" w:line="259" w:lineRule="auto"/>
      </w:pPr>
      <w:r>
        <w:br w:type="page"/>
      </w:r>
    </w:p>
    <w:tbl>
      <w:tblPr>
        <w:tblStyle w:val="TableGrid"/>
        <w:tblW w:w="9351" w:type="dxa"/>
        <w:tblLook w:val="04A0" w:firstRow="1" w:lastRow="0" w:firstColumn="1" w:lastColumn="0" w:noHBand="0" w:noVBand="1"/>
      </w:tblPr>
      <w:tblGrid>
        <w:gridCol w:w="4531"/>
        <w:gridCol w:w="4820"/>
      </w:tblGrid>
      <w:tr w:rsidR="005F6DAB" w:rsidRPr="007A3011" w14:paraId="635F3D71" w14:textId="77777777" w:rsidTr="00E94088">
        <w:tc>
          <w:tcPr>
            <w:tcW w:w="4531" w:type="dxa"/>
          </w:tcPr>
          <w:p w14:paraId="2C28CC9F" w14:textId="4CFB7145" w:rsidR="005F6DAB" w:rsidRPr="007A3011" w:rsidRDefault="005F6DAB" w:rsidP="006219EF">
            <w:pPr>
              <w:rPr>
                <w:sz w:val="20"/>
              </w:rPr>
            </w:pPr>
            <w:r w:rsidRPr="007A3011">
              <w:rPr>
                <w:sz w:val="20"/>
              </w:rPr>
              <w:lastRenderedPageBreak/>
              <w:t>Phase I: Developing the focus of the HSPA framework and performance reporting</w:t>
            </w:r>
          </w:p>
        </w:tc>
        <w:tc>
          <w:tcPr>
            <w:tcW w:w="4820" w:type="dxa"/>
          </w:tcPr>
          <w:p w14:paraId="2A571851" w14:textId="77777777" w:rsidR="005F6DAB" w:rsidRPr="007A3011" w:rsidRDefault="005F6DAB" w:rsidP="006219EF">
            <w:pPr>
              <w:rPr>
                <w:sz w:val="20"/>
              </w:rPr>
            </w:pPr>
            <w:r w:rsidRPr="007A3011">
              <w:rPr>
                <w:sz w:val="20"/>
              </w:rPr>
              <w:t>Kick-off meeting</w:t>
            </w:r>
          </w:p>
          <w:p w14:paraId="0A385465" w14:textId="77777777" w:rsidR="005F6DAB" w:rsidRPr="007A3011" w:rsidRDefault="005F6DAB" w:rsidP="006219EF">
            <w:pPr>
              <w:rPr>
                <w:sz w:val="20"/>
              </w:rPr>
            </w:pPr>
            <w:r w:rsidRPr="007A3011">
              <w:rPr>
                <w:sz w:val="20"/>
              </w:rPr>
              <w:t>Literature review</w:t>
            </w:r>
          </w:p>
          <w:p w14:paraId="19B1BCC5" w14:textId="77777777" w:rsidR="005F6DAB" w:rsidRPr="007A3011" w:rsidRDefault="005F6DAB" w:rsidP="006219EF">
            <w:pPr>
              <w:rPr>
                <w:sz w:val="20"/>
              </w:rPr>
            </w:pPr>
            <w:r w:rsidRPr="007A3011">
              <w:rPr>
                <w:sz w:val="20"/>
              </w:rPr>
              <w:t>Citizen panel</w:t>
            </w:r>
          </w:p>
          <w:p w14:paraId="0FFAE9D6" w14:textId="77777777" w:rsidR="005F6DAB" w:rsidRPr="007A3011" w:rsidRDefault="005F6DAB" w:rsidP="006219EF">
            <w:pPr>
              <w:rPr>
                <w:sz w:val="20"/>
              </w:rPr>
            </w:pPr>
            <w:r w:rsidRPr="007A3011">
              <w:rPr>
                <w:sz w:val="20"/>
              </w:rPr>
              <w:t>Internal stakeholder panel</w:t>
            </w:r>
          </w:p>
          <w:p w14:paraId="37449BEE" w14:textId="421F30AD" w:rsidR="005F6DAB" w:rsidRPr="007A3011" w:rsidRDefault="005F6DAB" w:rsidP="006219EF">
            <w:pPr>
              <w:rPr>
                <w:sz w:val="20"/>
              </w:rPr>
            </w:pPr>
            <w:r w:rsidRPr="007A3011">
              <w:rPr>
                <w:b/>
                <w:sz w:val="20"/>
              </w:rPr>
              <w:t>External stakeholder panel</w:t>
            </w:r>
            <w:r w:rsidR="00E94088" w:rsidRPr="007A3011">
              <w:rPr>
                <w:b/>
                <w:sz w:val="20"/>
              </w:rPr>
              <w:t xml:space="preserve"> (31 January 2020)</w:t>
            </w:r>
          </w:p>
          <w:p w14:paraId="343EAC28" w14:textId="2E64162E" w:rsidR="005F6DAB" w:rsidRPr="007A3011" w:rsidRDefault="005F6DAB" w:rsidP="006219EF">
            <w:pPr>
              <w:rPr>
                <w:sz w:val="20"/>
              </w:rPr>
            </w:pPr>
            <w:r w:rsidRPr="007A3011">
              <w:rPr>
                <w:sz w:val="20"/>
              </w:rPr>
              <w:t>Policy document review</w:t>
            </w:r>
          </w:p>
        </w:tc>
      </w:tr>
      <w:tr w:rsidR="005F6DAB" w:rsidRPr="007A3011" w14:paraId="4E093B69" w14:textId="77777777" w:rsidTr="00E94088">
        <w:tc>
          <w:tcPr>
            <w:tcW w:w="4531" w:type="dxa"/>
          </w:tcPr>
          <w:p w14:paraId="57C4F9C2" w14:textId="7FF2F75A" w:rsidR="005F6DAB" w:rsidRPr="007A3011" w:rsidRDefault="007E6412" w:rsidP="006219EF">
            <w:pPr>
              <w:rPr>
                <w:sz w:val="20"/>
              </w:rPr>
            </w:pPr>
            <w:r w:rsidRPr="007A3011">
              <w:rPr>
                <w:sz w:val="20"/>
              </w:rPr>
              <w:t>Phase II: Assessment of the Health Information System in Ireland</w:t>
            </w:r>
          </w:p>
        </w:tc>
        <w:tc>
          <w:tcPr>
            <w:tcW w:w="4820" w:type="dxa"/>
          </w:tcPr>
          <w:p w14:paraId="211237E5" w14:textId="77777777" w:rsidR="005F6DAB" w:rsidRPr="007A3011" w:rsidRDefault="007E6412" w:rsidP="006219EF">
            <w:pPr>
              <w:rPr>
                <w:sz w:val="20"/>
              </w:rPr>
            </w:pPr>
            <w:r w:rsidRPr="007A3011">
              <w:rPr>
                <w:sz w:val="20"/>
              </w:rPr>
              <w:t>Desk research</w:t>
            </w:r>
          </w:p>
          <w:p w14:paraId="3AAE5BEC" w14:textId="707C4156" w:rsidR="007E6412" w:rsidRPr="007A3011" w:rsidRDefault="000957FE" w:rsidP="000957FE">
            <w:pPr>
              <w:rPr>
                <w:b/>
                <w:sz w:val="20"/>
              </w:rPr>
            </w:pPr>
            <w:r>
              <w:rPr>
                <w:b/>
                <w:sz w:val="20"/>
              </w:rPr>
              <w:t>Consultation round through i</w:t>
            </w:r>
            <w:r w:rsidR="007E6412" w:rsidRPr="007A3011">
              <w:rPr>
                <w:b/>
                <w:sz w:val="20"/>
              </w:rPr>
              <w:t>nterviews</w:t>
            </w:r>
          </w:p>
        </w:tc>
      </w:tr>
      <w:tr w:rsidR="005F6DAB" w:rsidRPr="007A3011" w14:paraId="3F3CC642" w14:textId="77777777" w:rsidTr="00E94088">
        <w:tc>
          <w:tcPr>
            <w:tcW w:w="4531" w:type="dxa"/>
          </w:tcPr>
          <w:p w14:paraId="5338FA58" w14:textId="0B279F00" w:rsidR="005F6DAB" w:rsidRPr="007A3011" w:rsidRDefault="007E6412" w:rsidP="006219EF">
            <w:pPr>
              <w:rPr>
                <w:sz w:val="20"/>
              </w:rPr>
            </w:pPr>
            <w:r w:rsidRPr="007A3011">
              <w:rPr>
                <w:sz w:val="20"/>
              </w:rPr>
              <w:t>Phase III: Identify domains and indicators based on best practices &amp; priorities</w:t>
            </w:r>
          </w:p>
        </w:tc>
        <w:tc>
          <w:tcPr>
            <w:tcW w:w="4820" w:type="dxa"/>
          </w:tcPr>
          <w:p w14:paraId="11A0F2ED" w14:textId="77777777" w:rsidR="005F6DAB" w:rsidRPr="007A3011" w:rsidRDefault="007E6412" w:rsidP="006219EF">
            <w:pPr>
              <w:rPr>
                <w:sz w:val="20"/>
              </w:rPr>
            </w:pPr>
            <w:r w:rsidRPr="007A3011">
              <w:rPr>
                <w:sz w:val="20"/>
              </w:rPr>
              <w:t>Literature &amp; policy document review</w:t>
            </w:r>
          </w:p>
          <w:p w14:paraId="4BE8DB95" w14:textId="0E92A094" w:rsidR="007E6412" w:rsidRPr="007A3011" w:rsidRDefault="000957FE" w:rsidP="006219EF">
            <w:pPr>
              <w:rPr>
                <w:b/>
                <w:sz w:val="20"/>
              </w:rPr>
            </w:pPr>
            <w:r>
              <w:rPr>
                <w:b/>
                <w:sz w:val="20"/>
              </w:rPr>
              <w:t>Consultation round through i</w:t>
            </w:r>
            <w:r w:rsidRPr="007A3011">
              <w:rPr>
                <w:b/>
                <w:sz w:val="20"/>
              </w:rPr>
              <w:t>nterviews</w:t>
            </w:r>
          </w:p>
        </w:tc>
      </w:tr>
      <w:tr w:rsidR="005F6DAB" w:rsidRPr="007A3011" w14:paraId="7F5D8595" w14:textId="77777777" w:rsidTr="00E94088">
        <w:tc>
          <w:tcPr>
            <w:tcW w:w="4531" w:type="dxa"/>
          </w:tcPr>
          <w:p w14:paraId="198EB7BB" w14:textId="55A14806" w:rsidR="005F6DAB" w:rsidRPr="007A3011" w:rsidRDefault="007E6412" w:rsidP="007E6412">
            <w:pPr>
              <w:rPr>
                <w:sz w:val="20"/>
              </w:rPr>
            </w:pPr>
            <w:r w:rsidRPr="007A3011">
              <w:rPr>
                <w:sz w:val="20"/>
              </w:rPr>
              <w:t>Phase IV: Definition of subsets of indicators for assessing specific policies</w:t>
            </w:r>
          </w:p>
        </w:tc>
        <w:tc>
          <w:tcPr>
            <w:tcW w:w="4820" w:type="dxa"/>
          </w:tcPr>
          <w:p w14:paraId="050ED5DF" w14:textId="77777777" w:rsidR="00292FD0" w:rsidRPr="007A3011" w:rsidRDefault="00292FD0" w:rsidP="00292FD0">
            <w:pPr>
              <w:rPr>
                <w:sz w:val="20"/>
              </w:rPr>
            </w:pPr>
            <w:r w:rsidRPr="007A3011">
              <w:rPr>
                <w:sz w:val="20"/>
              </w:rPr>
              <w:t>Literature &amp; policy document review</w:t>
            </w:r>
          </w:p>
          <w:p w14:paraId="132B4E0A" w14:textId="66C4D943" w:rsidR="005F6DAB" w:rsidRPr="007A3011" w:rsidRDefault="000957FE" w:rsidP="00292FD0">
            <w:pPr>
              <w:rPr>
                <w:b/>
                <w:sz w:val="20"/>
              </w:rPr>
            </w:pPr>
            <w:r>
              <w:rPr>
                <w:b/>
                <w:sz w:val="20"/>
              </w:rPr>
              <w:t>Consultation round through i</w:t>
            </w:r>
            <w:r w:rsidRPr="007A3011">
              <w:rPr>
                <w:b/>
                <w:sz w:val="20"/>
              </w:rPr>
              <w:t>nterviews</w:t>
            </w:r>
          </w:p>
        </w:tc>
      </w:tr>
      <w:tr w:rsidR="005F6DAB" w:rsidRPr="007A3011" w14:paraId="1D32EF7D" w14:textId="77777777" w:rsidTr="00E94088">
        <w:tc>
          <w:tcPr>
            <w:tcW w:w="4531" w:type="dxa"/>
          </w:tcPr>
          <w:p w14:paraId="41DAAEEC" w14:textId="605F318D" w:rsidR="005F6DAB" w:rsidRPr="007A3011" w:rsidRDefault="007E6412" w:rsidP="006219EF">
            <w:pPr>
              <w:rPr>
                <w:sz w:val="20"/>
              </w:rPr>
            </w:pPr>
            <w:r w:rsidRPr="007A3011">
              <w:rPr>
                <w:sz w:val="20"/>
              </w:rPr>
              <w:t>Phase V: Action plan and pilot presentation of sample indicators</w:t>
            </w:r>
          </w:p>
        </w:tc>
        <w:tc>
          <w:tcPr>
            <w:tcW w:w="4820" w:type="dxa"/>
          </w:tcPr>
          <w:p w14:paraId="7D756F12" w14:textId="74E8B022" w:rsidR="005F6DAB" w:rsidRPr="007A3011" w:rsidRDefault="00292FD0" w:rsidP="006219EF">
            <w:pPr>
              <w:rPr>
                <w:sz w:val="20"/>
              </w:rPr>
            </w:pPr>
            <w:r w:rsidRPr="007A3011">
              <w:rPr>
                <w:sz w:val="20"/>
              </w:rPr>
              <w:t>Synthesis of the outputs from previous phases</w:t>
            </w:r>
          </w:p>
        </w:tc>
      </w:tr>
    </w:tbl>
    <w:p w14:paraId="65AB693F" w14:textId="19A7E3DB" w:rsidR="006219EF" w:rsidRPr="007A3011" w:rsidRDefault="006219EF" w:rsidP="006219EF"/>
    <w:p w14:paraId="33D50C0E" w14:textId="6680A36D" w:rsidR="005F6DAB" w:rsidRPr="007A3011" w:rsidRDefault="00F503C9" w:rsidP="000C00D1">
      <w:pPr>
        <w:pStyle w:val="Heading2"/>
      </w:pPr>
      <w:r>
        <w:rPr>
          <w:noProof/>
          <w:lang w:val="nl-NL" w:eastAsia="nl-NL"/>
        </w:rPr>
        <w:drawing>
          <wp:anchor distT="0" distB="0" distL="114300" distR="114300" simplePos="0" relativeHeight="251660288" behindDoc="0" locked="0" layoutInCell="1" allowOverlap="1" wp14:anchorId="2794835B" wp14:editId="52214EE3">
            <wp:simplePos x="0" y="0"/>
            <wp:positionH relativeFrom="page">
              <wp:align>center</wp:align>
            </wp:positionH>
            <wp:positionV relativeFrom="paragraph">
              <wp:posOffset>442595</wp:posOffset>
            </wp:positionV>
            <wp:extent cx="6588000" cy="3704400"/>
            <wp:effectExtent l="0" t="0" r="381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7.26_Domains_MappingByPanel EB.tif"/>
                    <pic:cNvPicPr/>
                  </pic:nvPicPr>
                  <pic:blipFill>
                    <a:blip r:embed="rId8">
                      <a:extLst>
                        <a:ext uri="{28A0092B-C50C-407E-A947-70E740481C1C}">
                          <a14:useLocalDpi xmlns:a14="http://schemas.microsoft.com/office/drawing/2010/main" val="0"/>
                        </a:ext>
                      </a:extLst>
                    </a:blip>
                    <a:stretch>
                      <a:fillRect/>
                    </a:stretch>
                  </pic:blipFill>
                  <pic:spPr>
                    <a:xfrm>
                      <a:off x="0" y="0"/>
                      <a:ext cx="6588000" cy="3704400"/>
                    </a:xfrm>
                    <a:prstGeom prst="rect">
                      <a:avLst/>
                    </a:prstGeom>
                  </pic:spPr>
                </pic:pic>
              </a:graphicData>
            </a:graphic>
            <wp14:sizeRelH relativeFrom="margin">
              <wp14:pctWidth>0</wp14:pctWidth>
            </wp14:sizeRelH>
            <wp14:sizeRelV relativeFrom="margin">
              <wp14:pctHeight>0</wp14:pctHeight>
            </wp14:sizeRelV>
          </wp:anchor>
        </w:drawing>
      </w:r>
      <w:r w:rsidR="005F6DAB" w:rsidRPr="007A3011">
        <w:t>Output phase I panels</w:t>
      </w:r>
    </w:p>
    <w:p w14:paraId="0DB5DED5" w14:textId="3C8F74CD" w:rsidR="009F706E" w:rsidRPr="007A3011" w:rsidRDefault="009F706E" w:rsidP="005F6DAB"/>
    <w:p w14:paraId="57DCAB3D" w14:textId="45C2BB48" w:rsidR="00D33B88" w:rsidRPr="007A3011" w:rsidRDefault="00503D66" w:rsidP="00D33B88">
      <w:r>
        <w:t>The first phase encompassed three pane</w:t>
      </w:r>
      <w:r w:rsidR="00CA470F">
        <w:t>ls, that were consulted on the priorities of health system performance</w:t>
      </w:r>
      <w:r w:rsidR="00D757E0">
        <w:t xml:space="preserve"> in Ireland</w:t>
      </w:r>
      <w:r w:rsidR="00CA470F">
        <w:t xml:space="preserve">. </w:t>
      </w:r>
      <w:r w:rsidR="00D33B88" w:rsidRPr="007A3011">
        <w:t>The</w:t>
      </w:r>
      <w:r>
        <w:t>se</w:t>
      </w:r>
      <w:r w:rsidR="00D33B88" w:rsidRPr="007A3011">
        <w:t xml:space="preserve"> panels yielded similar domains, that were prioritised somewhat differently across the panels. </w:t>
      </w:r>
      <w:r w:rsidR="00F03512" w:rsidRPr="007A3011">
        <w:t>T</w:t>
      </w:r>
      <w:r w:rsidR="00D33B88" w:rsidRPr="007A3011">
        <w:t>he ‘</w:t>
      </w:r>
      <w:r w:rsidR="006B6A4B">
        <w:t>external stakeholder’</w:t>
      </w:r>
      <w:r w:rsidR="00D33B88" w:rsidRPr="007A3011">
        <w:t xml:space="preserve"> column shows the outputs from the external stakeholder panel in which</w:t>
      </w:r>
      <w:r w:rsidR="00614973" w:rsidRPr="007A3011">
        <w:t xml:space="preserve"> medical councils, professional associations, academia and other special interest groups participated. </w:t>
      </w:r>
    </w:p>
    <w:p w14:paraId="7ECC3813" w14:textId="643B73F7" w:rsidR="007152C1" w:rsidRPr="007A3011" w:rsidRDefault="005F6DAB" w:rsidP="000C00D1">
      <w:pPr>
        <w:pStyle w:val="Heading2"/>
      </w:pPr>
      <w:r w:rsidRPr="007A3011">
        <w:lastRenderedPageBreak/>
        <w:t>HSPA framework</w:t>
      </w:r>
    </w:p>
    <w:p w14:paraId="0FDEEF1B" w14:textId="17144D7C" w:rsidR="005F6DAB" w:rsidRPr="007A3011" w:rsidRDefault="001D72B4" w:rsidP="005F6DAB">
      <w:r w:rsidRPr="007A3011">
        <w:t xml:space="preserve">Phase I resulted in a tentative HSPA Framework that was discussed with the Department of Health and an International Advisory Board of HSPA experts. The </w:t>
      </w:r>
      <w:r w:rsidR="00C53CC6" w:rsidRPr="007A3011">
        <w:t xml:space="preserve">framework incorporates </w:t>
      </w:r>
      <w:r w:rsidR="00943325" w:rsidRPr="007A3011">
        <w:t>16</w:t>
      </w:r>
      <w:r w:rsidR="00C53CC6" w:rsidRPr="007A3011">
        <w:t xml:space="preserve"> high-level domains for performance measurement. </w:t>
      </w:r>
      <w:r w:rsidR="00943325" w:rsidRPr="007A3011">
        <w:t xml:space="preserve">The domains are grouped into structure, process, outputs, health outcomes and cross-cutting domains. </w:t>
      </w:r>
      <w:r w:rsidR="00B932CD" w:rsidRPr="007A3011">
        <w:t>At the bottom of the framework</w:t>
      </w:r>
      <w:r w:rsidR="00E37F92" w:rsidRPr="007A3011">
        <w:t xml:space="preserve">, the red arrows </w:t>
      </w:r>
      <w:r w:rsidR="00B932CD" w:rsidRPr="007A3011">
        <w:t xml:space="preserve">represent </w:t>
      </w:r>
      <w:r w:rsidR="00E37F92" w:rsidRPr="007A3011">
        <w:t>the non-healthcare determinants</w:t>
      </w:r>
      <w:r w:rsidR="00B932CD" w:rsidRPr="007A3011">
        <w:t>, such as housing and environmental influences,</w:t>
      </w:r>
      <w:r w:rsidR="00E37F92" w:rsidRPr="007A3011">
        <w:t xml:space="preserve"> affecting the health system and its outcomes. </w:t>
      </w:r>
      <w:r w:rsidR="00C53CC6" w:rsidRPr="007A3011">
        <w:t xml:space="preserve">Six modules of service delivery are included in an overlay </w:t>
      </w:r>
      <w:r w:rsidR="00A1341C" w:rsidRPr="007A3011">
        <w:t xml:space="preserve">that can be </w:t>
      </w:r>
      <w:r w:rsidR="00966E6A" w:rsidRPr="007A3011">
        <w:t>supplemented</w:t>
      </w:r>
      <w:r w:rsidR="00A1341C" w:rsidRPr="007A3011">
        <w:t xml:space="preserve"> onto the performance domains.</w:t>
      </w:r>
      <w:r w:rsidR="00C53CC6" w:rsidRPr="007A3011">
        <w:t xml:space="preserve"> </w:t>
      </w:r>
    </w:p>
    <w:p w14:paraId="30D6A11B" w14:textId="27E0128E" w:rsidR="005F6DAB" w:rsidRPr="007A3011" w:rsidRDefault="005F6DAB" w:rsidP="005F6DAB">
      <w:pPr>
        <w:pStyle w:val="Heading3"/>
      </w:pPr>
      <w:r w:rsidRPr="007A3011">
        <w:t>Purpose(s) of the HSPA Framework</w:t>
      </w:r>
    </w:p>
    <w:p w14:paraId="5A3491F3" w14:textId="2E7D7582" w:rsidR="005F6DAB" w:rsidRPr="007A3011" w:rsidRDefault="00047D16" w:rsidP="005F6DAB">
      <w:r w:rsidRPr="007A3011">
        <w:t>The purposes of the HSPA framework are threefold:</w:t>
      </w:r>
    </w:p>
    <w:p w14:paraId="008B676E" w14:textId="0F5CDCE8" w:rsidR="00062D8B" w:rsidRPr="007A3011" w:rsidRDefault="00062D8B" w:rsidP="00062D8B">
      <w:pPr>
        <w:pStyle w:val="ListParagraph"/>
        <w:numPr>
          <w:ilvl w:val="0"/>
          <w:numId w:val="6"/>
        </w:numPr>
        <w:spacing w:line="276" w:lineRule="auto"/>
        <w:ind w:left="714" w:hanging="357"/>
        <w:rPr>
          <w:lang w:val="en-IE"/>
        </w:rPr>
      </w:pPr>
      <w:r w:rsidRPr="007A3011">
        <w:rPr>
          <w:b/>
          <w:sz w:val="22"/>
          <w:szCs w:val="22"/>
          <w:lang w:val="en-IE"/>
        </w:rPr>
        <w:t>To measure</w:t>
      </w:r>
      <w:r w:rsidRPr="007A3011">
        <w:rPr>
          <w:sz w:val="22"/>
          <w:szCs w:val="22"/>
          <w:lang w:val="en-IE"/>
        </w:rPr>
        <w:t xml:space="preserve"> performance of the delivery system (health and social services).</w:t>
      </w:r>
    </w:p>
    <w:p w14:paraId="0327EC8B" w14:textId="66DD524D" w:rsidR="00062D8B" w:rsidRPr="007A3011" w:rsidRDefault="00062D8B" w:rsidP="00062D8B">
      <w:pPr>
        <w:pStyle w:val="ListParagraph"/>
        <w:numPr>
          <w:ilvl w:val="0"/>
          <w:numId w:val="6"/>
        </w:numPr>
        <w:spacing w:line="276" w:lineRule="auto"/>
        <w:ind w:left="714" w:hanging="357"/>
        <w:rPr>
          <w:lang w:val="en-IE"/>
        </w:rPr>
      </w:pPr>
      <w:r w:rsidRPr="007A3011">
        <w:rPr>
          <w:b/>
          <w:sz w:val="22"/>
          <w:szCs w:val="22"/>
          <w:lang w:val="en-IE"/>
        </w:rPr>
        <w:t>To provide information (accountability)</w:t>
      </w:r>
      <w:r w:rsidRPr="007A3011">
        <w:rPr>
          <w:sz w:val="22"/>
          <w:szCs w:val="22"/>
          <w:lang w:val="en-IE"/>
        </w:rPr>
        <w:t xml:space="preserve"> to the public regarding the effectiveness of policies and strategies of the DoH and HSE on overall population health;</w:t>
      </w:r>
    </w:p>
    <w:p w14:paraId="53AB457D" w14:textId="1446D05C" w:rsidR="00062D8B" w:rsidRPr="007A3011" w:rsidRDefault="00062D8B" w:rsidP="00062D8B">
      <w:pPr>
        <w:pStyle w:val="ListParagraph"/>
        <w:numPr>
          <w:ilvl w:val="0"/>
          <w:numId w:val="6"/>
        </w:numPr>
        <w:spacing w:line="276" w:lineRule="auto"/>
        <w:ind w:left="714" w:hanging="357"/>
        <w:rPr>
          <w:lang w:val="en-IE"/>
        </w:rPr>
      </w:pPr>
      <w:r w:rsidRPr="007A3011">
        <w:rPr>
          <w:b/>
          <w:sz w:val="22"/>
          <w:szCs w:val="22"/>
          <w:lang w:val="en-IE"/>
        </w:rPr>
        <w:t>To monitor</w:t>
      </w:r>
      <w:r w:rsidRPr="007A3011">
        <w:rPr>
          <w:sz w:val="22"/>
          <w:szCs w:val="22"/>
          <w:lang w:val="en-IE"/>
        </w:rPr>
        <w:t xml:space="preserve"> the progress of the Sláintecare reform to enable evaluation of the priority areas of the reform and ensure that the healthcare system is more responsive to the needs of the population. </w:t>
      </w:r>
    </w:p>
    <w:p w14:paraId="6812E9B4" w14:textId="6FA89D99" w:rsidR="005F6DAB" w:rsidRPr="007A3011" w:rsidRDefault="005F6DAB" w:rsidP="00062D8B">
      <w:pPr>
        <w:pStyle w:val="Heading3"/>
      </w:pPr>
      <w:r w:rsidRPr="007A3011">
        <w:t>Framework</w:t>
      </w:r>
      <w:r w:rsidR="00AC1A16" w:rsidRPr="007A3011">
        <w:t xml:space="preserve"> </w:t>
      </w:r>
    </w:p>
    <w:p w14:paraId="37D7836A" w14:textId="5C89EFEB" w:rsidR="007830F5" w:rsidRPr="007A3011" w:rsidRDefault="007830F5" w:rsidP="005F6DAB">
      <w:r w:rsidRPr="007A3011">
        <w:rPr>
          <w:noProof/>
          <w:lang w:val="nl-NL" w:eastAsia="nl-NL"/>
        </w:rPr>
        <w:drawing>
          <wp:inline distT="0" distB="0" distL="0" distR="0" wp14:anchorId="32C6033B" wp14:editId="1E7285E2">
            <wp:extent cx="6431404" cy="3940629"/>
            <wp:effectExtent l="0" t="0" r="762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tative HSPA framework.tif"/>
                    <pic:cNvPicPr/>
                  </pic:nvPicPr>
                  <pic:blipFill rotWithShape="1">
                    <a:blip r:embed="rId9">
                      <a:extLst>
                        <a:ext uri="{28A0092B-C50C-407E-A947-70E740481C1C}">
                          <a14:useLocalDpi xmlns:a14="http://schemas.microsoft.com/office/drawing/2010/main" val="0"/>
                        </a:ext>
                      </a:extLst>
                    </a:blip>
                    <a:srcRect l="4769" t="8743" r="17877" b="6996"/>
                    <a:stretch/>
                  </pic:blipFill>
                  <pic:spPr bwMode="auto">
                    <a:xfrm>
                      <a:off x="0" y="0"/>
                      <a:ext cx="6446863" cy="3950101"/>
                    </a:xfrm>
                    <a:prstGeom prst="rect">
                      <a:avLst/>
                    </a:prstGeom>
                    <a:ln>
                      <a:noFill/>
                    </a:ln>
                    <a:extLst>
                      <a:ext uri="{53640926-AAD7-44D8-BBD7-CCE9431645EC}">
                        <a14:shadowObscured xmlns:a14="http://schemas.microsoft.com/office/drawing/2010/main"/>
                      </a:ext>
                    </a:extLst>
                  </pic:spPr>
                </pic:pic>
              </a:graphicData>
            </a:graphic>
          </wp:inline>
        </w:drawing>
      </w:r>
    </w:p>
    <w:p w14:paraId="5DD89DBC" w14:textId="7633529C" w:rsidR="00AC1A16" w:rsidRPr="007A3011" w:rsidRDefault="00D86B40" w:rsidP="00062D8B">
      <w:pPr>
        <w:pStyle w:val="Heading3"/>
      </w:pPr>
      <w:r>
        <w:lastRenderedPageBreak/>
        <w:t>Health s</w:t>
      </w:r>
      <w:r w:rsidR="00AC1A16" w:rsidRPr="007A3011">
        <w:t>ervices</w:t>
      </w:r>
      <w:r>
        <w:t xml:space="preserve"> modules</w:t>
      </w:r>
    </w:p>
    <w:p w14:paraId="6827FFFC" w14:textId="0A805626" w:rsidR="007830F5" w:rsidRPr="007A3011" w:rsidRDefault="007830F5" w:rsidP="00AC1A16">
      <w:r w:rsidRPr="007A3011">
        <w:rPr>
          <w:noProof/>
          <w:lang w:val="nl-NL" w:eastAsia="nl-NL"/>
        </w:rPr>
        <w:drawing>
          <wp:anchor distT="0" distB="0" distL="114300" distR="114300" simplePos="0" relativeHeight="251659264" behindDoc="0" locked="0" layoutInCell="1" allowOverlap="1" wp14:anchorId="352E9E06" wp14:editId="076AA3E4">
            <wp:simplePos x="895350" y="1790700"/>
            <wp:positionH relativeFrom="page">
              <wp:align>center</wp:align>
            </wp:positionH>
            <wp:positionV relativeFrom="paragraph">
              <wp:posOffset>3810</wp:posOffset>
            </wp:positionV>
            <wp:extent cx="5011200" cy="4039200"/>
            <wp:effectExtent l="0" t="0" r="0" b="0"/>
            <wp:wrapTopAndBottom/>
            <wp:docPr id="20" name="Picture 1">
              <a:extLst xmlns:a="http://schemas.openxmlformats.org/drawingml/2006/main">
                <a:ext uri="{FF2B5EF4-FFF2-40B4-BE49-F238E27FC236}">
                  <a16:creationId xmlns:a16="http://schemas.microsoft.com/office/drawing/2014/main" id="{D8B83253-D3FC-4245-90A1-08478D57E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a:extLst>
                        <a:ext uri="{FF2B5EF4-FFF2-40B4-BE49-F238E27FC236}">
                          <a16:creationId xmlns:a16="http://schemas.microsoft.com/office/drawing/2014/main" id="{D8B83253-D3FC-4245-90A1-08478D57EA6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11200" cy="4039200"/>
                    </a:xfrm>
                    <a:prstGeom prst="rect">
                      <a:avLst/>
                    </a:prstGeom>
                  </pic:spPr>
                </pic:pic>
              </a:graphicData>
            </a:graphic>
            <wp14:sizeRelH relativeFrom="margin">
              <wp14:pctWidth>0</wp14:pctWidth>
            </wp14:sizeRelH>
            <wp14:sizeRelV relativeFrom="margin">
              <wp14:pctHeight>0</wp14:pctHeight>
            </wp14:sizeRelV>
          </wp:anchor>
        </w:drawing>
      </w:r>
    </w:p>
    <w:p w14:paraId="414623BF" w14:textId="70683F08" w:rsidR="0018051B" w:rsidRPr="007A3011" w:rsidRDefault="00681BF1" w:rsidP="000C00D1">
      <w:pPr>
        <w:pStyle w:val="Heading2"/>
      </w:pPr>
      <w:r>
        <w:t>High level performance domains</w:t>
      </w:r>
    </w:p>
    <w:p w14:paraId="7A8EFF5C" w14:textId="23840182" w:rsidR="004D5837" w:rsidRPr="007A3011" w:rsidRDefault="00681BF1" w:rsidP="004D5837">
      <w:r>
        <w:t>To</w:t>
      </w:r>
      <w:r w:rsidR="001D26F2">
        <w:t xml:space="preserve"> illustrate what the </w:t>
      </w:r>
      <w:proofErr w:type="gramStart"/>
      <w:r w:rsidR="001D26F2">
        <w:t>high level</w:t>
      </w:r>
      <w:proofErr w:type="gramEnd"/>
      <w:r w:rsidR="001D26F2">
        <w:t xml:space="preserve"> performance domains may encompass, the domains </w:t>
      </w:r>
      <w:r w:rsidR="00E57F13" w:rsidRPr="007A3011">
        <w:t>are disaggregated to subdomains</w:t>
      </w:r>
      <w:r w:rsidR="001D26F2">
        <w:t xml:space="preserve"> and features</w:t>
      </w:r>
      <w:r w:rsidR="00E57F13" w:rsidRPr="007A3011">
        <w:t xml:space="preserve"> i</w:t>
      </w:r>
      <w:r w:rsidR="001D26F2">
        <w:t xml:space="preserve">f applicable. This disaggregation may help to think of key performance indicators that can populate each of the domains, whether currently used or envisaged to use in the near future. </w:t>
      </w:r>
      <w:r w:rsidR="00051385" w:rsidRPr="00051385">
        <w:t xml:space="preserve">Indicators are defined as a quantitative measure that provides information about a performance </w:t>
      </w:r>
      <w:r w:rsidR="00051385">
        <w:t xml:space="preserve">domain within the health system. </w:t>
      </w:r>
      <w:r w:rsidR="00051385" w:rsidRPr="00051385">
        <w:t>Use is defined as the selection, sourcing, analysis and dissemination of indicators for the purpose of performance measurement</w:t>
      </w:r>
      <w:r w:rsidR="00051385">
        <w:t xml:space="preserve">. Data sources are the collections of information generated by the health system, e.g. registrations, administrative systems, surveys, that can be used as source to measure indicators. </w:t>
      </w:r>
    </w:p>
    <w:p w14:paraId="15615EAF" w14:textId="77777777" w:rsidR="00F31A70" w:rsidRDefault="00F31A70" w:rsidP="002F1052">
      <w:pPr>
        <w:pStyle w:val="NoSpacing"/>
        <w:spacing w:line="276" w:lineRule="auto"/>
        <w:ind w:left="720"/>
      </w:pPr>
    </w:p>
    <w:p w14:paraId="5C6D4CDC" w14:textId="77777777" w:rsidR="005F6DAB" w:rsidRPr="007A3011" w:rsidRDefault="005F6DAB" w:rsidP="002F1052"/>
    <w:p w14:paraId="41C2323B" w14:textId="47056A4F" w:rsidR="002D4D81" w:rsidRPr="007A3011" w:rsidRDefault="002D4D81" w:rsidP="002F1052"/>
    <w:p w14:paraId="0FC60EF6" w14:textId="3AB22DD1" w:rsidR="00F73453" w:rsidRPr="007A3011" w:rsidRDefault="00F73453" w:rsidP="00F73453">
      <w:pPr>
        <w:ind w:left="360"/>
        <w:sectPr w:rsidR="00F73453" w:rsidRPr="007A3011">
          <w:headerReference w:type="default" r:id="rId11"/>
          <w:footerReference w:type="default" r:id="rId12"/>
          <w:pgSz w:w="11906" w:h="16838"/>
          <w:pgMar w:top="1417" w:right="1417" w:bottom="1417" w:left="1417" w:header="708" w:footer="708" w:gutter="0"/>
          <w:cols w:space="708"/>
          <w:docGrid w:linePitch="360"/>
        </w:sectPr>
      </w:pPr>
    </w:p>
    <w:tbl>
      <w:tblPr>
        <w:tblStyle w:val="TableGrid"/>
        <w:tblW w:w="9918" w:type="dxa"/>
        <w:tblLook w:val="04A0" w:firstRow="1" w:lastRow="0" w:firstColumn="1" w:lastColumn="0" w:noHBand="0" w:noVBand="1"/>
      </w:tblPr>
      <w:tblGrid>
        <w:gridCol w:w="653"/>
        <w:gridCol w:w="2805"/>
        <w:gridCol w:w="3066"/>
        <w:gridCol w:w="3394"/>
      </w:tblGrid>
      <w:tr w:rsidR="00D2337F" w:rsidRPr="00927FEC" w14:paraId="574AE9A2" w14:textId="50187396" w:rsidTr="009F1E7F">
        <w:trPr>
          <w:cantSplit/>
          <w:trHeight w:val="1134"/>
        </w:trPr>
        <w:tc>
          <w:tcPr>
            <w:tcW w:w="633" w:type="dxa"/>
            <w:textDirection w:val="btLr"/>
          </w:tcPr>
          <w:p w14:paraId="12D88718" w14:textId="4DB3DE4A" w:rsidR="00D2337F" w:rsidRPr="00927FEC" w:rsidRDefault="00D2337F" w:rsidP="00D167E8">
            <w:pPr>
              <w:spacing w:after="160" w:line="259" w:lineRule="auto"/>
              <w:ind w:left="113" w:right="113"/>
              <w:jc w:val="center"/>
              <w:rPr>
                <w:b/>
                <w:sz w:val="20"/>
                <w:szCs w:val="20"/>
              </w:rPr>
            </w:pPr>
          </w:p>
        </w:tc>
        <w:tc>
          <w:tcPr>
            <w:tcW w:w="2811" w:type="dxa"/>
          </w:tcPr>
          <w:p w14:paraId="424FD133" w14:textId="08638AA9" w:rsidR="00D2337F" w:rsidRPr="00927FEC" w:rsidRDefault="00D2337F">
            <w:pPr>
              <w:spacing w:after="160" w:line="259" w:lineRule="auto"/>
              <w:rPr>
                <w:b/>
                <w:sz w:val="20"/>
                <w:szCs w:val="20"/>
              </w:rPr>
            </w:pPr>
            <w:r w:rsidRPr="00927FEC">
              <w:rPr>
                <w:b/>
                <w:sz w:val="20"/>
                <w:szCs w:val="20"/>
              </w:rPr>
              <w:t>Domain</w:t>
            </w:r>
          </w:p>
        </w:tc>
        <w:tc>
          <w:tcPr>
            <w:tcW w:w="3072" w:type="dxa"/>
          </w:tcPr>
          <w:p w14:paraId="17C360B7" w14:textId="0F44E05C" w:rsidR="00D2337F" w:rsidRPr="00927FEC" w:rsidRDefault="00D2337F">
            <w:pPr>
              <w:spacing w:after="160" w:line="259" w:lineRule="auto"/>
              <w:rPr>
                <w:sz w:val="20"/>
                <w:szCs w:val="20"/>
              </w:rPr>
            </w:pPr>
            <w:r w:rsidRPr="00927FEC">
              <w:rPr>
                <w:b/>
                <w:sz w:val="20"/>
                <w:szCs w:val="20"/>
              </w:rPr>
              <w:t>Subdomains</w:t>
            </w:r>
          </w:p>
        </w:tc>
        <w:tc>
          <w:tcPr>
            <w:tcW w:w="3402" w:type="dxa"/>
          </w:tcPr>
          <w:p w14:paraId="3D61FA69" w14:textId="54E9C6D8" w:rsidR="00D2337F" w:rsidRPr="00927FEC" w:rsidRDefault="00D2337F">
            <w:pPr>
              <w:spacing w:after="160" w:line="259" w:lineRule="auto"/>
              <w:rPr>
                <w:sz w:val="20"/>
                <w:szCs w:val="20"/>
              </w:rPr>
            </w:pPr>
            <w:r w:rsidRPr="00927FEC">
              <w:rPr>
                <w:b/>
                <w:sz w:val="20"/>
                <w:szCs w:val="20"/>
              </w:rPr>
              <w:t>Examples of features</w:t>
            </w:r>
          </w:p>
        </w:tc>
      </w:tr>
      <w:tr w:rsidR="00D2337F" w:rsidRPr="00927FEC" w14:paraId="42B7F34C" w14:textId="71FF035E" w:rsidTr="009F1E7F">
        <w:tc>
          <w:tcPr>
            <w:tcW w:w="633" w:type="dxa"/>
            <w:vMerge w:val="restart"/>
            <w:shd w:val="clear" w:color="auto" w:fill="2E74B5" w:themeFill="accent1" w:themeFillShade="BF"/>
            <w:textDirection w:val="btLr"/>
          </w:tcPr>
          <w:p w14:paraId="1F4DA622" w14:textId="02E14493" w:rsidR="00D2337F" w:rsidRPr="00927FEC" w:rsidRDefault="00D2337F" w:rsidP="00D167E8">
            <w:pPr>
              <w:spacing w:after="160" w:line="259" w:lineRule="auto"/>
              <w:ind w:left="113" w:right="113"/>
              <w:jc w:val="center"/>
              <w:rPr>
                <w:b/>
                <w:sz w:val="20"/>
                <w:szCs w:val="20"/>
              </w:rPr>
            </w:pPr>
            <w:r w:rsidRPr="00927FEC">
              <w:rPr>
                <w:b/>
                <w:sz w:val="20"/>
                <w:szCs w:val="20"/>
              </w:rPr>
              <w:t>Structures</w:t>
            </w:r>
          </w:p>
        </w:tc>
        <w:tc>
          <w:tcPr>
            <w:tcW w:w="2811" w:type="dxa"/>
          </w:tcPr>
          <w:p w14:paraId="6B10319C" w14:textId="4E2EC019" w:rsidR="00D2337F" w:rsidRPr="00927FEC" w:rsidRDefault="00D2337F">
            <w:pPr>
              <w:spacing w:after="160" w:line="259" w:lineRule="auto"/>
              <w:rPr>
                <w:sz w:val="20"/>
                <w:szCs w:val="20"/>
              </w:rPr>
            </w:pPr>
            <w:r w:rsidRPr="00927FEC">
              <w:rPr>
                <w:sz w:val="20"/>
                <w:szCs w:val="20"/>
              </w:rPr>
              <w:t>Medical Technology and Infrastructure</w:t>
            </w:r>
          </w:p>
        </w:tc>
        <w:tc>
          <w:tcPr>
            <w:tcW w:w="3072" w:type="dxa"/>
          </w:tcPr>
          <w:p w14:paraId="00EB3315" w14:textId="0B1977A8" w:rsidR="00D2337F" w:rsidRPr="00927FEC" w:rsidRDefault="00D2337F" w:rsidP="00702C4C">
            <w:pPr>
              <w:spacing w:after="160" w:line="259" w:lineRule="auto"/>
              <w:ind w:left="113" w:hanging="113"/>
              <w:rPr>
                <w:sz w:val="20"/>
                <w:szCs w:val="20"/>
              </w:rPr>
            </w:pPr>
          </w:p>
        </w:tc>
        <w:tc>
          <w:tcPr>
            <w:tcW w:w="3402" w:type="dxa"/>
          </w:tcPr>
          <w:p w14:paraId="25E55DCC" w14:textId="77777777" w:rsidR="00D2337F" w:rsidRPr="00927FEC" w:rsidRDefault="00D2337F" w:rsidP="00702C4C">
            <w:pPr>
              <w:pStyle w:val="ListParagraph"/>
              <w:ind w:left="113" w:hanging="113"/>
              <w:rPr>
                <w:sz w:val="20"/>
                <w:szCs w:val="20"/>
                <w:lang w:val="en-IE"/>
              </w:rPr>
            </w:pPr>
            <w:r w:rsidRPr="00927FEC">
              <w:rPr>
                <w:sz w:val="20"/>
                <w:szCs w:val="20"/>
                <w:lang w:val="en-IE"/>
              </w:rPr>
              <w:t>Basic technology</w:t>
            </w:r>
          </w:p>
          <w:p w14:paraId="5A13601A" w14:textId="085F1593" w:rsidR="00D2337F" w:rsidRPr="00927FEC" w:rsidRDefault="00D2337F" w:rsidP="00702C4C">
            <w:pPr>
              <w:pStyle w:val="ListParagraph"/>
              <w:ind w:left="113" w:hanging="113"/>
              <w:rPr>
                <w:sz w:val="20"/>
                <w:szCs w:val="20"/>
                <w:lang w:val="en-IE"/>
              </w:rPr>
            </w:pPr>
            <w:r w:rsidRPr="00927FEC">
              <w:rPr>
                <w:sz w:val="20"/>
                <w:szCs w:val="20"/>
                <w:lang w:val="en-IE"/>
              </w:rPr>
              <w:t>Amenities</w:t>
            </w:r>
          </w:p>
        </w:tc>
      </w:tr>
      <w:tr w:rsidR="00D2337F" w:rsidRPr="00927FEC" w14:paraId="22234EE3" w14:textId="7BA01322" w:rsidTr="009F1E7F">
        <w:tc>
          <w:tcPr>
            <w:tcW w:w="633" w:type="dxa"/>
            <w:vMerge/>
            <w:shd w:val="clear" w:color="auto" w:fill="2E74B5" w:themeFill="accent1" w:themeFillShade="BF"/>
            <w:textDirection w:val="btLr"/>
          </w:tcPr>
          <w:p w14:paraId="6FF1DBF1" w14:textId="77777777" w:rsidR="00D2337F" w:rsidRPr="00927FEC" w:rsidRDefault="00D2337F" w:rsidP="00F45CC8">
            <w:pPr>
              <w:spacing w:after="160" w:line="259" w:lineRule="auto"/>
              <w:ind w:left="113" w:right="113"/>
              <w:jc w:val="center"/>
              <w:rPr>
                <w:b/>
                <w:sz w:val="20"/>
                <w:szCs w:val="20"/>
              </w:rPr>
            </w:pPr>
          </w:p>
        </w:tc>
        <w:tc>
          <w:tcPr>
            <w:tcW w:w="2811" w:type="dxa"/>
          </w:tcPr>
          <w:p w14:paraId="6CEB25C3" w14:textId="21E171AD" w:rsidR="00D2337F" w:rsidRPr="00927FEC" w:rsidRDefault="00D2337F" w:rsidP="00F45CC8">
            <w:pPr>
              <w:spacing w:after="160" w:line="259" w:lineRule="auto"/>
              <w:rPr>
                <w:sz w:val="20"/>
                <w:szCs w:val="20"/>
              </w:rPr>
            </w:pPr>
            <w:r w:rsidRPr="00927FEC">
              <w:rPr>
                <w:sz w:val="20"/>
                <w:szCs w:val="20"/>
              </w:rPr>
              <w:t>Health Information Systems</w:t>
            </w:r>
          </w:p>
        </w:tc>
        <w:tc>
          <w:tcPr>
            <w:tcW w:w="3072" w:type="dxa"/>
          </w:tcPr>
          <w:p w14:paraId="2C8FA290" w14:textId="674C15BF" w:rsidR="00D2337F" w:rsidRPr="00927FEC" w:rsidRDefault="00D2337F" w:rsidP="00702C4C">
            <w:pPr>
              <w:spacing w:after="160" w:line="259" w:lineRule="auto"/>
              <w:ind w:left="113" w:hanging="113"/>
              <w:rPr>
                <w:sz w:val="20"/>
                <w:szCs w:val="20"/>
              </w:rPr>
            </w:pPr>
          </w:p>
        </w:tc>
        <w:tc>
          <w:tcPr>
            <w:tcW w:w="3402" w:type="dxa"/>
          </w:tcPr>
          <w:p w14:paraId="2763C14D" w14:textId="77777777" w:rsidR="00D2337F" w:rsidRPr="00927FEC" w:rsidRDefault="00D2337F" w:rsidP="00702C4C">
            <w:pPr>
              <w:pStyle w:val="ListParagraph"/>
              <w:ind w:left="113" w:hanging="113"/>
              <w:rPr>
                <w:sz w:val="20"/>
                <w:szCs w:val="20"/>
                <w:lang w:val="en-IE"/>
              </w:rPr>
            </w:pPr>
            <w:r w:rsidRPr="00927FEC">
              <w:rPr>
                <w:sz w:val="20"/>
                <w:szCs w:val="20"/>
                <w:lang w:val="en-IE"/>
              </w:rPr>
              <w:t>Data capture</w:t>
            </w:r>
          </w:p>
          <w:p w14:paraId="36A41B8C" w14:textId="77777777" w:rsidR="00D2337F" w:rsidRPr="00927FEC" w:rsidRDefault="00D2337F" w:rsidP="00702C4C">
            <w:pPr>
              <w:pStyle w:val="ListParagraph"/>
              <w:ind w:left="113" w:hanging="113"/>
              <w:rPr>
                <w:sz w:val="20"/>
                <w:szCs w:val="20"/>
                <w:lang w:val="en-IE"/>
              </w:rPr>
            </w:pPr>
            <w:r w:rsidRPr="00927FEC">
              <w:rPr>
                <w:sz w:val="20"/>
                <w:szCs w:val="20"/>
                <w:lang w:val="en-IE"/>
              </w:rPr>
              <w:t>Aggregation of data</w:t>
            </w:r>
          </w:p>
          <w:p w14:paraId="1D5C4B73" w14:textId="023E99EF" w:rsidR="00D2337F" w:rsidRPr="00927FEC" w:rsidRDefault="00D2337F" w:rsidP="00702C4C">
            <w:pPr>
              <w:pStyle w:val="ListParagraph"/>
              <w:ind w:left="113" w:hanging="113"/>
              <w:rPr>
                <w:sz w:val="20"/>
                <w:szCs w:val="20"/>
                <w:lang w:val="en-IE"/>
              </w:rPr>
            </w:pPr>
            <w:r w:rsidRPr="00927FEC">
              <w:rPr>
                <w:sz w:val="20"/>
                <w:szCs w:val="20"/>
                <w:lang w:val="en-IE"/>
              </w:rPr>
              <w:t>Patient platforms</w:t>
            </w:r>
          </w:p>
        </w:tc>
      </w:tr>
      <w:tr w:rsidR="00D2337F" w:rsidRPr="00927FEC" w14:paraId="40C3E6B8" w14:textId="0A9EEC0F" w:rsidTr="009F1E7F">
        <w:tc>
          <w:tcPr>
            <w:tcW w:w="633" w:type="dxa"/>
            <w:vMerge/>
            <w:shd w:val="clear" w:color="auto" w:fill="2E74B5" w:themeFill="accent1" w:themeFillShade="BF"/>
            <w:textDirection w:val="btLr"/>
          </w:tcPr>
          <w:p w14:paraId="3F961B0E" w14:textId="77777777" w:rsidR="00D2337F" w:rsidRPr="00927FEC" w:rsidRDefault="00D2337F" w:rsidP="00F45CC8">
            <w:pPr>
              <w:spacing w:after="160" w:line="259" w:lineRule="auto"/>
              <w:ind w:left="113" w:right="113"/>
              <w:jc w:val="center"/>
              <w:rPr>
                <w:b/>
                <w:sz w:val="20"/>
                <w:szCs w:val="20"/>
              </w:rPr>
            </w:pPr>
          </w:p>
        </w:tc>
        <w:tc>
          <w:tcPr>
            <w:tcW w:w="2811" w:type="dxa"/>
          </w:tcPr>
          <w:p w14:paraId="766AA992" w14:textId="64522674" w:rsidR="00D2337F" w:rsidRPr="00927FEC" w:rsidRDefault="00D2337F" w:rsidP="00F45CC8">
            <w:pPr>
              <w:spacing w:after="160" w:line="259" w:lineRule="auto"/>
              <w:rPr>
                <w:sz w:val="20"/>
                <w:szCs w:val="20"/>
              </w:rPr>
            </w:pPr>
            <w:r w:rsidRPr="00927FEC">
              <w:rPr>
                <w:sz w:val="20"/>
                <w:szCs w:val="20"/>
              </w:rPr>
              <w:t>Health Workforce</w:t>
            </w:r>
          </w:p>
        </w:tc>
        <w:tc>
          <w:tcPr>
            <w:tcW w:w="3072" w:type="dxa"/>
          </w:tcPr>
          <w:p w14:paraId="7C98B196" w14:textId="1414A0D4" w:rsidR="00D2337F" w:rsidRPr="00927FEC" w:rsidRDefault="00D2337F" w:rsidP="00702C4C">
            <w:pPr>
              <w:spacing w:after="160" w:line="259" w:lineRule="auto"/>
              <w:ind w:left="113" w:hanging="113"/>
              <w:rPr>
                <w:sz w:val="20"/>
                <w:szCs w:val="20"/>
              </w:rPr>
            </w:pPr>
          </w:p>
        </w:tc>
        <w:tc>
          <w:tcPr>
            <w:tcW w:w="3402" w:type="dxa"/>
          </w:tcPr>
          <w:p w14:paraId="151AA83E" w14:textId="0F7F5957" w:rsidR="00D2337F" w:rsidRPr="00927FEC" w:rsidRDefault="00D2337F" w:rsidP="00702C4C">
            <w:pPr>
              <w:pStyle w:val="ListParagraph"/>
              <w:ind w:left="113" w:hanging="113"/>
              <w:rPr>
                <w:sz w:val="20"/>
                <w:szCs w:val="20"/>
                <w:lang w:val="en-IE"/>
              </w:rPr>
            </w:pPr>
            <w:r w:rsidRPr="00927FEC">
              <w:rPr>
                <w:sz w:val="20"/>
                <w:szCs w:val="20"/>
                <w:lang w:val="en-IE"/>
              </w:rPr>
              <w:t>Health workforce planning</w:t>
            </w:r>
          </w:p>
          <w:p w14:paraId="23931CDF" w14:textId="2C0438E1" w:rsidR="00D2337F" w:rsidRPr="00927FEC" w:rsidRDefault="00D2337F" w:rsidP="00702C4C">
            <w:pPr>
              <w:pStyle w:val="ListParagraph"/>
              <w:ind w:left="113" w:hanging="113"/>
              <w:rPr>
                <w:sz w:val="20"/>
                <w:szCs w:val="20"/>
                <w:lang w:val="en-IE"/>
              </w:rPr>
            </w:pPr>
            <w:r w:rsidRPr="00927FEC">
              <w:rPr>
                <w:sz w:val="20"/>
                <w:szCs w:val="20"/>
                <w:lang w:val="en-IE"/>
              </w:rPr>
              <w:t>Workforce availability</w:t>
            </w:r>
          </w:p>
          <w:p w14:paraId="1D4A1CF2" w14:textId="77777777" w:rsidR="00D2337F" w:rsidRPr="00927FEC" w:rsidRDefault="00D2337F" w:rsidP="00702C4C">
            <w:pPr>
              <w:pStyle w:val="ListParagraph"/>
              <w:ind w:left="113" w:hanging="113"/>
              <w:rPr>
                <w:sz w:val="20"/>
                <w:szCs w:val="20"/>
                <w:lang w:val="en-IE"/>
              </w:rPr>
            </w:pPr>
            <w:r w:rsidRPr="00927FEC">
              <w:rPr>
                <w:sz w:val="20"/>
                <w:szCs w:val="20"/>
                <w:lang w:val="en-IE"/>
              </w:rPr>
              <w:t>Training</w:t>
            </w:r>
          </w:p>
          <w:p w14:paraId="08E1CEF7" w14:textId="283BCCF3" w:rsidR="00D2337F" w:rsidRPr="00927FEC" w:rsidRDefault="00D2337F" w:rsidP="00702C4C">
            <w:pPr>
              <w:pStyle w:val="ListParagraph"/>
              <w:ind w:left="113" w:hanging="113"/>
              <w:rPr>
                <w:sz w:val="20"/>
                <w:szCs w:val="20"/>
                <w:lang w:val="en-IE"/>
              </w:rPr>
            </w:pPr>
            <w:r w:rsidRPr="00927FEC">
              <w:rPr>
                <w:sz w:val="20"/>
                <w:szCs w:val="20"/>
                <w:lang w:val="en-IE"/>
              </w:rPr>
              <w:t>Collaboration</w:t>
            </w:r>
          </w:p>
        </w:tc>
      </w:tr>
      <w:tr w:rsidR="00D2337F" w:rsidRPr="00927FEC" w14:paraId="620EECC8" w14:textId="6890149E" w:rsidTr="009F1E7F">
        <w:tc>
          <w:tcPr>
            <w:tcW w:w="633" w:type="dxa"/>
            <w:vMerge/>
            <w:shd w:val="clear" w:color="auto" w:fill="2E74B5" w:themeFill="accent1" w:themeFillShade="BF"/>
            <w:textDirection w:val="btLr"/>
          </w:tcPr>
          <w:p w14:paraId="3676F79D" w14:textId="77777777" w:rsidR="00D2337F" w:rsidRPr="00927FEC" w:rsidRDefault="00D2337F" w:rsidP="00F45CC8">
            <w:pPr>
              <w:spacing w:after="160" w:line="259" w:lineRule="auto"/>
              <w:ind w:left="113" w:right="113"/>
              <w:jc w:val="center"/>
              <w:rPr>
                <w:b/>
                <w:sz w:val="20"/>
                <w:szCs w:val="20"/>
              </w:rPr>
            </w:pPr>
          </w:p>
        </w:tc>
        <w:tc>
          <w:tcPr>
            <w:tcW w:w="2811" w:type="dxa"/>
          </w:tcPr>
          <w:p w14:paraId="74D39D06" w14:textId="03FD6A38" w:rsidR="00D2337F" w:rsidRPr="00927FEC" w:rsidRDefault="00D2337F" w:rsidP="00F45CC8">
            <w:pPr>
              <w:spacing w:after="160" w:line="259" w:lineRule="auto"/>
              <w:rPr>
                <w:sz w:val="20"/>
                <w:szCs w:val="20"/>
              </w:rPr>
            </w:pPr>
            <w:r w:rsidRPr="00927FEC">
              <w:rPr>
                <w:sz w:val="20"/>
                <w:szCs w:val="20"/>
              </w:rPr>
              <w:t>Finances</w:t>
            </w:r>
          </w:p>
        </w:tc>
        <w:tc>
          <w:tcPr>
            <w:tcW w:w="3072" w:type="dxa"/>
          </w:tcPr>
          <w:p w14:paraId="0D06028D" w14:textId="74F84DF5" w:rsidR="00D2337F" w:rsidRPr="00927FEC" w:rsidRDefault="00D2337F" w:rsidP="00702C4C">
            <w:pPr>
              <w:spacing w:after="160" w:line="259" w:lineRule="auto"/>
              <w:ind w:left="113" w:hanging="113"/>
              <w:rPr>
                <w:sz w:val="20"/>
                <w:szCs w:val="20"/>
              </w:rPr>
            </w:pPr>
          </w:p>
        </w:tc>
        <w:tc>
          <w:tcPr>
            <w:tcW w:w="3402" w:type="dxa"/>
          </w:tcPr>
          <w:p w14:paraId="4F0FE711" w14:textId="77777777" w:rsidR="00D2337F" w:rsidRPr="00927FEC" w:rsidRDefault="00D2337F" w:rsidP="00702C4C">
            <w:pPr>
              <w:pStyle w:val="ListParagraph"/>
              <w:ind w:left="113" w:hanging="113"/>
              <w:rPr>
                <w:sz w:val="20"/>
                <w:szCs w:val="20"/>
                <w:lang w:val="en-IE"/>
              </w:rPr>
            </w:pPr>
            <w:r w:rsidRPr="00927FEC">
              <w:rPr>
                <w:sz w:val="20"/>
                <w:szCs w:val="20"/>
                <w:lang w:val="en-IE"/>
              </w:rPr>
              <w:t>Expenditure</w:t>
            </w:r>
          </w:p>
          <w:p w14:paraId="3DBE2229" w14:textId="77777777" w:rsidR="00D2337F" w:rsidRPr="00927FEC" w:rsidRDefault="00D2337F" w:rsidP="00702C4C">
            <w:pPr>
              <w:pStyle w:val="ListParagraph"/>
              <w:ind w:left="113" w:hanging="113"/>
              <w:rPr>
                <w:sz w:val="20"/>
                <w:szCs w:val="20"/>
                <w:lang w:val="en-IE"/>
              </w:rPr>
            </w:pPr>
            <w:r w:rsidRPr="00927FEC">
              <w:rPr>
                <w:sz w:val="20"/>
                <w:szCs w:val="20"/>
                <w:lang w:val="en-IE"/>
              </w:rPr>
              <w:t>Payment methods</w:t>
            </w:r>
          </w:p>
          <w:p w14:paraId="3A9C9DC2" w14:textId="1EE9A533" w:rsidR="00D2337F" w:rsidRPr="00927FEC" w:rsidRDefault="00D2337F" w:rsidP="00702C4C">
            <w:pPr>
              <w:pStyle w:val="ListParagraph"/>
              <w:ind w:left="113" w:hanging="113"/>
              <w:rPr>
                <w:sz w:val="20"/>
                <w:szCs w:val="20"/>
                <w:lang w:val="en-IE"/>
              </w:rPr>
            </w:pPr>
            <w:r w:rsidRPr="00927FEC">
              <w:rPr>
                <w:sz w:val="20"/>
                <w:szCs w:val="20"/>
                <w:lang w:val="en-IE"/>
              </w:rPr>
              <w:t>Benefit package</w:t>
            </w:r>
          </w:p>
        </w:tc>
      </w:tr>
      <w:tr w:rsidR="00D2337F" w:rsidRPr="00927FEC" w14:paraId="7BC470F1" w14:textId="4BA6E286" w:rsidTr="009F1E7F">
        <w:tc>
          <w:tcPr>
            <w:tcW w:w="633" w:type="dxa"/>
            <w:vMerge/>
            <w:shd w:val="clear" w:color="auto" w:fill="2E74B5" w:themeFill="accent1" w:themeFillShade="BF"/>
            <w:textDirection w:val="btLr"/>
          </w:tcPr>
          <w:p w14:paraId="719EB0A9" w14:textId="77777777" w:rsidR="00D2337F" w:rsidRPr="00927FEC" w:rsidRDefault="00D2337F" w:rsidP="00F45CC8">
            <w:pPr>
              <w:spacing w:after="160" w:line="259" w:lineRule="auto"/>
              <w:ind w:left="113" w:right="113"/>
              <w:jc w:val="center"/>
              <w:rPr>
                <w:b/>
                <w:sz w:val="20"/>
                <w:szCs w:val="20"/>
              </w:rPr>
            </w:pPr>
          </w:p>
        </w:tc>
        <w:tc>
          <w:tcPr>
            <w:tcW w:w="2811" w:type="dxa"/>
          </w:tcPr>
          <w:p w14:paraId="1345036D" w14:textId="4F496F3F" w:rsidR="00D2337F" w:rsidRPr="00927FEC" w:rsidRDefault="00D2337F" w:rsidP="00F45CC8">
            <w:pPr>
              <w:spacing w:after="160" w:line="259" w:lineRule="auto"/>
              <w:rPr>
                <w:sz w:val="20"/>
                <w:szCs w:val="20"/>
              </w:rPr>
            </w:pPr>
            <w:r w:rsidRPr="00927FEC">
              <w:rPr>
                <w:sz w:val="20"/>
                <w:szCs w:val="20"/>
              </w:rPr>
              <w:t>Governance and Accountability</w:t>
            </w:r>
          </w:p>
        </w:tc>
        <w:tc>
          <w:tcPr>
            <w:tcW w:w="3072" w:type="dxa"/>
          </w:tcPr>
          <w:p w14:paraId="6FEC34D5" w14:textId="753BD41B" w:rsidR="00D2337F" w:rsidRPr="00927FEC" w:rsidRDefault="00D2337F" w:rsidP="00702C4C">
            <w:pPr>
              <w:spacing w:after="160" w:line="259" w:lineRule="auto"/>
              <w:ind w:left="113" w:hanging="113"/>
              <w:rPr>
                <w:sz w:val="20"/>
                <w:szCs w:val="20"/>
              </w:rPr>
            </w:pPr>
          </w:p>
        </w:tc>
        <w:tc>
          <w:tcPr>
            <w:tcW w:w="3402" w:type="dxa"/>
          </w:tcPr>
          <w:p w14:paraId="23E4FBE3" w14:textId="77777777" w:rsidR="00D2337F" w:rsidRPr="00927FEC" w:rsidRDefault="00D2337F" w:rsidP="00702C4C">
            <w:pPr>
              <w:pStyle w:val="ListParagraph"/>
              <w:ind w:left="113" w:hanging="113"/>
              <w:rPr>
                <w:sz w:val="20"/>
                <w:szCs w:val="20"/>
                <w:lang w:val="en-IE"/>
              </w:rPr>
            </w:pPr>
            <w:r w:rsidRPr="00927FEC">
              <w:rPr>
                <w:sz w:val="20"/>
                <w:szCs w:val="20"/>
                <w:lang w:val="en-IE"/>
              </w:rPr>
              <w:t>Priorities</w:t>
            </w:r>
          </w:p>
          <w:p w14:paraId="2296C008" w14:textId="77777777" w:rsidR="00D2337F" w:rsidRPr="00927FEC" w:rsidRDefault="00D2337F" w:rsidP="00702C4C">
            <w:pPr>
              <w:pStyle w:val="ListParagraph"/>
              <w:ind w:left="113" w:hanging="113"/>
              <w:rPr>
                <w:sz w:val="20"/>
                <w:szCs w:val="20"/>
                <w:lang w:val="en-IE"/>
              </w:rPr>
            </w:pPr>
            <w:r w:rsidRPr="00927FEC">
              <w:rPr>
                <w:sz w:val="20"/>
                <w:szCs w:val="20"/>
                <w:lang w:val="en-IE"/>
              </w:rPr>
              <w:t>Accountability arrangements</w:t>
            </w:r>
          </w:p>
          <w:p w14:paraId="5D4BE88D" w14:textId="77777777" w:rsidR="00D2337F" w:rsidRPr="00927FEC" w:rsidRDefault="00D2337F" w:rsidP="00702C4C">
            <w:pPr>
              <w:pStyle w:val="ListParagraph"/>
              <w:ind w:left="113" w:hanging="113"/>
              <w:rPr>
                <w:sz w:val="20"/>
                <w:szCs w:val="20"/>
                <w:lang w:val="en-IE"/>
              </w:rPr>
            </w:pPr>
            <w:r w:rsidRPr="00927FEC">
              <w:rPr>
                <w:sz w:val="20"/>
                <w:szCs w:val="20"/>
                <w:lang w:val="en-IE"/>
              </w:rPr>
              <w:t>Stakeholder participation and engagement</w:t>
            </w:r>
          </w:p>
          <w:p w14:paraId="53B3CFE1" w14:textId="637DE56B" w:rsidR="00D2337F" w:rsidRPr="00927FEC" w:rsidRDefault="00D2337F" w:rsidP="00702C4C">
            <w:pPr>
              <w:pStyle w:val="ListParagraph"/>
              <w:ind w:left="113" w:hanging="113"/>
              <w:rPr>
                <w:sz w:val="20"/>
                <w:szCs w:val="20"/>
                <w:lang w:val="en-IE"/>
              </w:rPr>
            </w:pPr>
            <w:r w:rsidRPr="00927FEC">
              <w:rPr>
                <w:sz w:val="20"/>
                <w:szCs w:val="20"/>
                <w:lang w:val="en-IE"/>
              </w:rPr>
              <w:t>Quality assurance mechanisms</w:t>
            </w:r>
          </w:p>
        </w:tc>
      </w:tr>
      <w:tr w:rsidR="00D2337F" w:rsidRPr="00927FEC" w14:paraId="2B422D63" w14:textId="13779A8B" w:rsidTr="009F1E7F">
        <w:tc>
          <w:tcPr>
            <w:tcW w:w="633" w:type="dxa"/>
            <w:vMerge w:val="restart"/>
            <w:shd w:val="clear" w:color="auto" w:fill="FFC000" w:themeFill="accent4"/>
            <w:textDirection w:val="btLr"/>
          </w:tcPr>
          <w:p w14:paraId="3A2DB853" w14:textId="137EB0C6" w:rsidR="00D2337F" w:rsidRPr="00927FEC" w:rsidRDefault="00D2337F" w:rsidP="00F45CC8">
            <w:pPr>
              <w:spacing w:after="160" w:line="259" w:lineRule="auto"/>
              <w:ind w:left="113" w:right="113"/>
              <w:jc w:val="center"/>
              <w:rPr>
                <w:b/>
                <w:sz w:val="20"/>
                <w:szCs w:val="20"/>
              </w:rPr>
            </w:pPr>
            <w:r w:rsidRPr="00927FEC">
              <w:rPr>
                <w:b/>
                <w:sz w:val="20"/>
                <w:szCs w:val="20"/>
              </w:rPr>
              <w:t>Processes</w:t>
            </w:r>
          </w:p>
        </w:tc>
        <w:tc>
          <w:tcPr>
            <w:tcW w:w="2811" w:type="dxa"/>
          </w:tcPr>
          <w:p w14:paraId="16EAB879" w14:textId="3322799C" w:rsidR="00D2337F" w:rsidRPr="00927FEC" w:rsidRDefault="00D2337F" w:rsidP="00F45CC8">
            <w:pPr>
              <w:spacing w:after="160" w:line="259" w:lineRule="auto"/>
              <w:rPr>
                <w:sz w:val="20"/>
                <w:szCs w:val="20"/>
              </w:rPr>
            </w:pPr>
            <w:r w:rsidRPr="00927FEC">
              <w:rPr>
                <w:sz w:val="20"/>
                <w:szCs w:val="20"/>
              </w:rPr>
              <w:t>Continuity of Service Delivery</w:t>
            </w:r>
          </w:p>
        </w:tc>
        <w:tc>
          <w:tcPr>
            <w:tcW w:w="3072" w:type="dxa"/>
          </w:tcPr>
          <w:p w14:paraId="07051BDA" w14:textId="59A12A90" w:rsidR="00D2337F" w:rsidRPr="00927FEC" w:rsidRDefault="00D2337F" w:rsidP="00702C4C">
            <w:pPr>
              <w:spacing w:after="160" w:line="259" w:lineRule="auto"/>
              <w:ind w:left="113" w:hanging="113"/>
              <w:rPr>
                <w:sz w:val="20"/>
                <w:szCs w:val="20"/>
              </w:rPr>
            </w:pPr>
          </w:p>
        </w:tc>
        <w:tc>
          <w:tcPr>
            <w:tcW w:w="3402" w:type="dxa"/>
          </w:tcPr>
          <w:p w14:paraId="7EB67F07" w14:textId="77777777" w:rsidR="00D2337F" w:rsidRPr="00927FEC" w:rsidRDefault="00D2337F" w:rsidP="009F6ABA">
            <w:pPr>
              <w:pStyle w:val="ListParagraph"/>
              <w:ind w:left="113" w:hanging="113"/>
              <w:rPr>
                <w:sz w:val="20"/>
                <w:szCs w:val="20"/>
                <w:lang w:val="en-IE"/>
              </w:rPr>
            </w:pPr>
            <w:r w:rsidRPr="00927FEC">
              <w:rPr>
                <w:sz w:val="20"/>
                <w:szCs w:val="20"/>
                <w:lang w:val="en-IE"/>
              </w:rPr>
              <w:t>Shared care plans</w:t>
            </w:r>
          </w:p>
          <w:p w14:paraId="1805F776" w14:textId="77777777" w:rsidR="00D2337F" w:rsidRPr="00927FEC" w:rsidRDefault="00D2337F" w:rsidP="009F6ABA">
            <w:pPr>
              <w:pStyle w:val="ListParagraph"/>
              <w:ind w:left="113" w:hanging="113"/>
              <w:rPr>
                <w:sz w:val="20"/>
                <w:szCs w:val="20"/>
                <w:lang w:val="en-IE"/>
              </w:rPr>
            </w:pPr>
            <w:r w:rsidRPr="00927FEC">
              <w:rPr>
                <w:sz w:val="20"/>
                <w:szCs w:val="20"/>
                <w:lang w:val="en-IE"/>
              </w:rPr>
              <w:t>Care teams</w:t>
            </w:r>
          </w:p>
          <w:p w14:paraId="63E7803C" w14:textId="77777777" w:rsidR="00D2337F" w:rsidRPr="00927FEC" w:rsidRDefault="00D2337F" w:rsidP="009F6ABA">
            <w:pPr>
              <w:pStyle w:val="ListParagraph"/>
              <w:ind w:left="113" w:hanging="113"/>
              <w:rPr>
                <w:sz w:val="20"/>
                <w:szCs w:val="20"/>
                <w:lang w:val="en-IE"/>
              </w:rPr>
            </w:pPr>
            <w:r w:rsidRPr="00927FEC">
              <w:rPr>
                <w:sz w:val="20"/>
                <w:szCs w:val="20"/>
                <w:lang w:val="en-IE"/>
              </w:rPr>
              <w:t xml:space="preserve">Treatment </w:t>
            </w:r>
          </w:p>
          <w:p w14:paraId="3E062734" w14:textId="77777777" w:rsidR="00D2337F" w:rsidRPr="00927FEC" w:rsidRDefault="00D2337F" w:rsidP="009F6ABA">
            <w:pPr>
              <w:pStyle w:val="ListParagraph"/>
              <w:ind w:left="113" w:hanging="113"/>
              <w:rPr>
                <w:sz w:val="20"/>
                <w:szCs w:val="20"/>
                <w:lang w:val="en-IE"/>
              </w:rPr>
            </w:pPr>
            <w:r w:rsidRPr="00927FEC">
              <w:rPr>
                <w:sz w:val="20"/>
                <w:szCs w:val="20"/>
                <w:lang w:val="en-IE"/>
              </w:rPr>
              <w:t>Follow-up care</w:t>
            </w:r>
          </w:p>
          <w:p w14:paraId="6A0A298C" w14:textId="19FA35C6" w:rsidR="00D2337F" w:rsidRPr="00927FEC" w:rsidRDefault="00D2337F" w:rsidP="009F6ABA">
            <w:pPr>
              <w:pStyle w:val="ListParagraph"/>
              <w:ind w:left="113" w:hanging="113"/>
              <w:rPr>
                <w:sz w:val="20"/>
                <w:szCs w:val="20"/>
                <w:lang w:val="en-IE"/>
              </w:rPr>
            </w:pPr>
            <w:r w:rsidRPr="00927FEC">
              <w:rPr>
                <w:sz w:val="20"/>
                <w:szCs w:val="20"/>
                <w:lang w:val="en-IE"/>
              </w:rPr>
              <w:t>Informational continuity of care</w:t>
            </w:r>
          </w:p>
        </w:tc>
      </w:tr>
      <w:tr w:rsidR="00D2337F" w:rsidRPr="00927FEC" w14:paraId="584FDF11" w14:textId="6AF5E349" w:rsidTr="009F1E7F">
        <w:tc>
          <w:tcPr>
            <w:tcW w:w="633" w:type="dxa"/>
            <w:vMerge/>
            <w:shd w:val="clear" w:color="auto" w:fill="FFC000" w:themeFill="accent4"/>
            <w:textDirection w:val="btLr"/>
          </w:tcPr>
          <w:p w14:paraId="24D3F58D" w14:textId="77777777" w:rsidR="00D2337F" w:rsidRPr="00927FEC" w:rsidRDefault="00D2337F" w:rsidP="00F45CC8">
            <w:pPr>
              <w:spacing w:after="160" w:line="259" w:lineRule="auto"/>
              <w:ind w:left="113" w:right="113"/>
              <w:jc w:val="center"/>
              <w:rPr>
                <w:b/>
                <w:sz w:val="20"/>
                <w:szCs w:val="20"/>
              </w:rPr>
            </w:pPr>
          </w:p>
        </w:tc>
        <w:tc>
          <w:tcPr>
            <w:tcW w:w="2811" w:type="dxa"/>
          </w:tcPr>
          <w:p w14:paraId="18C6905C" w14:textId="3359BC18" w:rsidR="00D2337F" w:rsidRPr="00927FEC" w:rsidRDefault="00D2337F" w:rsidP="00F45CC8">
            <w:pPr>
              <w:spacing w:after="160" w:line="259" w:lineRule="auto"/>
              <w:rPr>
                <w:sz w:val="20"/>
                <w:szCs w:val="20"/>
              </w:rPr>
            </w:pPr>
            <w:r w:rsidRPr="00927FEC">
              <w:rPr>
                <w:sz w:val="20"/>
                <w:szCs w:val="20"/>
              </w:rPr>
              <w:t>Service Delivery Integration</w:t>
            </w:r>
          </w:p>
        </w:tc>
        <w:tc>
          <w:tcPr>
            <w:tcW w:w="3072" w:type="dxa"/>
          </w:tcPr>
          <w:p w14:paraId="727FD9BE" w14:textId="45B3AB7C" w:rsidR="00D2337F" w:rsidRPr="00927FEC" w:rsidRDefault="00D2337F" w:rsidP="00702C4C">
            <w:pPr>
              <w:spacing w:after="160" w:line="259" w:lineRule="auto"/>
              <w:ind w:left="113" w:hanging="113"/>
              <w:rPr>
                <w:sz w:val="20"/>
                <w:szCs w:val="20"/>
              </w:rPr>
            </w:pPr>
          </w:p>
        </w:tc>
        <w:tc>
          <w:tcPr>
            <w:tcW w:w="3402" w:type="dxa"/>
          </w:tcPr>
          <w:p w14:paraId="2BD60F7E" w14:textId="77777777" w:rsidR="00D2337F" w:rsidRPr="00927FEC" w:rsidRDefault="00D2337F" w:rsidP="00855DB1">
            <w:pPr>
              <w:pStyle w:val="ListParagraph"/>
              <w:numPr>
                <w:ilvl w:val="0"/>
                <w:numId w:val="5"/>
              </w:numPr>
              <w:ind w:left="113" w:hanging="113"/>
              <w:rPr>
                <w:sz w:val="20"/>
                <w:szCs w:val="20"/>
                <w:lang w:val="en-IE"/>
              </w:rPr>
            </w:pPr>
            <w:r w:rsidRPr="00927FEC">
              <w:rPr>
                <w:sz w:val="20"/>
                <w:szCs w:val="20"/>
                <w:lang w:val="en-IE"/>
              </w:rPr>
              <w:t xml:space="preserve">Comprehensive services across the care continuum </w:t>
            </w:r>
          </w:p>
          <w:p w14:paraId="2DD13EB8" w14:textId="6F48945B" w:rsidR="00D2337F" w:rsidRPr="00927FEC" w:rsidRDefault="00D2337F" w:rsidP="00855DB1">
            <w:pPr>
              <w:pStyle w:val="ListParagraph"/>
              <w:numPr>
                <w:ilvl w:val="0"/>
                <w:numId w:val="5"/>
              </w:numPr>
              <w:ind w:left="113" w:hanging="113"/>
              <w:rPr>
                <w:sz w:val="20"/>
                <w:szCs w:val="20"/>
                <w:lang w:val="en-IE"/>
              </w:rPr>
            </w:pPr>
            <w:r w:rsidRPr="00927FEC">
              <w:rPr>
                <w:sz w:val="20"/>
                <w:szCs w:val="20"/>
                <w:lang w:val="en-IE"/>
              </w:rPr>
              <w:t>Collaboration of services</w:t>
            </w:r>
          </w:p>
        </w:tc>
      </w:tr>
      <w:tr w:rsidR="00D2337F" w:rsidRPr="00927FEC" w14:paraId="029228DF" w14:textId="5BDFB27A" w:rsidTr="009F1E7F">
        <w:tc>
          <w:tcPr>
            <w:tcW w:w="633" w:type="dxa"/>
            <w:vMerge/>
            <w:shd w:val="clear" w:color="auto" w:fill="FFC000" w:themeFill="accent4"/>
            <w:textDirection w:val="btLr"/>
          </w:tcPr>
          <w:p w14:paraId="5E391688" w14:textId="77777777" w:rsidR="00D2337F" w:rsidRPr="00927FEC" w:rsidRDefault="00D2337F" w:rsidP="00F45CC8">
            <w:pPr>
              <w:spacing w:after="160" w:line="259" w:lineRule="auto"/>
              <w:ind w:left="113" w:right="113"/>
              <w:jc w:val="center"/>
              <w:rPr>
                <w:b/>
                <w:sz w:val="20"/>
                <w:szCs w:val="20"/>
              </w:rPr>
            </w:pPr>
          </w:p>
        </w:tc>
        <w:tc>
          <w:tcPr>
            <w:tcW w:w="2811" w:type="dxa"/>
          </w:tcPr>
          <w:p w14:paraId="62EB317F" w14:textId="21B91A08" w:rsidR="00D2337F" w:rsidRPr="00927FEC" w:rsidRDefault="00D2337F" w:rsidP="00F45CC8">
            <w:pPr>
              <w:spacing w:after="160" w:line="259" w:lineRule="auto"/>
              <w:rPr>
                <w:sz w:val="20"/>
                <w:szCs w:val="20"/>
              </w:rPr>
            </w:pPr>
            <w:r w:rsidRPr="00927FEC">
              <w:rPr>
                <w:sz w:val="20"/>
                <w:szCs w:val="20"/>
              </w:rPr>
              <w:t>Service Delivery Coordination</w:t>
            </w:r>
          </w:p>
        </w:tc>
        <w:tc>
          <w:tcPr>
            <w:tcW w:w="3072" w:type="dxa"/>
          </w:tcPr>
          <w:p w14:paraId="4F223DBE" w14:textId="149CEADF" w:rsidR="00D2337F" w:rsidRPr="00927FEC" w:rsidRDefault="00D2337F" w:rsidP="00702C4C">
            <w:pPr>
              <w:spacing w:after="160" w:line="259" w:lineRule="auto"/>
              <w:ind w:left="113" w:hanging="113"/>
              <w:rPr>
                <w:sz w:val="20"/>
                <w:szCs w:val="20"/>
              </w:rPr>
            </w:pPr>
          </w:p>
        </w:tc>
        <w:tc>
          <w:tcPr>
            <w:tcW w:w="3402" w:type="dxa"/>
          </w:tcPr>
          <w:p w14:paraId="61563447" w14:textId="77777777" w:rsidR="00D2337F" w:rsidRPr="00927FEC" w:rsidRDefault="00D2337F" w:rsidP="00702C4C">
            <w:pPr>
              <w:pStyle w:val="ListParagraph"/>
              <w:ind w:left="113" w:hanging="113"/>
              <w:rPr>
                <w:sz w:val="20"/>
                <w:szCs w:val="20"/>
                <w:lang w:val="en-IE"/>
              </w:rPr>
            </w:pPr>
            <w:r w:rsidRPr="00927FEC">
              <w:rPr>
                <w:sz w:val="20"/>
                <w:szCs w:val="20"/>
                <w:lang w:val="en-IE"/>
              </w:rPr>
              <w:t>Care pathways</w:t>
            </w:r>
          </w:p>
          <w:p w14:paraId="09BFEC69" w14:textId="77777777" w:rsidR="00D2337F" w:rsidRPr="00927FEC" w:rsidRDefault="00D2337F" w:rsidP="00702C4C">
            <w:pPr>
              <w:pStyle w:val="ListParagraph"/>
              <w:ind w:left="113" w:hanging="113"/>
              <w:rPr>
                <w:sz w:val="20"/>
                <w:szCs w:val="20"/>
                <w:lang w:val="en-IE"/>
              </w:rPr>
            </w:pPr>
            <w:r w:rsidRPr="00927FEC">
              <w:rPr>
                <w:sz w:val="20"/>
                <w:szCs w:val="20"/>
                <w:lang w:val="en-IE"/>
              </w:rPr>
              <w:t>Referral system</w:t>
            </w:r>
          </w:p>
          <w:p w14:paraId="74DA22E1" w14:textId="77777777" w:rsidR="00D2337F" w:rsidRPr="00927FEC" w:rsidRDefault="00D2337F" w:rsidP="00702C4C">
            <w:pPr>
              <w:pStyle w:val="ListParagraph"/>
              <w:ind w:left="113" w:hanging="113"/>
              <w:rPr>
                <w:sz w:val="20"/>
                <w:szCs w:val="20"/>
                <w:lang w:val="en-IE"/>
              </w:rPr>
            </w:pPr>
            <w:r w:rsidRPr="00927FEC">
              <w:rPr>
                <w:sz w:val="20"/>
                <w:szCs w:val="20"/>
                <w:lang w:val="en-IE"/>
              </w:rPr>
              <w:t>Transition management</w:t>
            </w:r>
          </w:p>
          <w:p w14:paraId="6FA76FCC" w14:textId="02864A39" w:rsidR="00D2337F" w:rsidRPr="00927FEC" w:rsidRDefault="00D2337F" w:rsidP="00702C4C">
            <w:pPr>
              <w:pStyle w:val="ListParagraph"/>
              <w:ind w:left="113" w:hanging="113"/>
              <w:rPr>
                <w:sz w:val="20"/>
                <w:szCs w:val="20"/>
                <w:lang w:val="en-IE"/>
              </w:rPr>
            </w:pPr>
            <w:r w:rsidRPr="00927FEC">
              <w:rPr>
                <w:sz w:val="20"/>
                <w:szCs w:val="20"/>
                <w:lang w:val="en-IE"/>
              </w:rPr>
              <w:t xml:space="preserve"> </w:t>
            </w:r>
          </w:p>
        </w:tc>
      </w:tr>
      <w:tr w:rsidR="00D2337F" w:rsidRPr="00927FEC" w14:paraId="4FF6E70F" w14:textId="77777777" w:rsidTr="00183DEF">
        <w:trPr>
          <w:cantSplit/>
          <w:trHeight w:val="875"/>
        </w:trPr>
        <w:tc>
          <w:tcPr>
            <w:tcW w:w="633" w:type="dxa"/>
            <w:vMerge/>
            <w:shd w:val="clear" w:color="auto" w:fill="70AD47" w:themeFill="accent6"/>
            <w:textDirection w:val="btLr"/>
          </w:tcPr>
          <w:p w14:paraId="1D07FD0E" w14:textId="77777777" w:rsidR="00D2337F" w:rsidRPr="00927FEC" w:rsidRDefault="00D2337F" w:rsidP="000061FB">
            <w:pPr>
              <w:spacing w:after="160" w:line="259" w:lineRule="auto"/>
              <w:ind w:left="113" w:right="113"/>
              <w:jc w:val="center"/>
              <w:rPr>
                <w:b/>
                <w:sz w:val="20"/>
                <w:szCs w:val="20"/>
              </w:rPr>
            </w:pPr>
          </w:p>
        </w:tc>
        <w:tc>
          <w:tcPr>
            <w:tcW w:w="2811" w:type="dxa"/>
          </w:tcPr>
          <w:p w14:paraId="5683C97E" w14:textId="16BCAEE9" w:rsidR="00D2337F" w:rsidRPr="00927FEC" w:rsidRDefault="00D2337F" w:rsidP="000061FB">
            <w:pPr>
              <w:spacing w:after="160" w:line="259" w:lineRule="auto"/>
              <w:rPr>
                <w:sz w:val="20"/>
                <w:szCs w:val="20"/>
              </w:rPr>
            </w:pPr>
            <w:r w:rsidRPr="00927FEC">
              <w:rPr>
                <w:sz w:val="20"/>
                <w:szCs w:val="20"/>
              </w:rPr>
              <w:t>Overarching</w:t>
            </w:r>
          </w:p>
        </w:tc>
        <w:tc>
          <w:tcPr>
            <w:tcW w:w="3072" w:type="dxa"/>
          </w:tcPr>
          <w:p w14:paraId="18D5C496" w14:textId="77777777" w:rsidR="00D2337F" w:rsidRPr="00927FEC" w:rsidRDefault="00D2337F" w:rsidP="00702C4C">
            <w:pPr>
              <w:spacing w:after="160" w:line="259" w:lineRule="auto"/>
              <w:ind w:left="113" w:hanging="113"/>
              <w:rPr>
                <w:sz w:val="20"/>
                <w:szCs w:val="20"/>
              </w:rPr>
            </w:pPr>
          </w:p>
        </w:tc>
        <w:tc>
          <w:tcPr>
            <w:tcW w:w="3402" w:type="dxa"/>
          </w:tcPr>
          <w:p w14:paraId="1F82C966" w14:textId="77777777" w:rsidR="00D2337F" w:rsidRPr="00927FEC" w:rsidRDefault="00D2337F" w:rsidP="00F26B92">
            <w:pPr>
              <w:pStyle w:val="ListParagraph"/>
              <w:ind w:left="113" w:hanging="113"/>
              <w:rPr>
                <w:sz w:val="20"/>
                <w:szCs w:val="20"/>
                <w:lang w:val="en-IE"/>
              </w:rPr>
            </w:pPr>
            <w:r w:rsidRPr="00927FEC">
              <w:rPr>
                <w:sz w:val="20"/>
                <w:szCs w:val="20"/>
                <w:lang w:val="en-IE"/>
              </w:rPr>
              <w:t>Strategic planning</w:t>
            </w:r>
          </w:p>
          <w:p w14:paraId="49AF35CC" w14:textId="77777777" w:rsidR="00D2337F" w:rsidRPr="00927FEC" w:rsidRDefault="00D2337F" w:rsidP="00F26B92">
            <w:pPr>
              <w:pStyle w:val="ListParagraph"/>
              <w:ind w:left="113" w:hanging="113"/>
              <w:rPr>
                <w:sz w:val="20"/>
                <w:szCs w:val="20"/>
                <w:lang w:val="en-IE"/>
              </w:rPr>
            </w:pPr>
            <w:r w:rsidRPr="00927FEC">
              <w:rPr>
                <w:sz w:val="20"/>
                <w:szCs w:val="20"/>
                <w:lang w:val="en-IE"/>
              </w:rPr>
              <w:t>Managing facilities</w:t>
            </w:r>
          </w:p>
          <w:p w14:paraId="3CF7B784" w14:textId="77777777" w:rsidR="00D2337F" w:rsidRPr="00927FEC" w:rsidRDefault="00D2337F" w:rsidP="00F26B92">
            <w:pPr>
              <w:pStyle w:val="ListParagraph"/>
              <w:ind w:left="113" w:hanging="113"/>
              <w:rPr>
                <w:sz w:val="20"/>
                <w:szCs w:val="20"/>
                <w:lang w:val="en-IE"/>
              </w:rPr>
            </w:pPr>
            <w:r w:rsidRPr="00927FEC">
              <w:rPr>
                <w:sz w:val="20"/>
                <w:szCs w:val="20"/>
                <w:lang w:val="en-IE"/>
              </w:rPr>
              <w:t>Consultation rate</w:t>
            </w:r>
          </w:p>
          <w:p w14:paraId="5BE371DA" w14:textId="1BF5BA45" w:rsidR="00D2337F" w:rsidRPr="00927FEC" w:rsidRDefault="00D2337F" w:rsidP="00032AA8">
            <w:pPr>
              <w:pStyle w:val="ListParagraph"/>
              <w:numPr>
                <w:ilvl w:val="0"/>
                <w:numId w:val="0"/>
              </w:numPr>
              <w:ind w:left="113"/>
              <w:rPr>
                <w:sz w:val="20"/>
                <w:szCs w:val="20"/>
                <w:lang w:val="en-IE"/>
              </w:rPr>
            </w:pPr>
          </w:p>
        </w:tc>
      </w:tr>
      <w:tr w:rsidR="00D2337F" w:rsidRPr="00927FEC" w14:paraId="1B3A1107" w14:textId="2E0A7515" w:rsidTr="00183DEF">
        <w:trPr>
          <w:cantSplit/>
          <w:trHeight w:val="593"/>
        </w:trPr>
        <w:tc>
          <w:tcPr>
            <w:tcW w:w="633" w:type="dxa"/>
            <w:vMerge w:val="restart"/>
            <w:shd w:val="clear" w:color="auto" w:fill="70AD47" w:themeFill="accent6"/>
            <w:textDirection w:val="btLr"/>
          </w:tcPr>
          <w:p w14:paraId="472486B0" w14:textId="7831C3E2" w:rsidR="00D2337F" w:rsidRPr="00927FEC" w:rsidRDefault="00D2337F" w:rsidP="00F45CC8">
            <w:pPr>
              <w:spacing w:after="160" w:line="259" w:lineRule="auto"/>
              <w:ind w:left="113" w:right="113"/>
              <w:jc w:val="center"/>
              <w:rPr>
                <w:b/>
                <w:sz w:val="20"/>
                <w:szCs w:val="20"/>
              </w:rPr>
            </w:pPr>
            <w:r w:rsidRPr="00927FEC">
              <w:rPr>
                <w:b/>
                <w:sz w:val="20"/>
                <w:szCs w:val="20"/>
              </w:rPr>
              <w:t>Outputs</w:t>
            </w:r>
          </w:p>
        </w:tc>
        <w:tc>
          <w:tcPr>
            <w:tcW w:w="2811" w:type="dxa"/>
          </w:tcPr>
          <w:p w14:paraId="0E203D34" w14:textId="35DBDF79" w:rsidR="00D2337F" w:rsidRPr="00927FEC" w:rsidRDefault="00D2337F" w:rsidP="00F45CC8">
            <w:pPr>
              <w:spacing w:after="160" w:line="259" w:lineRule="auto"/>
              <w:rPr>
                <w:sz w:val="20"/>
                <w:szCs w:val="20"/>
              </w:rPr>
            </w:pPr>
            <w:r w:rsidRPr="00927FEC">
              <w:rPr>
                <w:sz w:val="20"/>
                <w:szCs w:val="20"/>
              </w:rPr>
              <w:t>Costs</w:t>
            </w:r>
          </w:p>
        </w:tc>
        <w:tc>
          <w:tcPr>
            <w:tcW w:w="3072" w:type="dxa"/>
          </w:tcPr>
          <w:p w14:paraId="5F4FE30E" w14:textId="73D6AFB9" w:rsidR="00D2337F" w:rsidRPr="00927FEC" w:rsidRDefault="00D2337F" w:rsidP="00702C4C">
            <w:pPr>
              <w:spacing w:after="160" w:line="259" w:lineRule="auto"/>
              <w:ind w:left="113" w:hanging="113"/>
              <w:rPr>
                <w:sz w:val="20"/>
                <w:szCs w:val="20"/>
              </w:rPr>
            </w:pPr>
          </w:p>
        </w:tc>
        <w:tc>
          <w:tcPr>
            <w:tcW w:w="3402" w:type="dxa"/>
          </w:tcPr>
          <w:p w14:paraId="16C6771D" w14:textId="77777777" w:rsidR="00D2337F" w:rsidRPr="00927FEC" w:rsidRDefault="00D2337F" w:rsidP="00396813">
            <w:pPr>
              <w:ind w:left="720" w:hanging="360"/>
              <w:rPr>
                <w:sz w:val="20"/>
                <w:szCs w:val="20"/>
              </w:rPr>
            </w:pPr>
          </w:p>
        </w:tc>
      </w:tr>
      <w:tr w:rsidR="00D2337F" w:rsidRPr="00927FEC" w14:paraId="078C9D34" w14:textId="7679AEA1" w:rsidTr="009F1E7F">
        <w:trPr>
          <w:cantSplit/>
          <w:trHeight w:val="817"/>
        </w:trPr>
        <w:tc>
          <w:tcPr>
            <w:tcW w:w="633" w:type="dxa"/>
            <w:vMerge/>
            <w:shd w:val="clear" w:color="auto" w:fill="70AD47" w:themeFill="accent6"/>
            <w:textDirection w:val="btLr"/>
          </w:tcPr>
          <w:p w14:paraId="210ABFC3" w14:textId="77777777" w:rsidR="00D2337F" w:rsidRPr="00927FEC" w:rsidRDefault="00D2337F" w:rsidP="00F45CC8">
            <w:pPr>
              <w:spacing w:after="160" w:line="259" w:lineRule="auto"/>
              <w:ind w:left="113" w:right="113"/>
              <w:jc w:val="center"/>
              <w:rPr>
                <w:b/>
                <w:sz w:val="20"/>
                <w:szCs w:val="20"/>
              </w:rPr>
            </w:pPr>
          </w:p>
        </w:tc>
        <w:tc>
          <w:tcPr>
            <w:tcW w:w="2811" w:type="dxa"/>
          </w:tcPr>
          <w:p w14:paraId="631B1882" w14:textId="648D5D88" w:rsidR="00D2337F" w:rsidRPr="00927FEC" w:rsidRDefault="00D2337F" w:rsidP="00F45CC8">
            <w:pPr>
              <w:spacing w:after="160" w:line="259" w:lineRule="auto"/>
              <w:rPr>
                <w:sz w:val="20"/>
                <w:szCs w:val="20"/>
              </w:rPr>
            </w:pPr>
            <w:r w:rsidRPr="00927FEC">
              <w:rPr>
                <w:sz w:val="20"/>
                <w:szCs w:val="20"/>
              </w:rPr>
              <w:t>Quality</w:t>
            </w:r>
          </w:p>
        </w:tc>
        <w:tc>
          <w:tcPr>
            <w:tcW w:w="3072" w:type="dxa"/>
          </w:tcPr>
          <w:p w14:paraId="63F62EDC" w14:textId="77777777" w:rsidR="00D2337F" w:rsidRPr="00927FEC" w:rsidRDefault="00D2337F" w:rsidP="00702C4C">
            <w:pPr>
              <w:pStyle w:val="ListParagraph"/>
              <w:ind w:left="113" w:hanging="113"/>
              <w:rPr>
                <w:sz w:val="20"/>
                <w:szCs w:val="20"/>
                <w:lang w:val="en-IE"/>
              </w:rPr>
            </w:pPr>
            <w:r w:rsidRPr="00927FEC">
              <w:rPr>
                <w:sz w:val="20"/>
                <w:szCs w:val="20"/>
                <w:lang w:val="en-IE"/>
              </w:rPr>
              <w:t>Clinical effectiveness</w:t>
            </w:r>
          </w:p>
          <w:p w14:paraId="346B7142" w14:textId="47E2EF85" w:rsidR="00D2337F" w:rsidRPr="00927FEC" w:rsidRDefault="00D2337F" w:rsidP="00702C4C">
            <w:pPr>
              <w:pStyle w:val="ListParagraph"/>
              <w:ind w:left="113" w:hanging="113"/>
              <w:rPr>
                <w:sz w:val="20"/>
                <w:szCs w:val="20"/>
                <w:lang w:val="en-IE"/>
              </w:rPr>
            </w:pPr>
            <w:r w:rsidRPr="00927FEC">
              <w:rPr>
                <w:sz w:val="20"/>
                <w:szCs w:val="20"/>
                <w:lang w:val="en-IE"/>
              </w:rPr>
              <w:t>Safety</w:t>
            </w:r>
          </w:p>
        </w:tc>
        <w:tc>
          <w:tcPr>
            <w:tcW w:w="3402" w:type="dxa"/>
          </w:tcPr>
          <w:p w14:paraId="7B1AC28B" w14:textId="77777777" w:rsidR="00D2337F" w:rsidRPr="00927FEC" w:rsidRDefault="00D2337F" w:rsidP="005B2B2C">
            <w:pPr>
              <w:pStyle w:val="ListParagraph"/>
              <w:ind w:left="113" w:hanging="113"/>
              <w:rPr>
                <w:sz w:val="20"/>
                <w:szCs w:val="20"/>
                <w:lang w:val="en-IE"/>
              </w:rPr>
            </w:pPr>
            <w:r w:rsidRPr="00927FEC">
              <w:rPr>
                <w:sz w:val="20"/>
                <w:szCs w:val="20"/>
                <w:lang w:val="en-IE"/>
              </w:rPr>
              <w:t>Service level quality improvement mechanisms</w:t>
            </w:r>
          </w:p>
          <w:p w14:paraId="2F95428A" w14:textId="77777777" w:rsidR="00D2337F" w:rsidRPr="00927FEC" w:rsidRDefault="00D2337F" w:rsidP="005B2B2C">
            <w:pPr>
              <w:pStyle w:val="ListParagraph"/>
              <w:ind w:left="113" w:hanging="113"/>
              <w:rPr>
                <w:sz w:val="20"/>
                <w:szCs w:val="20"/>
                <w:lang w:val="en-IE"/>
              </w:rPr>
            </w:pPr>
            <w:r w:rsidRPr="00927FEC">
              <w:rPr>
                <w:sz w:val="20"/>
                <w:szCs w:val="20"/>
                <w:lang w:val="en-IE"/>
              </w:rPr>
              <w:t>External accountability for quality of care</w:t>
            </w:r>
          </w:p>
          <w:p w14:paraId="18E4CD84" w14:textId="6ABDFB9B" w:rsidR="00D2337F" w:rsidRPr="00927FEC" w:rsidRDefault="00D2337F" w:rsidP="005B2B2C">
            <w:pPr>
              <w:pStyle w:val="ListParagraph"/>
              <w:ind w:left="113" w:hanging="113"/>
              <w:rPr>
                <w:sz w:val="20"/>
                <w:szCs w:val="20"/>
                <w:lang w:val="en-IE"/>
              </w:rPr>
            </w:pPr>
            <w:r w:rsidRPr="00927FEC">
              <w:rPr>
                <w:sz w:val="20"/>
                <w:szCs w:val="20"/>
                <w:lang w:val="en-IE"/>
              </w:rPr>
              <w:t>Continuous professional development</w:t>
            </w:r>
          </w:p>
        </w:tc>
      </w:tr>
      <w:tr w:rsidR="00D2337F" w:rsidRPr="00927FEC" w14:paraId="5D7F4F4D" w14:textId="25AEA9B5" w:rsidTr="009F1E7F">
        <w:trPr>
          <w:cantSplit/>
          <w:trHeight w:val="829"/>
        </w:trPr>
        <w:tc>
          <w:tcPr>
            <w:tcW w:w="633" w:type="dxa"/>
            <w:vMerge/>
            <w:shd w:val="clear" w:color="auto" w:fill="70AD47" w:themeFill="accent6"/>
            <w:textDirection w:val="btLr"/>
          </w:tcPr>
          <w:p w14:paraId="3AAC9385" w14:textId="77777777" w:rsidR="00D2337F" w:rsidRPr="00927FEC" w:rsidRDefault="00D2337F" w:rsidP="007D309C">
            <w:pPr>
              <w:spacing w:after="160" w:line="259" w:lineRule="auto"/>
              <w:ind w:left="113" w:right="113"/>
              <w:jc w:val="center"/>
              <w:rPr>
                <w:b/>
                <w:sz w:val="20"/>
                <w:szCs w:val="20"/>
              </w:rPr>
            </w:pPr>
          </w:p>
        </w:tc>
        <w:tc>
          <w:tcPr>
            <w:tcW w:w="2811" w:type="dxa"/>
          </w:tcPr>
          <w:p w14:paraId="7F862783" w14:textId="44E523CF" w:rsidR="00D2337F" w:rsidRPr="00927FEC" w:rsidRDefault="00D2337F" w:rsidP="007D309C">
            <w:pPr>
              <w:spacing w:after="160" w:line="259" w:lineRule="auto"/>
              <w:rPr>
                <w:sz w:val="20"/>
                <w:szCs w:val="20"/>
              </w:rPr>
            </w:pPr>
            <w:r w:rsidRPr="00927FEC">
              <w:rPr>
                <w:sz w:val="20"/>
                <w:szCs w:val="20"/>
              </w:rPr>
              <w:t>Person-centeredness</w:t>
            </w:r>
          </w:p>
        </w:tc>
        <w:tc>
          <w:tcPr>
            <w:tcW w:w="3072" w:type="dxa"/>
          </w:tcPr>
          <w:p w14:paraId="1FD39CB7" w14:textId="77777777" w:rsidR="00D2337F" w:rsidRPr="00927FEC" w:rsidRDefault="00D2337F" w:rsidP="00702C4C">
            <w:pPr>
              <w:spacing w:line="240" w:lineRule="auto"/>
              <w:ind w:left="113" w:hanging="113"/>
              <w:rPr>
                <w:sz w:val="20"/>
                <w:szCs w:val="20"/>
              </w:rPr>
            </w:pPr>
            <w:r w:rsidRPr="00927FEC">
              <w:rPr>
                <w:sz w:val="20"/>
                <w:szCs w:val="20"/>
              </w:rPr>
              <w:t>•</w:t>
            </w:r>
            <w:r w:rsidRPr="00927FEC">
              <w:rPr>
                <w:sz w:val="20"/>
                <w:szCs w:val="20"/>
              </w:rPr>
              <w:tab/>
              <w:t>Patient experiences</w:t>
            </w:r>
          </w:p>
          <w:p w14:paraId="142FCA03" w14:textId="77777777" w:rsidR="00D2337F" w:rsidRPr="00927FEC" w:rsidRDefault="00D2337F" w:rsidP="00702C4C">
            <w:pPr>
              <w:spacing w:line="240" w:lineRule="auto"/>
              <w:ind w:left="113" w:hanging="113"/>
              <w:rPr>
                <w:sz w:val="20"/>
                <w:szCs w:val="20"/>
              </w:rPr>
            </w:pPr>
            <w:r w:rsidRPr="00927FEC">
              <w:rPr>
                <w:sz w:val="20"/>
                <w:szCs w:val="20"/>
              </w:rPr>
              <w:t>•</w:t>
            </w:r>
            <w:r w:rsidRPr="00927FEC">
              <w:rPr>
                <w:sz w:val="20"/>
                <w:szCs w:val="20"/>
              </w:rPr>
              <w:tab/>
              <w:t>Carer experiences</w:t>
            </w:r>
          </w:p>
          <w:p w14:paraId="09A4257E" w14:textId="4B0D8BE5" w:rsidR="00D2337F" w:rsidRPr="00927FEC" w:rsidRDefault="00D2337F" w:rsidP="00702C4C">
            <w:pPr>
              <w:spacing w:line="240" w:lineRule="auto"/>
              <w:ind w:left="113" w:hanging="113"/>
              <w:rPr>
                <w:sz w:val="20"/>
                <w:szCs w:val="20"/>
              </w:rPr>
            </w:pPr>
            <w:r w:rsidRPr="00927FEC">
              <w:rPr>
                <w:sz w:val="20"/>
                <w:szCs w:val="20"/>
              </w:rPr>
              <w:t>•</w:t>
            </w:r>
            <w:r w:rsidRPr="00927FEC">
              <w:rPr>
                <w:sz w:val="20"/>
                <w:szCs w:val="20"/>
              </w:rPr>
              <w:tab/>
              <w:t>Staff experiences</w:t>
            </w:r>
          </w:p>
        </w:tc>
        <w:tc>
          <w:tcPr>
            <w:tcW w:w="3402" w:type="dxa"/>
          </w:tcPr>
          <w:p w14:paraId="793F13E2" w14:textId="1D3597BB" w:rsidR="00D2337F" w:rsidRPr="00927FEC" w:rsidRDefault="00D2337F" w:rsidP="00072791">
            <w:pPr>
              <w:pStyle w:val="ListParagraph"/>
              <w:ind w:left="113" w:hanging="113"/>
              <w:rPr>
                <w:sz w:val="20"/>
                <w:szCs w:val="20"/>
                <w:lang w:val="en-IE"/>
              </w:rPr>
            </w:pPr>
            <w:r w:rsidRPr="00927FEC">
              <w:rPr>
                <w:sz w:val="20"/>
                <w:szCs w:val="20"/>
                <w:lang w:val="en-IE"/>
              </w:rPr>
              <w:t>Shared decision-making</w:t>
            </w:r>
          </w:p>
        </w:tc>
      </w:tr>
      <w:tr w:rsidR="00D2337F" w:rsidRPr="00927FEC" w14:paraId="1EFF752A" w14:textId="77777777" w:rsidTr="009F1E7F">
        <w:trPr>
          <w:cantSplit/>
          <w:trHeight w:val="1134"/>
        </w:trPr>
        <w:tc>
          <w:tcPr>
            <w:tcW w:w="633" w:type="dxa"/>
            <w:vMerge/>
            <w:shd w:val="clear" w:color="auto" w:fill="C00000"/>
            <w:textDirection w:val="btLr"/>
          </w:tcPr>
          <w:p w14:paraId="29E6A29E" w14:textId="77777777" w:rsidR="00D2337F" w:rsidRPr="00927FEC" w:rsidRDefault="00D2337F" w:rsidP="007D309C">
            <w:pPr>
              <w:spacing w:after="160" w:line="259" w:lineRule="auto"/>
              <w:ind w:left="113" w:right="113"/>
              <w:jc w:val="center"/>
              <w:rPr>
                <w:b/>
                <w:sz w:val="20"/>
                <w:szCs w:val="20"/>
              </w:rPr>
            </w:pPr>
          </w:p>
        </w:tc>
        <w:tc>
          <w:tcPr>
            <w:tcW w:w="2811" w:type="dxa"/>
          </w:tcPr>
          <w:p w14:paraId="0FF950D5" w14:textId="4CED7F65" w:rsidR="00D2337F" w:rsidRPr="00927FEC" w:rsidRDefault="00D2337F" w:rsidP="007D309C">
            <w:pPr>
              <w:spacing w:after="160" w:line="259" w:lineRule="auto"/>
              <w:rPr>
                <w:sz w:val="20"/>
                <w:szCs w:val="20"/>
              </w:rPr>
            </w:pPr>
            <w:r w:rsidRPr="00927FEC">
              <w:rPr>
                <w:sz w:val="20"/>
                <w:szCs w:val="20"/>
              </w:rPr>
              <w:t>Access</w:t>
            </w:r>
          </w:p>
        </w:tc>
        <w:tc>
          <w:tcPr>
            <w:tcW w:w="3072" w:type="dxa"/>
          </w:tcPr>
          <w:p w14:paraId="657889A2" w14:textId="77777777" w:rsidR="00D2337F" w:rsidRPr="00927FEC" w:rsidRDefault="00D2337F" w:rsidP="00702C4C">
            <w:pPr>
              <w:pStyle w:val="ListParagraph"/>
              <w:ind w:left="113" w:hanging="113"/>
              <w:rPr>
                <w:sz w:val="20"/>
                <w:szCs w:val="20"/>
                <w:lang w:val="en-IE"/>
              </w:rPr>
            </w:pPr>
            <w:r w:rsidRPr="00927FEC">
              <w:rPr>
                <w:sz w:val="20"/>
                <w:szCs w:val="20"/>
                <w:lang w:val="en-IE"/>
              </w:rPr>
              <w:t>Ability to perceive (health literacy) and approachability</w:t>
            </w:r>
          </w:p>
          <w:p w14:paraId="5C44EC0F" w14:textId="77777777" w:rsidR="00D2337F" w:rsidRPr="00927FEC" w:rsidRDefault="00D2337F" w:rsidP="00702C4C">
            <w:pPr>
              <w:pStyle w:val="ListParagraph"/>
              <w:ind w:left="113" w:hanging="113"/>
              <w:rPr>
                <w:sz w:val="20"/>
                <w:szCs w:val="20"/>
                <w:lang w:val="en-IE"/>
              </w:rPr>
            </w:pPr>
            <w:r w:rsidRPr="00927FEC">
              <w:rPr>
                <w:sz w:val="20"/>
                <w:szCs w:val="20"/>
                <w:lang w:val="en-IE"/>
              </w:rPr>
              <w:t>Ability to seek and acceptability</w:t>
            </w:r>
          </w:p>
          <w:p w14:paraId="5B20DDFB" w14:textId="77777777" w:rsidR="00D2337F" w:rsidRPr="00927FEC" w:rsidRDefault="00D2337F" w:rsidP="00702C4C">
            <w:pPr>
              <w:pStyle w:val="ListParagraph"/>
              <w:ind w:left="113" w:hanging="113"/>
              <w:rPr>
                <w:sz w:val="20"/>
                <w:szCs w:val="20"/>
                <w:lang w:val="en-IE"/>
              </w:rPr>
            </w:pPr>
            <w:r w:rsidRPr="00927FEC">
              <w:rPr>
                <w:sz w:val="20"/>
                <w:szCs w:val="20"/>
                <w:lang w:val="en-IE"/>
              </w:rPr>
              <w:t xml:space="preserve">Ability to reach and availability (including timeliness) </w:t>
            </w:r>
          </w:p>
          <w:p w14:paraId="16F0BA8E" w14:textId="77777777" w:rsidR="00D2337F" w:rsidRPr="00927FEC" w:rsidRDefault="00D2337F" w:rsidP="00702C4C">
            <w:pPr>
              <w:pStyle w:val="ListParagraph"/>
              <w:ind w:left="113" w:hanging="113"/>
              <w:rPr>
                <w:sz w:val="20"/>
                <w:szCs w:val="20"/>
                <w:lang w:val="en-IE"/>
              </w:rPr>
            </w:pPr>
            <w:r w:rsidRPr="00927FEC">
              <w:rPr>
                <w:sz w:val="20"/>
                <w:szCs w:val="20"/>
                <w:lang w:val="en-IE"/>
              </w:rPr>
              <w:t>Ability to pay and affordability</w:t>
            </w:r>
          </w:p>
          <w:p w14:paraId="6A9EAF27" w14:textId="2C31A14B" w:rsidR="00D2337F" w:rsidRPr="00927FEC" w:rsidRDefault="00D2337F" w:rsidP="00702C4C">
            <w:pPr>
              <w:pStyle w:val="ListParagraph"/>
              <w:ind w:left="113" w:hanging="113"/>
              <w:rPr>
                <w:sz w:val="20"/>
                <w:szCs w:val="20"/>
                <w:lang w:val="en-IE"/>
              </w:rPr>
            </w:pPr>
            <w:r w:rsidRPr="00927FEC">
              <w:rPr>
                <w:sz w:val="20"/>
                <w:szCs w:val="20"/>
                <w:lang w:val="en-IE"/>
              </w:rPr>
              <w:t>Ability to engage and appropriateness</w:t>
            </w:r>
          </w:p>
        </w:tc>
        <w:tc>
          <w:tcPr>
            <w:tcW w:w="3402" w:type="dxa"/>
          </w:tcPr>
          <w:p w14:paraId="64479321" w14:textId="77777777" w:rsidR="00D2337F" w:rsidRPr="00927FEC" w:rsidRDefault="00956895" w:rsidP="00956895">
            <w:pPr>
              <w:pStyle w:val="ListParagraph"/>
              <w:ind w:left="113" w:hanging="113"/>
              <w:rPr>
                <w:sz w:val="20"/>
                <w:szCs w:val="20"/>
                <w:lang w:val="en-IE"/>
              </w:rPr>
            </w:pPr>
            <w:r w:rsidRPr="00927FEC">
              <w:rPr>
                <w:sz w:val="20"/>
                <w:szCs w:val="20"/>
                <w:lang w:val="en-IE"/>
              </w:rPr>
              <w:t>Affordability</w:t>
            </w:r>
          </w:p>
          <w:p w14:paraId="64B258B6" w14:textId="1BC36AF1" w:rsidR="00956895" w:rsidRPr="00927FEC" w:rsidRDefault="00956895" w:rsidP="00956895">
            <w:pPr>
              <w:pStyle w:val="ListParagraph"/>
              <w:ind w:left="113" w:hanging="113"/>
              <w:rPr>
                <w:sz w:val="20"/>
                <w:szCs w:val="20"/>
                <w:lang w:val="en-IE"/>
              </w:rPr>
            </w:pPr>
            <w:r w:rsidRPr="00927FEC">
              <w:rPr>
                <w:sz w:val="20"/>
                <w:szCs w:val="20"/>
                <w:lang w:val="en-IE"/>
              </w:rPr>
              <w:t>Timeliness</w:t>
            </w:r>
          </w:p>
        </w:tc>
      </w:tr>
      <w:tr w:rsidR="00D2337F" w:rsidRPr="00927FEC" w14:paraId="06551728" w14:textId="04A40022" w:rsidTr="00183DEF">
        <w:trPr>
          <w:cantSplit/>
          <w:trHeight w:val="835"/>
        </w:trPr>
        <w:tc>
          <w:tcPr>
            <w:tcW w:w="633" w:type="dxa"/>
            <w:shd w:val="clear" w:color="auto" w:fill="C00000"/>
            <w:textDirection w:val="btLr"/>
          </w:tcPr>
          <w:p w14:paraId="3C7E95D1" w14:textId="28075CE1" w:rsidR="00D2337F" w:rsidRPr="00927FEC" w:rsidRDefault="00D2337F" w:rsidP="007D309C">
            <w:pPr>
              <w:spacing w:after="160" w:line="259" w:lineRule="auto"/>
              <w:ind w:left="113" w:right="113"/>
              <w:jc w:val="center"/>
              <w:rPr>
                <w:b/>
                <w:sz w:val="20"/>
                <w:szCs w:val="20"/>
              </w:rPr>
            </w:pPr>
            <w:r w:rsidRPr="00927FEC">
              <w:rPr>
                <w:b/>
                <w:sz w:val="20"/>
                <w:szCs w:val="20"/>
              </w:rPr>
              <w:t>Outcome</w:t>
            </w:r>
          </w:p>
        </w:tc>
        <w:tc>
          <w:tcPr>
            <w:tcW w:w="2811" w:type="dxa"/>
          </w:tcPr>
          <w:p w14:paraId="10286F39" w14:textId="0C3C3880" w:rsidR="00D2337F" w:rsidRPr="00927FEC" w:rsidRDefault="00D2337F" w:rsidP="007D309C">
            <w:pPr>
              <w:spacing w:after="160" w:line="259" w:lineRule="auto"/>
              <w:rPr>
                <w:sz w:val="20"/>
                <w:szCs w:val="20"/>
              </w:rPr>
            </w:pPr>
            <w:r w:rsidRPr="00927FEC">
              <w:rPr>
                <w:sz w:val="20"/>
                <w:szCs w:val="20"/>
              </w:rPr>
              <w:t>Health &amp; Wellbeing</w:t>
            </w:r>
          </w:p>
        </w:tc>
        <w:tc>
          <w:tcPr>
            <w:tcW w:w="3072" w:type="dxa"/>
          </w:tcPr>
          <w:p w14:paraId="5F464AD1" w14:textId="58A6C034" w:rsidR="00D2337F" w:rsidRPr="00927FEC" w:rsidRDefault="00D2337F" w:rsidP="00702C4C">
            <w:pPr>
              <w:spacing w:after="160" w:line="259" w:lineRule="auto"/>
              <w:ind w:left="113" w:hanging="113"/>
              <w:rPr>
                <w:sz w:val="20"/>
                <w:szCs w:val="20"/>
              </w:rPr>
            </w:pPr>
          </w:p>
        </w:tc>
        <w:tc>
          <w:tcPr>
            <w:tcW w:w="3402" w:type="dxa"/>
          </w:tcPr>
          <w:p w14:paraId="2527E39C" w14:textId="77777777" w:rsidR="00D2337F" w:rsidRPr="00927FEC" w:rsidRDefault="00744902" w:rsidP="00744902">
            <w:pPr>
              <w:pStyle w:val="ListParagraph"/>
              <w:ind w:left="113" w:hanging="113"/>
              <w:rPr>
                <w:sz w:val="20"/>
                <w:szCs w:val="20"/>
                <w:lang w:val="en-IE"/>
              </w:rPr>
            </w:pPr>
            <w:r w:rsidRPr="00927FEC">
              <w:rPr>
                <w:sz w:val="20"/>
                <w:szCs w:val="20"/>
                <w:lang w:val="en-IE"/>
              </w:rPr>
              <w:t>Burden of disease</w:t>
            </w:r>
          </w:p>
          <w:p w14:paraId="01162CDA" w14:textId="77777777" w:rsidR="00744902" w:rsidRPr="00927FEC" w:rsidRDefault="00744902" w:rsidP="00744902">
            <w:pPr>
              <w:pStyle w:val="ListParagraph"/>
              <w:ind w:left="113" w:hanging="113"/>
              <w:rPr>
                <w:sz w:val="20"/>
                <w:szCs w:val="20"/>
                <w:lang w:val="en-IE"/>
              </w:rPr>
            </w:pPr>
            <w:r w:rsidRPr="00927FEC">
              <w:rPr>
                <w:sz w:val="20"/>
                <w:szCs w:val="20"/>
                <w:lang w:val="en-IE"/>
              </w:rPr>
              <w:t>Risk factors</w:t>
            </w:r>
          </w:p>
          <w:p w14:paraId="26B1103D" w14:textId="7474F36F" w:rsidR="00744902" w:rsidRPr="00927FEC" w:rsidRDefault="00744902" w:rsidP="00744902">
            <w:pPr>
              <w:pStyle w:val="ListParagraph"/>
              <w:ind w:left="113" w:hanging="113"/>
              <w:rPr>
                <w:sz w:val="20"/>
                <w:szCs w:val="20"/>
                <w:lang w:val="en-IE"/>
              </w:rPr>
            </w:pPr>
            <w:r w:rsidRPr="00927FEC">
              <w:rPr>
                <w:sz w:val="20"/>
                <w:szCs w:val="20"/>
                <w:lang w:val="en-IE"/>
              </w:rPr>
              <w:t xml:space="preserve">Mortality </w:t>
            </w:r>
          </w:p>
        </w:tc>
      </w:tr>
      <w:tr w:rsidR="00D2337F" w:rsidRPr="00927FEC" w14:paraId="04996C0E" w14:textId="77777777" w:rsidTr="009F1E7F">
        <w:trPr>
          <w:cantSplit/>
          <w:trHeight w:val="566"/>
        </w:trPr>
        <w:tc>
          <w:tcPr>
            <w:tcW w:w="633" w:type="dxa"/>
            <w:vMerge w:val="restart"/>
            <w:shd w:val="clear" w:color="auto" w:fill="FFFF00"/>
            <w:textDirection w:val="btLr"/>
          </w:tcPr>
          <w:p w14:paraId="6F4AB460" w14:textId="52018ED2" w:rsidR="00D2337F" w:rsidRPr="00927FEC" w:rsidRDefault="00D2337F" w:rsidP="007D309C">
            <w:pPr>
              <w:spacing w:after="160" w:line="259" w:lineRule="auto"/>
              <w:ind w:left="113" w:right="113"/>
              <w:jc w:val="center"/>
              <w:rPr>
                <w:b/>
                <w:sz w:val="20"/>
                <w:szCs w:val="20"/>
              </w:rPr>
            </w:pPr>
            <w:r w:rsidRPr="00927FEC">
              <w:rPr>
                <w:b/>
                <w:sz w:val="20"/>
                <w:szCs w:val="20"/>
              </w:rPr>
              <w:t>Cross-cutting</w:t>
            </w:r>
          </w:p>
        </w:tc>
        <w:tc>
          <w:tcPr>
            <w:tcW w:w="2811" w:type="dxa"/>
          </w:tcPr>
          <w:p w14:paraId="1FF6BC97" w14:textId="04D6A29B" w:rsidR="00D2337F" w:rsidRPr="00927FEC" w:rsidRDefault="00D2337F" w:rsidP="007D309C">
            <w:pPr>
              <w:spacing w:after="160" w:line="259" w:lineRule="auto"/>
              <w:rPr>
                <w:sz w:val="20"/>
                <w:szCs w:val="20"/>
              </w:rPr>
            </w:pPr>
            <w:r w:rsidRPr="00927FEC">
              <w:rPr>
                <w:sz w:val="20"/>
                <w:szCs w:val="20"/>
              </w:rPr>
              <w:t>Resilience</w:t>
            </w:r>
          </w:p>
        </w:tc>
        <w:tc>
          <w:tcPr>
            <w:tcW w:w="3072" w:type="dxa"/>
          </w:tcPr>
          <w:p w14:paraId="57ADAE1E" w14:textId="77777777" w:rsidR="00D2337F" w:rsidRPr="00927FEC" w:rsidRDefault="00D2337F" w:rsidP="00702C4C">
            <w:pPr>
              <w:spacing w:after="160" w:line="259" w:lineRule="auto"/>
              <w:ind w:left="113" w:hanging="113"/>
              <w:rPr>
                <w:sz w:val="20"/>
                <w:szCs w:val="20"/>
              </w:rPr>
            </w:pPr>
          </w:p>
        </w:tc>
        <w:tc>
          <w:tcPr>
            <w:tcW w:w="3402" w:type="dxa"/>
          </w:tcPr>
          <w:p w14:paraId="29CEE34E" w14:textId="77777777" w:rsidR="00D2337F" w:rsidRPr="00927FEC" w:rsidRDefault="00D2337F" w:rsidP="00702C4C">
            <w:pPr>
              <w:pStyle w:val="ListParagraph"/>
              <w:ind w:left="113" w:hanging="113"/>
              <w:rPr>
                <w:sz w:val="20"/>
                <w:szCs w:val="20"/>
                <w:lang w:val="en-IE"/>
              </w:rPr>
            </w:pPr>
            <w:r w:rsidRPr="00927FEC">
              <w:rPr>
                <w:sz w:val="20"/>
                <w:szCs w:val="20"/>
                <w:lang w:val="en-IE"/>
              </w:rPr>
              <w:t>Effective and participatory leadership with strong vision and communication</w:t>
            </w:r>
          </w:p>
          <w:p w14:paraId="00F2FD82" w14:textId="77777777" w:rsidR="00D2337F" w:rsidRPr="00927FEC" w:rsidRDefault="00D2337F" w:rsidP="00702C4C">
            <w:pPr>
              <w:pStyle w:val="ListParagraph"/>
              <w:ind w:left="113" w:hanging="113"/>
              <w:rPr>
                <w:sz w:val="20"/>
                <w:szCs w:val="20"/>
                <w:lang w:val="en-IE"/>
              </w:rPr>
            </w:pPr>
            <w:r w:rsidRPr="00927FEC">
              <w:rPr>
                <w:sz w:val="20"/>
                <w:szCs w:val="20"/>
                <w:lang w:val="en-IE"/>
              </w:rPr>
              <w:t>Coordination of activities across government and key stakeholders</w:t>
            </w:r>
          </w:p>
          <w:p w14:paraId="04F4135C" w14:textId="77777777" w:rsidR="00D2337F" w:rsidRPr="00927FEC" w:rsidRDefault="00D2337F" w:rsidP="00702C4C">
            <w:pPr>
              <w:pStyle w:val="ListParagraph"/>
              <w:ind w:left="113" w:hanging="113"/>
              <w:rPr>
                <w:sz w:val="20"/>
                <w:szCs w:val="20"/>
                <w:lang w:val="en-IE"/>
              </w:rPr>
            </w:pPr>
            <w:r w:rsidRPr="00927FEC">
              <w:rPr>
                <w:sz w:val="20"/>
                <w:szCs w:val="20"/>
                <w:lang w:val="en-IE"/>
              </w:rPr>
              <w:t>Organizational learning culture that is responsive to crises</w:t>
            </w:r>
          </w:p>
          <w:p w14:paraId="22976D91" w14:textId="77777777" w:rsidR="00D2337F" w:rsidRPr="00927FEC" w:rsidRDefault="00D2337F" w:rsidP="00702C4C">
            <w:pPr>
              <w:pStyle w:val="ListParagraph"/>
              <w:ind w:left="113" w:hanging="113"/>
              <w:rPr>
                <w:sz w:val="20"/>
                <w:szCs w:val="20"/>
                <w:lang w:val="en-IE"/>
              </w:rPr>
            </w:pPr>
            <w:r w:rsidRPr="00927FEC">
              <w:rPr>
                <w:sz w:val="20"/>
                <w:szCs w:val="20"/>
                <w:lang w:val="en-IE"/>
              </w:rPr>
              <w:t>Effective information systems and flows</w:t>
            </w:r>
          </w:p>
          <w:p w14:paraId="26531B0B" w14:textId="77777777" w:rsidR="00D2337F" w:rsidRPr="00927FEC" w:rsidRDefault="00D2337F" w:rsidP="00702C4C">
            <w:pPr>
              <w:pStyle w:val="ListParagraph"/>
              <w:ind w:left="113" w:hanging="113"/>
              <w:rPr>
                <w:sz w:val="20"/>
                <w:szCs w:val="20"/>
                <w:lang w:val="en-IE"/>
              </w:rPr>
            </w:pPr>
            <w:r w:rsidRPr="00927FEC">
              <w:rPr>
                <w:sz w:val="20"/>
                <w:szCs w:val="20"/>
                <w:lang w:val="en-IE"/>
              </w:rPr>
              <w:t>Surveillance enabling timely detection of shocks and their impact</w:t>
            </w:r>
          </w:p>
          <w:p w14:paraId="5D41347F" w14:textId="77777777" w:rsidR="00D2337F" w:rsidRPr="00927FEC" w:rsidRDefault="00D2337F" w:rsidP="00702C4C">
            <w:pPr>
              <w:pStyle w:val="ListParagraph"/>
              <w:ind w:left="113" w:hanging="113"/>
              <w:rPr>
                <w:sz w:val="20"/>
                <w:szCs w:val="20"/>
                <w:lang w:val="en-IE"/>
              </w:rPr>
            </w:pPr>
            <w:r w:rsidRPr="00927FEC">
              <w:rPr>
                <w:sz w:val="20"/>
                <w:szCs w:val="20"/>
                <w:lang w:val="en-IE"/>
              </w:rPr>
              <w:t>Ensuring sufficient monetary resources in the system and flexibility to reallocate and inject extra funds</w:t>
            </w:r>
          </w:p>
          <w:p w14:paraId="2987D6E0" w14:textId="77777777" w:rsidR="00D2337F" w:rsidRPr="00927FEC" w:rsidRDefault="00D2337F" w:rsidP="00702C4C">
            <w:pPr>
              <w:pStyle w:val="ListParagraph"/>
              <w:ind w:left="113" w:hanging="113"/>
              <w:rPr>
                <w:sz w:val="20"/>
                <w:szCs w:val="20"/>
                <w:lang w:val="en-IE"/>
              </w:rPr>
            </w:pPr>
            <w:r w:rsidRPr="00927FEC">
              <w:rPr>
                <w:sz w:val="20"/>
                <w:szCs w:val="20"/>
                <w:lang w:val="en-IE"/>
              </w:rPr>
              <w:t>Ensuring stability of health system funding through countercyclical health financing mechanisms and reserves</w:t>
            </w:r>
          </w:p>
          <w:p w14:paraId="5B4B0C5E" w14:textId="77777777" w:rsidR="00D2337F" w:rsidRPr="00927FEC" w:rsidRDefault="00D2337F" w:rsidP="00702C4C">
            <w:pPr>
              <w:pStyle w:val="ListParagraph"/>
              <w:ind w:left="113" w:hanging="113"/>
              <w:rPr>
                <w:sz w:val="20"/>
                <w:szCs w:val="20"/>
                <w:lang w:val="en-IE"/>
              </w:rPr>
            </w:pPr>
            <w:r w:rsidRPr="00927FEC">
              <w:rPr>
                <w:sz w:val="20"/>
                <w:szCs w:val="20"/>
                <w:lang w:val="en-IE"/>
              </w:rPr>
              <w:t>Purchasing flexibility and reallocation of funding to meet changing needs</w:t>
            </w:r>
          </w:p>
          <w:p w14:paraId="69264671" w14:textId="77777777" w:rsidR="00D2337F" w:rsidRPr="00927FEC" w:rsidRDefault="00D2337F" w:rsidP="00702C4C">
            <w:pPr>
              <w:pStyle w:val="ListParagraph"/>
              <w:ind w:left="113" w:hanging="113"/>
              <w:rPr>
                <w:sz w:val="20"/>
                <w:szCs w:val="20"/>
                <w:lang w:val="en-IE"/>
              </w:rPr>
            </w:pPr>
            <w:r w:rsidRPr="00927FEC">
              <w:rPr>
                <w:sz w:val="20"/>
                <w:szCs w:val="20"/>
                <w:lang w:val="en-IE"/>
              </w:rPr>
              <w:t>Comprehensive health coverage</w:t>
            </w:r>
          </w:p>
          <w:p w14:paraId="7C694426" w14:textId="77777777" w:rsidR="00D2337F" w:rsidRPr="00927FEC" w:rsidRDefault="00D2337F" w:rsidP="00702C4C">
            <w:pPr>
              <w:pStyle w:val="ListParagraph"/>
              <w:ind w:left="113" w:hanging="113"/>
              <w:rPr>
                <w:sz w:val="20"/>
                <w:szCs w:val="20"/>
                <w:lang w:val="en-IE"/>
              </w:rPr>
            </w:pPr>
            <w:r w:rsidRPr="00927FEC">
              <w:rPr>
                <w:sz w:val="20"/>
                <w:szCs w:val="20"/>
                <w:lang w:val="en-IE"/>
              </w:rPr>
              <w:t>Appropriate level and distribution of human and physical resources</w:t>
            </w:r>
          </w:p>
          <w:p w14:paraId="6D68639B" w14:textId="77777777" w:rsidR="00D2337F" w:rsidRPr="00927FEC" w:rsidRDefault="00D2337F" w:rsidP="00702C4C">
            <w:pPr>
              <w:pStyle w:val="ListParagraph"/>
              <w:ind w:left="113" w:hanging="113"/>
              <w:rPr>
                <w:sz w:val="20"/>
                <w:szCs w:val="20"/>
                <w:lang w:val="en-IE"/>
              </w:rPr>
            </w:pPr>
            <w:r w:rsidRPr="00927FEC">
              <w:rPr>
                <w:sz w:val="20"/>
                <w:szCs w:val="20"/>
                <w:lang w:val="en-IE"/>
              </w:rPr>
              <w:t>Ability to increase capacity to cope with a sudden surge in demand</w:t>
            </w:r>
          </w:p>
          <w:p w14:paraId="58C2309C" w14:textId="77777777" w:rsidR="00D2337F" w:rsidRPr="00927FEC" w:rsidRDefault="00D2337F" w:rsidP="00702C4C">
            <w:pPr>
              <w:pStyle w:val="ListParagraph"/>
              <w:ind w:left="113" w:hanging="113"/>
              <w:rPr>
                <w:sz w:val="20"/>
                <w:szCs w:val="20"/>
                <w:lang w:val="en-IE"/>
              </w:rPr>
            </w:pPr>
            <w:r w:rsidRPr="00927FEC">
              <w:rPr>
                <w:sz w:val="20"/>
                <w:szCs w:val="20"/>
                <w:lang w:val="en-IE"/>
              </w:rPr>
              <w:t>Motivated and well-supported workforce</w:t>
            </w:r>
          </w:p>
          <w:p w14:paraId="3CFD96C1" w14:textId="2CCFC1E4" w:rsidR="00D2337F" w:rsidRPr="00927FEC" w:rsidRDefault="00D2337F" w:rsidP="00702C4C">
            <w:pPr>
              <w:pStyle w:val="ListParagraph"/>
              <w:ind w:left="113" w:hanging="113"/>
              <w:rPr>
                <w:sz w:val="20"/>
                <w:szCs w:val="20"/>
                <w:lang w:val="en-IE"/>
              </w:rPr>
            </w:pPr>
            <w:r w:rsidRPr="00927FEC">
              <w:rPr>
                <w:sz w:val="20"/>
                <w:szCs w:val="20"/>
                <w:lang w:val="en-IE"/>
              </w:rPr>
              <w:t>Alternative and flexible approaches to deliver care</w:t>
            </w:r>
          </w:p>
        </w:tc>
      </w:tr>
      <w:tr w:rsidR="00D2337F" w:rsidRPr="00927FEC" w14:paraId="608D4D9A" w14:textId="77777777" w:rsidTr="00183DEF">
        <w:trPr>
          <w:cantSplit/>
          <w:trHeight w:val="554"/>
        </w:trPr>
        <w:tc>
          <w:tcPr>
            <w:tcW w:w="633" w:type="dxa"/>
            <w:vMerge/>
            <w:shd w:val="clear" w:color="auto" w:fill="FFFF00"/>
            <w:textDirection w:val="btLr"/>
          </w:tcPr>
          <w:p w14:paraId="402B93E6" w14:textId="77777777" w:rsidR="00D2337F" w:rsidRPr="00927FEC" w:rsidRDefault="00D2337F" w:rsidP="007D309C">
            <w:pPr>
              <w:spacing w:after="160" w:line="259" w:lineRule="auto"/>
              <w:ind w:left="113" w:right="113"/>
              <w:jc w:val="center"/>
              <w:rPr>
                <w:b/>
                <w:sz w:val="20"/>
                <w:szCs w:val="20"/>
              </w:rPr>
            </w:pPr>
          </w:p>
        </w:tc>
        <w:tc>
          <w:tcPr>
            <w:tcW w:w="2811" w:type="dxa"/>
          </w:tcPr>
          <w:p w14:paraId="62D5C6EE" w14:textId="1D583608" w:rsidR="00D2337F" w:rsidRPr="00927FEC" w:rsidRDefault="00D2337F" w:rsidP="007D309C">
            <w:pPr>
              <w:spacing w:after="160" w:line="259" w:lineRule="auto"/>
              <w:rPr>
                <w:sz w:val="20"/>
                <w:szCs w:val="20"/>
              </w:rPr>
            </w:pPr>
            <w:r w:rsidRPr="00927FEC">
              <w:rPr>
                <w:sz w:val="20"/>
                <w:szCs w:val="20"/>
              </w:rPr>
              <w:t>Equity</w:t>
            </w:r>
          </w:p>
        </w:tc>
        <w:tc>
          <w:tcPr>
            <w:tcW w:w="3072" w:type="dxa"/>
          </w:tcPr>
          <w:p w14:paraId="3E3D7346" w14:textId="77777777" w:rsidR="00D2337F" w:rsidRPr="00927FEC" w:rsidRDefault="00D2337F" w:rsidP="00702C4C">
            <w:pPr>
              <w:spacing w:after="160" w:line="259" w:lineRule="auto"/>
              <w:ind w:left="113" w:hanging="113"/>
              <w:rPr>
                <w:sz w:val="20"/>
                <w:szCs w:val="20"/>
              </w:rPr>
            </w:pPr>
          </w:p>
        </w:tc>
        <w:tc>
          <w:tcPr>
            <w:tcW w:w="3402" w:type="dxa"/>
          </w:tcPr>
          <w:p w14:paraId="7A873D8B" w14:textId="77777777" w:rsidR="00D2337F" w:rsidRPr="00927FEC" w:rsidRDefault="005C0D98" w:rsidP="005C0D98">
            <w:pPr>
              <w:pStyle w:val="ListParagraph"/>
              <w:ind w:left="113" w:hanging="113"/>
              <w:rPr>
                <w:sz w:val="20"/>
                <w:szCs w:val="20"/>
                <w:lang w:val="en-IE"/>
              </w:rPr>
            </w:pPr>
            <w:r w:rsidRPr="00927FEC">
              <w:rPr>
                <w:sz w:val="20"/>
                <w:szCs w:val="20"/>
                <w:lang w:val="en-IE"/>
              </w:rPr>
              <w:t xml:space="preserve">Equitable delivery </w:t>
            </w:r>
            <w:r w:rsidR="007A3011" w:rsidRPr="00927FEC">
              <w:rPr>
                <w:sz w:val="20"/>
                <w:szCs w:val="20"/>
                <w:lang w:val="en-IE"/>
              </w:rPr>
              <w:t>of care</w:t>
            </w:r>
          </w:p>
          <w:p w14:paraId="75E6322D" w14:textId="77777777" w:rsidR="007A3011" w:rsidRPr="00927FEC" w:rsidRDefault="007A3011" w:rsidP="005C0D98">
            <w:pPr>
              <w:pStyle w:val="ListParagraph"/>
              <w:ind w:left="113" w:hanging="113"/>
              <w:rPr>
                <w:sz w:val="20"/>
                <w:szCs w:val="20"/>
                <w:lang w:val="en-IE"/>
              </w:rPr>
            </w:pPr>
            <w:r w:rsidRPr="00927FEC">
              <w:rPr>
                <w:sz w:val="20"/>
                <w:szCs w:val="20"/>
                <w:lang w:val="en-IE"/>
              </w:rPr>
              <w:t>Equitable access</w:t>
            </w:r>
          </w:p>
          <w:p w14:paraId="567C23F6" w14:textId="7AED1FB4" w:rsidR="007A3011" w:rsidRPr="00927FEC" w:rsidRDefault="007A3011" w:rsidP="007A3011">
            <w:pPr>
              <w:rPr>
                <w:sz w:val="20"/>
                <w:szCs w:val="20"/>
              </w:rPr>
            </w:pPr>
          </w:p>
        </w:tc>
      </w:tr>
      <w:tr w:rsidR="00D2337F" w:rsidRPr="00927FEC" w14:paraId="0DC07673" w14:textId="77777777" w:rsidTr="00183DEF">
        <w:trPr>
          <w:cantSplit/>
          <w:trHeight w:val="608"/>
        </w:trPr>
        <w:tc>
          <w:tcPr>
            <w:tcW w:w="633" w:type="dxa"/>
            <w:vMerge/>
            <w:shd w:val="clear" w:color="auto" w:fill="FFFF00"/>
            <w:textDirection w:val="btLr"/>
          </w:tcPr>
          <w:p w14:paraId="249FE770" w14:textId="77777777" w:rsidR="00D2337F" w:rsidRPr="00927FEC" w:rsidRDefault="00D2337F" w:rsidP="007D309C">
            <w:pPr>
              <w:spacing w:after="160" w:line="259" w:lineRule="auto"/>
              <w:ind w:left="113" w:right="113"/>
              <w:jc w:val="center"/>
              <w:rPr>
                <w:b/>
                <w:sz w:val="20"/>
                <w:szCs w:val="20"/>
              </w:rPr>
            </w:pPr>
          </w:p>
        </w:tc>
        <w:tc>
          <w:tcPr>
            <w:tcW w:w="2811" w:type="dxa"/>
          </w:tcPr>
          <w:p w14:paraId="257E824A" w14:textId="639659A1" w:rsidR="00D2337F" w:rsidRPr="00927FEC" w:rsidRDefault="00D2337F" w:rsidP="007D309C">
            <w:pPr>
              <w:spacing w:after="160" w:line="259" w:lineRule="auto"/>
              <w:rPr>
                <w:sz w:val="20"/>
                <w:szCs w:val="20"/>
              </w:rPr>
            </w:pPr>
            <w:r w:rsidRPr="00927FEC">
              <w:rPr>
                <w:sz w:val="20"/>
                <w:szCs w:val="20"/>
              </w:rPr>
              <w:t>Efficiency</w:t>
            </w:r>
          </w:p>
        </w:tc>
        <w:tc>
          <w:tcPr>
            <w:tcW w:w="3072" w:type="dxa"/>
          </w:tcPr>
          <w:p w14:paraId="0159191E" w14:textId="77777777" w:rsidR="00D2337F" w:rsidRPr="00927FEC" w:rsidRDefault="00D2337F" w:rsidP="00702C4C">
            <w:pPr>
              <w:spacing w:after="160" w:line="259" w:lineRule="auto"/>
              <w:ind w:left="113" w:hanging="113"/>
              <w:rPr>
                <w:sz w:val="20"/>
                <w:szCs w:val="20"/>
              </w:rPr>
            </w:pPr>
          </w:p>
        </w:tc>
        <w:tc>
          <w:tcPr>
            <w:tcW w:w="3402" w:type="dxa"/>
          </w:tcPr>
          <w:p w14:paraId="310905EE" w14:textId="77777777" w:rsidR="00D2337F" w:rsidRPr="00927FEC" w:rsidRDefault="00956895" w:rsidP="007A3011">
            <w:pPr>
              <w:pStyle w:val="ListParagraph"/>
              <w:ind w:left="113" w:hanging="113"/>
              <w:rPr>
                <w:sz w:val="20"/>
                <w:szCs w:val="20"/>
                <w:lang w:val="en-IE"/>
              </w:rPr>
            </w:pPr>
            <w:r w:rsidRPr="00927FEC">
              <w:rPr>
                <w:sz w:val="20"/>
                <w:szCs w:val="20"/>
                <w:lang w:val="en-IE"/>
              </w:rPr>
              <w:t>Unnecessary procedures</w:t>
            </w:r>
          </w:p>
          <w:p w14:paraId="52254B45" w14:textId="0C032DAA" w:rsidR="00956895" w:rsidRPr="00927FEC" w:rsidRDefault="00657B3E" w:rsidP="007A3011">
            <w:pPr>
              <w:pStyle w:val="ListParagraph"/>
              <w:ind w:left="113" w:hanging="113"/>
              <w:rPr>
                <w:sz w:val="20"/>
                <w:szCs w:val="20"/>
                <w:lang w:val="en-IE"/>
              </w:rPr>
            </w:pPr>
            <w:r w:rsidRPr="00927FEC">
              <w:rPr>
                <w:sz w:val="20"/>
                <w:szCs w:val="20"/>
                <w:lang w:val="en-IE"/>
              </w:rPr>
              <w:t>Avoidable care</w:t>
            </w:r>
          </w:p>
        </w:tc>
      </w:tr>
    </w:tbl>
    <w:p w14:paraId="4C74CA1F" w14:textId="778EAF85" w:rsidR="00CB4231" w:rsidRDefault="00CB4231" w:rsidP="00D2337F">
      <w:pPr>
        <w:spacing w:after="160" w:line="259" w:lineRule="auto"/>
      </w:pPr>
    </w:p>
    <w:p w14:paraId="0225E4FE" w14:textId="77777777" w:rsidR="00183DEF" w:rsidRDefault="00183DEF">
      <w:pPr>
        <w:spacing w:after="160" w:line="259" w:lineRule="auto"/>
        <w:rPr>
          <w:rFonts w:asciiTheme="majorHAnsi" w:eastAsiaTheme="majorEastAsia" w:hAnsiTheme="majorHAnsi" w:cstheme="majorBidi"/>
          <w:b/>
          <w:sz w:val="24"/>
          <w:szCs w:val="26"/>
        </w:rPr>
      </w:pPr>
      <w:r>
        <w:br w:type="page"/>
      </w:r>
    </w:p>
    <w:p w14:paraId="537AD05B" w14:textId="77777777" w:rsidR="007C5BE6" w:rsidRPr="00F950D2" w:rsidRDefault="007C5BE6" w:rsidP="007C5BE6">
      <w:pPr>
        <w:pStyle w:val="Heading2"/>
      </w:pPr>
      <w:r w:rsidRPr="00F950D2">
        <w:lastRenderedPageBreak/>
        <w:t xml:space="preserve">Interview approach </w:t>
      </w:r>
    </w:p>
    <w:p w14:paraId="29981FC8" w14:textId="77777777" w:rsidR="007C5BE6" w:rsidRPr="007A3011" w:rsidRDefault="007C5BE6" w:rsidP="007C5BE6">
      <w:r>
        <w:t>The following approach will be taken in conducting the group interview:</w:t>
      </w:r>
    </w:p>
    <w:p w14:paraId="4C0804A3" w14:textId="77777777" w:rsidR="007C5BE6" w:rsidRPr="00BF7AD9" w:rsidRDefault="007C5BE6" w:rsidP="007C5BE6">
      <w:pPr>
        <w:pStyle w:val="ListParagraph"/>
        <w:numPr>
          <w:ilvl w:val="0"/>
          <w:numId w:val="6"/>
        </w:numPr>
        <w:spacing w:line="276" w:lineRule="auto"/>
        <w:ind w:left="714" w:hanging="357"/>
        <w:rPr>
          <w:lang w:val="en-IE"/>
        </w:rPr>
      </w:pPr>
      <w:r>
        <w:rPr>
          <w:sz w:val="22"/>
          <w:lang w:val="en-IE"/>
        </w:rPr>
        <w:t>The interview will last about one hour;</w:t>
      </w:r>
    </w:p>
    <w:p w14:paraId="6AA6B7E8" w14:textId="77777777" w:rsidR="007C5BE6" w:rsidRPr="00BF7AD9" w:rsidRDefault="007C5BE6" w:rsidP="007C5BE6">
      <w:pPr>
        <w:pStyle w:val="ListParagraph"/>
        <w:numPr>
          <w:ilvl w:val="0"/>
          <w:numId w:val="6"/>
        </w:numPr>
        <w:spacing w:line="276" w:lineRule="auto"/>
        <w:ind w:left="714" w:hanging="357"/>
        <w:rPr>
          <w:lang w:val="en-IE"/>
        </w:rPr>
      </w:pPr>
      <w:r>
        <w:rPr>
          <w:sz w:val="22"/>
          <w:lang w:val="en-IE"/>
        </w:rPr>
        <w:t>We intend to include two to five persons in the interview;</w:t>
      </w:r>
    </w:p>
    <w:p w14:paraId="18EA1F31" w14:textId="77777777" w:rsidR="007C5BE6" w:rsidRPr="00BF7AD9" w:rsidRDefault="007C5BE6" w:rsidP="007C5BE6">
      <w:pPr>
        <w:pStyle w:val="ListParagraph"/>
        <w:numPr>
          <w:ilvl w:val="0"/>
          <w:numId w:val="6"/>
        </w:numPr>
        <w:spacing w:line="276" w:lineRule="auto"/>
        <w:ind w:left="714" w:hanging="357"/>
        <w:rPr>
          <w:lang w:val="en-IE"/>
        </w:rPr>
      </w:pPr>
      <w:r>
        <w:rPr>
          <w:sz w:val="22"/>
          <w:lang w:val="en-IE"/>
        </w:rPr>
        <w:t>Two interviewers from the research team will guide the meeting;</w:t>
      </w:r>
    </w:p>
    <w:p w14:paraId="68BB6175" w14:textId="77777777" w:rsidR="007C5BE6" w:rsidRPr="00BF7AD9" w:rsidRDefault="007C5BE6" w:rsidP="007C5BE6">
      <w:pPr>
        <w:pStyle w:val="ListParagraph"/>
        <w:numPr>
          <w:ilvl w:val="0"/>
          <w:numId w:val="6"/>
        </w:numPr>
        <w:spacing w:line="276" w:lineRule="auto"/>
        <w:ind w:left="714" w:hanging="357"/>
        <w:rPr>
          <w:lang w:val="en-IE"/>
        </w:rPr>
      </w:pPr>
      <w:r>
        <w:rPr>
          <w:sz w:val="22"/>
          <w:lang w:val="en-IE"/>
        </w:rPr>
        <w:t>We will use Zoom, for which you will receive a link to join the meeting;</w:t>
      </w:r>
    </w:p>
    <w:p w14:paraId="643BB446" w14:textId="66996950" w:rsidR="007C5BE6" w:rsidRPr="007C5BE6" w:rsidRDefault="007C5BE6" w:rsidP="007C5BE6">
      <w:pPr>
        <w:pStyle w:val="ListParagraph"/>
        <w:numPr>
          <w:ilvl w:val="0"/>
          <w:numId w:val="6"/>
        </w:numPr>
        <w:spacing w:line="276" w:lineRule="auto"/>
        <w:ind w:left="714" w:hanging="357"/>
        <w:rPr>
          <w:lang w:val="en-IE"/>
        </w:rPr>
      </w:pPr>
      <w:r>
        <w:rPr>
          <w:sz w:val="22"/>
          <w:lang w:val="en-IE"/>
        </w:rPr>
        <w:t xml:space="preserve">With your permission, we will record the meeting for the use for this research project only. </w:t>
      </w:r>
      <w:r w:rsidRPr="00BF7AD9">
        <w:rPr>
          <w:sz w:val="22"/>
          <w:lang w:val="en-IE"/>
        </w:rPr>
        <w:t xml:space="preserve"> </w:t>
      </w:r>
    </w:p>
    <w:p w14:paraId="6BFFDE7A" w14:textId="6993C00D" w:rsidR="003A74B6" w:rsidRDefault="0027237F" w:rsidP="003A74B6">
      <w:pPr>
        <w:pStyle w:val="Heading2"/>
      </w:pPr>
      <w:r>
        <w:t>Guiding q</w:t>
      </w:r>
      <w:r w:rsidR="003A74B6" w:rsidRPr="007A3011">
        <w:t>uestions</w:t>
      </w:r>
      <w:r w:rsidR="003A74B6">
        <w:t xml:space="preserve"> </w:t>
      </w:r>
    </w:p>
    <w:p w14:paraId="1FA6B11A" w14:textId="76602D94" w:rsidR="00051385" w:rsidRDefault="00051385" w:rsidP="00051385">
      <w:r>
        <w:t xml:space="preserve">The </w:t>
      </w:r>
      <w:r w:rsidR="00FD4775">
        <w:t>group interview</w:t>
      </w:r>
      <w:r>
        <w:t xml:space="preserve"> is guided by the following questions:</w:t>
      </w:r>
    </w:p>
    <w:p w14:paraId="54305467" w14:textId="77777777" w:rsidR="00051385" w:rsidRPr="00051385" w:rsidRDefault="00051385" w:rsidP="00051385"/>
    <w:p w14:paraId="5206D57F" w14:textId="4CE3E13E" w:rsidR="003A74B6" w:rsidRDefault="003A74B6" w:rsidP="003A74B6">
      <w:pPr>
        <w:pStyle w:val="NoSpacing"/>
        <w:numPr>
          <w:ilvl w:val="1"/>
          <w:numId w:val="13"/>
        </w:numPr>
        <w:spacing w:line="276" w:lineRule="auto"/>
        <w:ind w:left="680" w:hanging="340"/>
      </w:pPr>
      <w:r>
        <w:t>What indicators are currently used for performance measurement</w:t>
      </w:r>
      <w:r w:rsidR="00AD32E4">
        <w:t xml:space="preserve"> of the Irish healthcare system within</w:t>
      </w:r>
      <w:r>
        <w:t xml:space="preserve"> your field that you are aware of? (How) do these relate to the </w:t>
      </w:r>
      <w:proofErr w:type="gramStart"/>
      <w:r>
        <w:t>high level</w:t>
      </w:r>
      <w:proofErr w:type="gramEnd"/>
      <w:r>
        <w:t xml:space="preserve"> domains within the HSPA framework?</w:t>
      </w:r>
    </w:p>
    <w:p w14:paraId="6B39479E" w14:textId="29FF7530" w:rsidR="003A74B6" w:rsidRDefault="003A74B6" w:rsidP="003A74B6">
      <w:pPr>
        <w:pStyle w:val="NoSpacing"/>
        <w:numPr>
          <w:ilvl w:val="0"/>
          <w:numId w:val="15"/>
        </w:numPr>
        <w:spacing w:line="276" w:lineRule="auto"/>
        <w:ind w:left="1020" w:hanging="340"/>
      </w:pPr>
      <w:r w:rsidRPr="00500505">
        <w:t xml:space="preserve">What data sources are available for the </w:t>
      </w:r>
      <w:r w:rsidR="00AD32E4" w:rsidRPr="00500505">
        <w:t>measurement</w:t>
      </w:r>
      <w:r w:rsidR="00F950D2" w:rsidRPr="00500505">
        <w:t xml:space="preserve"> of these indicators?</w:t>
      </w:r>
      <w:r w:rsidR="00AD32E4" w:rsidRPr="00500505">
        <w:t xml:space="preserve"> </w:t>
      </w:r>
    </w:p>
    <w:p w14:paraId="483F6FBB" w14:textId="788F949B" w:rsidR="00500505" w:rsidRPr="00500505" w:rsidRDefault="00500505" w:rsidP="003A74B6">
      <w:pPr>
        <w:pStyle w:val="NoSpacing"/>
        <w:numPr>
          <w:ilvl w:val="0"/>
          <w:numId w:val="15"/>
        </w:numPr>
        <w:spacing w:line="276" w:lineRule="auto"/>
        <w:ind w:left="1020" w:hanging="340"/>
      </w:pPr>
      <w:r>
        <w:t>Is this data fit for use to measure these indicators? Why (not)?</w:t>
      </w:r>
    </w:p>
    <w:p w14:paraId="0F7D7A7A" w14:textId="77777777" w:rsidR="003A74B6" w:rsidRDefault="003A74B6" w:rsidP="003A74B6">
      <w:pPr>
        <w:pStyle w:val="NoSpacing"/>
        <w:spacing w:line="276" w:lineRule="auto"/>
        <w:ind w:left="340"/>
      </w:pPr>
    </w:p>
    <w:p w14:paraId="5BD05A62" w14:textId="77777777" w:rsidR="003A74B6" w:rsidRDefault="003A74B6" w:rsidP="003A74B6">
      <w:pPr>
        <w:pStyle w:val="NoSpacing"/>
        <w:numPr>
          <w:ilvl w:val="1"/>
          <w:numId w:val="13"/>
        </w:numPr>
        <w:spacing w:line="276" w:lineRule="auto"/>
        <w:ind w:left="680" w:hanging="340"/>
      </w:pPr>
      <w:r>
        <w:t xml:space="preserve">What aim is pursued with the currently measured indicators, if any? </w:t>
      </w:r>
    </w:p>
    <w:p w14:paraId="6328470D" w14:textId="77777777" w:rsidR="003A74B6" w:rsidRDefault="003A74B6" w:rsidP="003A74B6">
      <w:pPr>
        <w:pStyle w:val="ListParagraph"/>
        <w:numPr>
          <w:ilvl w:val="0"/>
          <w:numId w:val="0"/>
        </w:numPr>
        <w:ind w:left="720"/>
      </w:pPr>
    </w:p>
    <w:p w14:paraId="1B3ABBAE" w14:textId="77777777" w:rsidR="003A74B6" w:rsidRDefault="003A74B6" w:rsidP="003A74B6">
      <w:pPr>
        <w:pStyle w:val="NoSpacing"/>
        <w:numPr>
          <w:ilvl w:val="1"/>
          <w:numId w:val="13"/>
        </w:numPr>
        <w:spacing w:line="276" w:lineRule="auto"/>
        <w:ind w:left="680" w:hanging="340"/>
      </w:pPr>
      <w:r>
        <w:t>What data sources are available for current performance measurement?</w:t>
      </w:r>
    </w:p>
    <w:p w14:paraId="373EC2A6" w14:textId="77777777" w:rsidR="003A74B6" w:rsidRDefault="003A74B6" w:rsidP="003A74B6">
      <w:pPr>
        <w:pStyle w:val="ListParagraph"/>
        <w:numPr>
          <w:ilvl w:val="0"/>
          <w:numId w:val="0"/>
        </w:numPr>
        <w:ind w:left="720"/>
      </w:pPr>
    </w:p>
    <w:p w14:paraId="7DBE3C3C" w14:textId="77777777" w:rsidR="003A74B6" w:rsidRDefault="003A74B6" w:rsidP="003A74B6">
      <w:pPr>
        <w:pStyle w:val="NoSpacing"/>
        <w:numPr>
          <w:ilvl w:val="1"/>
          <w:numId w:val="13"/>
        </w:numPr>
        <w:spacing w:line="276" w:lineRule="auto"/>
        <w:ind w:left="680" w:hanging="340"/>
      </w:pPr>
      <w:r>
        <w:t>What initiatives, if any, are in development to measure performance in the near future?</w:t>
      </w:r>
    </w:p>
    <w:p w14:paraId="0619B326" w14:textId="77777777" w:rsidR="003A74B6" w:rsidRPr="007A3011" w:rsidRDefault="003A74B6" w:rsidP="003A74B6">
      <w:pPr>
        <w:pStyle w:val="NoSpacing"/>
        <w:spacing w:line="276" w:lineRule="auto"/>
      </w:pPr>
    </w:p>
    <w:p w14:paraId="22FA7B45" w14:textId="77777777" w:rsidR="003A74B6" w:rsidRDefault="003A74B6" w:rsidP="003A74B6">
      <w:pPr>
        <w:pStyle w:val="NoSpacing"/>
        <w:numPr>
          <w:ilvl w:val="1"/>
          <w:numId w:val="13"/>
        </w:numPr>
        <w:spacing w:line="276" w:lineRule="auto"/>
        <w:ind w:left="680" w:hanging="340"/>
      </w:pPr>
      <w:r>
        <w:t>What should be aimed for by measuring performance within your field?</w:t>
      </w:r>
    </w:p>
    <w:p w14:paraId="7E57BDF6" w14:textId="77777777" w:rsidR="003A74B6" w:rsidRDefault="003A74B6" w:rsidP="003A74B6">
      <w:pPr>
        <w:ind w:left="720" w:hanging="360"/>
      </w:pPr>
    </w:p>
    <w:p w14:paraId="071F738B" w14:textId="401A0B8F" w:rsidR="003A74B6" w:rsidRDefault="003A74B6" w:rsidP="003A74B6">
      <w:pPr>
        <w:pStyle w:val="NoSpacing"/>
        <w:numPr>
          <w:ilvl w:val="1"/>
          <w:numId w:val="13"/>
        </w:numPr>
        <w:spacing w:line="276" w:lineRule="auto"/>
        <w:ind w:left="680" w:hanging="340"/>
      </w:pPr>
      <w:r>
        <w:t>What performance information need does your organisation have to enact on the three purposes of the HSPA framework?</w:t>
      </w:r>
      <w:r w:rsidR="002C7FB2">
        <w:t xml:space="preserve"> </w:t>
      </w:r>
    </w:p>
    <w:p w14:paraId="1973BDE9" w14:textId="7092FB96" w:rsidR="00AA3BF2" w:rsidRPr="00AA3BF2" w:rsidRDefault="00AA3BF2" w:rsidP="006C6F95">
      <w:pPr>
        <w:ind w:firstLine="680"/>
        <w:rPr>
          <w:i/>
        </w:rPr>
      </w:pPr>
      <w:r w:rsidRPr="00AA3BF2">
        <w:rPr>
          <w:i/>
        </w:rPr>
        <w:t>The purposes of the HSPA framework:</w:t>
      </w:r>
    </w:p>
    <w:p w14:paraId="08494A6C" w14:textId="77777777" w:rsidR="00AA3BF2" w:rsidRPr="00AA3BF2" w:rsidRDefault="00AA3BF2" w:rsidP="006C6F95">
      <w:pPr>
        <w:pStyle w:val="ListParagraph"/>
        <w:numPr>
          <w:ilvl w:val="0"/>
          <w:numId w:val="6"/>
        </w:numPr>
        <w:spacing w:line="276" w:lineRule="auto"/>
        <w:ind w:left="1020" w:hanging="340"/>
        <w:rPr>
          <w:i/>
          <w:lang w:val="en-IE"/>
        </w:rPr>
      </w:pPr>
      <w:r w:rsidRPr="00AA3BF2">
        <w:rPr>
          <w:b/>
          <w:i/>
          <w:sz w:val="22"/>
          <w:szCs w:val="22"/>
          <w:lang w:val="en-IE"/>
        </w:rPr>
        <w:t>To measure</w:t>
      </w:r>
      <w:r w:rsidRPr="00AA3BF2">
        <w:rPr>
          <w:i/>
          <w:sz w:val="22"/>
          <w:szCs w:val="22"/>
          <w:lang w:val="en-IE"/>
        </w:rPr>
        <w:t xml:space="preserve"> performance of the delivery system (health and social services).</w:t>
      </w:r>
    </w:p>
    <w:p w14:paraId="7EB8BC3D" w14:textId="77777777" w:rsidR="00AA3BF2" w:rsidRPr="00AA3BF2" w:rsidRDefault="00AA3BF2" w:rsidP="006C6F95">
      <w:pPr>
        <w:pStyle w:val="ListParagraph"/>
        <w:numPr>
          <w:ilvl w:val="0"/>
          <w:numId w:val="6"/>
        </w:numPr>
        <w:spacing w:line="276" w:lineRule="auto"/>
        <w:ind w:left="1020" w:hanging="340"/>
        <w:rPr>
          <w:i/>
          <w:lang w:val="en-IE"/>
        </w:rPr>
      </w:pPr>
      <w:r w:rsidRPr="00AA3BF2">
        <w:rPr>
          <w:b/>
          <w:i/>
          <w:sz w:val="22"/>
          <w:szCs w:val="22"/>
          <w:lang w:val="en-IE"/>
        </w:rPr>
        <w:t>To provide information (accountability)</w:t>
      </w:r>
      <w:r w:rsidRPr="00AA3BF2">
        <w:rPr>
          <w:i/>
          <w:sz w:val="22"/>
          <w:szCs w:val="22"/>
          <w:lang w:val="en-IE"/>
        </w:rPr>
        <w:t xml:space="preserve"> to the public regarding the effectiveness of policies and strategies of the DoH and HSE on overall population health;</w:t>
      </w:r>
    </w:p>
    <w:p w14:paraId="101A7A68" w14:textId="77777777" w:rsidR="00AA3BF2" w:rsidRPr="00AA3BF2" w:rsidRDefault="00AA3BF2" w:rsidP="006C6F95">
      <w:pPr>
        <w:pStyle w:val="ListParagraph"/>
        <w:numPr>
          <w:ilvl w:val="0"/>
          <w:numId w:val="6"/>
        </w:numPr>
        <w:spacing w:line="276" w:lineRule="auto"/>
        <w:ind w:left="1020" w:hanging="340"/>
        <w:rPr>
          <w:i/>
          <w:lang w:val="en-IE"/>
        </w:rPr>
      </w:pPr>
      <w:r w:rsidRPr="00AA3BF2">
        <w:rPr>
          <w:b/>
          <w:i/>
          <w:sz w:val="22"/>
          <w:szCs w:val="22"/>
          <w:lang w:val="en-IE"/>
        </w:rPr>
        <w:t>To monitor</w:t>
      </w:r>
      <w:r w:rsidRPr="00AA3BF2">
        <w:rPr>
          <w:i/>
          <w:sz w:val="22"/>
          <w:szCs w:val="22"/>
          <w:lang w:val="en-IE"/>
        </w:rPr>
        <w:t xml:space="preserve"> the progress of the Sláintecare reform to enable evaluation of the priority areas of the reform and ensure that the healthcare system is more responsive to the needs of the population. </w:t>
      </w:r>
    </w:p>
    <w:p w14:paraId="423A52B4" w14:textId="530BCA18" w:rsidR="00AA3BF2" w:rsidRDefault="00AA3BF2" w:rsidP="00AA3BF2">
      <w:pPr>
        <w:pStyle w:val="ListParagraph"/>
        <w:numPr>
          <w:ilvl w:val="0"/>
          <w:numId w:val="0"/>
        </w:numPr>
        <w:ind w:left="720"/>
      </w:pPr>
    </w:p>
    <w:p w14:paraId="5CA041A2" w14:textId="77777777" w:rsidR="003A74B6" w:rsidRDefault="003A74B6" w:rsidP="003A74B6">
      <w:pPr>
        <w:pStyle w:val="NoSpacing"/>
        <w:numPr>
          <w:ilvl w:val="1"/>
          <w:numId w:val="14"/>
        </w:numPr>
        <w:spacing w:line="276" w:lineRule="auto"/>
        <w:ind w:left="1020" w:hanging="340"/>
      </w:pPr>
      <w:r>
        <w:t xml:space="preserve">Is that information available? </w:t>
      </w:r>
    </w:p>
    <w:p w14:paraId="0B02CF27" w14:textId="77777777" w:rsidR="003A74B6" w:rsidRDefault="003A74B6" w:rsidP="003A74B6">
      <w:pPr>
        <w:pStyle w:val="NoSpacing"/>
        <w:numPr>
          <w:ilvl w:val="1"/>
          <w:numId w:val="14"/>
        </w:numPr>
        <w:spacing w:line="276" w:lineRule="auto"/>
        <w:ind w:left="1020" w:hanging="340"/>
      </w:pPr>
      <w:r>
        <w:t>If so, is data fit for use for performance measurement? Why (not)?</w:t>
      </w:r>
    </w:p>
    <w:p w14:paraId="05D1C2D8" w14:textId="77777777" w:rsidR="003A74B6" w:rsidRDefault="003A74B6" w:rsidP="003A74B6">
      <w:pPr>
        <w:pStyle w:val="NoSpacing"/>
        <w:numPr>
          <w:ilvl w:val="1"/>
          <w:numId w:val="14"/>
        </w:numPr>
        <w:spacing w:line="276" w:lineRule="auto"/>
        <w:ind w:left="1020" w:hanging="340"/>
      </w:pPr>
      <w:r>
        <w:t xml:space="preserve">What would be needed to enable fitness for use of data? Or what – currently unavailable data – is needed? </w:t>
      </w:r>
    </w:p>
    <w:p w14:paraId="5B2C8A5F" w14:textId="77777777" w:rsidR="003A74B6" w:rsidRPr="00E028D2" w:rsidRDefault="003A74B6" w:rsidP="003A74B6">
      <w:pPr>
        <w:pStyle w:val="NoSpacing"/>
        <w:numPr>
          <w:ilvl w:val="1"/>
          <w:numId w:val="14"/>
        </w:numPr>
        <w:spacing w:line="276" w:lineRule="auto"/>
        <w:ind w:left="1020" w:hanging="340"/>
      </w:pPr>
      <w:r w:rsidRPr="00E028D2">
        <w:t>What are facilitators and barriers in the measurement of these indicators, what needs to be kept and what needs to be changed in the current data landscape to enable measurement of these indicators?</w:t>
      </w:r>
    </w:p>
    <w:p w14:paraId="56C5374D" w14:textId="77777777" w:rsidR="003A74B6" w:rsidRDefault="003A74B6" w:rsidP="003A74B6">
      <w:pPr>
        <w:pStyle w:val="NoSpacing"/>
        <w:spacing w:line="276" w:lineRule="auto"/>
      </w:pPr>
    </w:p>
    <w:p w14:paraId="66E7682D" w14:textId="77777777" w:rsidR="003A74B6" w:rsidRDefault="003A74B6" w:rsidP="003A74B6">
      <w:pPr>
        <w:pStyle w:val="NoSpacing"/>
        <w:numPr>
          <w:ilvl w:val="1"/>
          <w:numId w:val="13"/>
        </w:numPr>
        <w:spacing w:line="276" w:lineRule="auto"/>
        <w:ind w:left="680" w:hanging="340"/>
      </w:pPr>
      <w:r>
        <w:t xml:space="preserve">Did the recent developments during the Covid-19 pandemic yield changes in performance measurement and data availability?   </w:t>
      </w:r>
    </w:p>
    <w:p w14:paraId="56947311" w14:textId="77777777" w:rsidR="003A74B6" w:rsidRDefault="003A74B6" w:rsidP="003A74B6">
      <w:pPr>
        <w:pStyle w:val="NoSpacing"/>
        <w:spacing w:line="276" w:lineRule="auto"/>
        <w:ind w:left="340"/>
      </w:pPr>
    </w:p>
    <w:p w14:paraId="180F4286" w14:textId="0CB97E6E" w:rsidR="003A74B6" w:rsidRDefault="003A74B6" w:rsidP="003A74B6">
      <w:pPr>
        <w:pStyle w:val="NoSpacing"/>
        <w:numPr>
          <w:ilvl w:val="1"/>
          <w:numId w:val="13"/>
        </w:numPr>
        <w:spacing w:line="276" w:lineRule="auto"/>
        <w:ind w:left="680" w:hanging="340"/>
      </w:pPr>
      <w:r w:rsidRPr="00A83237">
        <w:t>Can you suggest a colleagu</w:t>
      </w:r>
      <w:r>
        <w:t xml:space="preserve">e, expert in your jurisdiction </w:t>
      </w:r>
      <w:r w:rsidRPr="00A83237">
        <w:t>or network that you think should be met with in the scope of this work?</w:t>
      </w:r>
      <w:r w:rsidR="003B2A59">
        <w:t xml:space="preserve"> </w:t>
      </w:r>
    </w:p>
    <w:p w14:paraId="3B0D9C63" w14:textId="77777777" w:rsidR="003B2A59" w:rsidRDefault="003B2A59" w:rsidP="003B2A59">
      <w:pPr>
        <w:pStyle w:val="ListParagraph"/>
        <w:numPr>
          <w:ilvl w:val="0"/>
          <w:numId w:val="0"/>
        </w:numPr>
        <w:ind w:left="720"/>
      </w:pPr>
    </w:p>
    <w:p w14:paraId="4333EBC5" w14:textId="235262FA" w:rsidR="003B2A59" w:rsidRPr="00F950D2" w:rsidRDefault="00F950D2" w:rsidP="003A74B6">
      <w:pPr>
        <w:pStyle w:val="NoSpacing"/>
        <w:numPr>
          <w:ilvl w:val="1"/>
          <w:numId w:val="13"/>
        </w:numPr>
        <w:spacing w:line="276" w:lineRule="auto"/>
        <w:ind w:left="680" w:hanging="340"/>
      </w:pPr>
      <w:r w:rsidRPr="00F950D2">
        <w:t xml:space="preserve">Is there available work or materials of interest with regards of health system performance assessment that you are willing to share with us? </w:t>
      </w:r>
    </w:p>
    <w:p w14:paraId="7DB90EA0" w14:textId="714E70CF" w:rsidR="00597462" w:rsidRPr="00597462" w:rsidRDefault="00597462" w:rsidP="00597462"/>
    <w:sectPr w:rsidR="00597462" w:rsidRPr="00597462" w:rsidSect="009F1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A2C7" w14:textId="77777777" w:rsidR="00757A0D" w:rsidRDefault="00757A0D" w:rsidP="00914D00">
      <w:pPr>
        <w:spacing w:line="240" w:lineRule="auto"/>
      </w:pPr>
      <w:r>
        <w:separator/>
      </w:r>
    </w:p>
  </w:endnote>
  <w:endnote w:type="continuationSeparator" w:id="0">
    <w:p w14:paraId="1A284C46" w14:textId="77777777" w:rsidR="00757A0D" w:rsidRDefault="00757A0D" w:rsidP="00914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606503"/>
      <w:docPartObj>
        <w:docPartGallery w:val="Page Numbers (Bottom of Page)"/>
        <w:docPartUnique/>
      </w:docPartObj>
    </w:sdtPr>
    <w:sdtEndPr/>
    <w:sdtContent>
      <w:p w14:paraId="3AE831D8" w14:textId="6CB6A5EE" w:rsidR="00BD19A5" w:rsidRDefault="00BD19A5">
        <w:pPr>
          <w:pStyle w:val="Footer"/>
          <w:jc w:val="right"/>
        </w:pPr>
        <w:r>
          <w:fldChar w:fldCharType="begin"/>
        </w:r>
        <w:r>
          <w:instrText>PAGE   \* MERGEFORMAT</w:instrText>
        </w:r>
        <w:r>
          <w:fldChar w:fldCharType="separate"/>
        </w:r>
        <w:r w:rsidR="007C5BE6" w:rsidRPr="007C5BE6">
          <w:rPr>
            <w:noProof/>
            <w:lang w:val="nl-NL"/>
          </w:rPr>
          <w:t>7</w:t>
        </w:r>
        <w:r>
          <w:fldChar w:fldCharType="end"/>
        </w:r>
      </w:p>
    </w:sdtContent>
  </w:sdt>
  <w:p w14:paraId="78CCF9EA" w14:textId="77777777" w:rsidR="00BD19A5" w:rsidRDefault="00BD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07D49" w14:textId="77777777" w:rsidR="00757A0D" w:rsidRDefault="00757A0D" w:rsidP="00914D00">
      <w:pPr>
        <w:spacing w:line="240" w:lineRule="auto"/>
      </w:pPr>
      <w:r>
        <w:separator/>
      </w:r>
    </w:p>
  </w:footnote>
  <w:footnote w:type="continuationSeparator" w:id="0">
    <w:p w14:paraId="12FF9B42" w14:textId="77777777" w:rsidR="00757A0D" w:rsidRDefault="00757A0D" w:rsidP="00914D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page" w:horzAnchor="page" w:tblpX="1369" w:tblpY="90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1961"/>
      <w:gridCol w:w="2165"/>
    </w:tblGrid>
    <w:tr w:rsidR="00D74A14" w:rsidRPr="00486D34" w14:paraId="157627A9" w14:textId="77777777" w:rsidTr="00F50DB0">
      <w:trPr>
        <w:trHeight w:val="704"/>
      </w:trPr>
      <w:tc>
        <w:tcPr>
          <w:tcW w:w="5070" w:type="dxa"/>
          <w:vAlign w:val="center"/>
        </w:tcPr>
        <w:p w14:paraId="590E820B" w14:textId="77777777" w:rsidR="00D74A14" w:rsidRPr="000B578F" w:rsidRDefault="00D74A14" w:rsidP="00D74A14">
          <w:pPr>
            <w:rPr>
              <w:rFonts w:ascii="Arial" w:hAnsi="Arial" w:cs="Arial"/>
              <w:b/>
              <w:sz w:val="18"/>
              <w:szCs w:val="18"/>
              <w:lang w:val="en-US"/>
            </w:rPr>
          </w:pPr>
          <w:r w:rsidRPr="000B578F">
            <w:rPr>
              <w:rFonts w:ascii="Arial" w:hAnsi="Arial" w:cs="Arial"/>
              <w:b/>
              <w:sz w:val="18"/>
              <w:szCs w:val="18"/>
              <w:lang w:val="en-US"/>
            </w:rPr>
            <w:t xml:space="preserve">Performance Accountability </w:t>
          </w:r>
        </w:p>
        <w:p w14:paraId="1C9FC706" w14:textId="77777777" w:rsidR="00D74A14" w:rsidRPr="000B578F" w:rsidRDefault="00D74A14" w:rsidP="00D74A14">
          <w:pPr>
            <w:rPr>
              <w:rFonts w:ascii="Arial" w:hAnsi="Arial" w:cs="Arial"/>
              <w:b/>
              <w:sz w:val="18"/>
              <w:szCs w:val="18"/>
              <w:lang w:val="en-US"/>
            </w:rPr>
          </w:pPr>
          <w:r w:rsidRPr="000B578F">
            <w:rPr>
              <w:rFonts w:ascii="Arial" w:hAnsi="Arial" w:cs="Arial"/>
              <w:b/>
              <w:sz w:val="18"/>
              <w:szCs w:val="18"/>
              <w:lang w:val="en-US"/>
            </w:rPr>
            <w:t xml:space="preserve">for the Irish Health System </w:t>
          </w:r>
        </w:p>
        <w:p w14:paraId="38A301A7" w14:textId="77777777" w:rsidR="00D74A14" w:rsidRPr="000B578F" w:rsidRDefault="00D74A14" w:rsidP="00D74A14">
          <w:pPr>
            <w:rPr>
              <w:rFonts w:ascii="Arial" w:hAnsi="Arial" w:cs="Arial"/>
              <w:bCs/>
              <w:sz w:val="16"/>
              <w:szCs w:val="16"/>
              <w:lang w:val="en-US"/>
            </w:rPr>
          </w:pPr>
          <w:r w:rsidRPr="000B578F">
            <w:rPr>
              <w:rFonts w:ascii="Arial" w:hAnsi="Arial" w:cs="Arial"/>
              <w:bCs/>
              <w:sz w:val="16"/>
              <w:szCs w:val="16"/>
              <w:lang w:val="en-US"/>
            </w:rPr>
            <w:t>European Commission Structural Reform Support Service</w:t>
          </w:r>
        </w:p>
        <w:p w14:paraId="608340A7" w14:textId="77777777" w:rsidR="00D74A14" w:rsidRPr="00C373CB" w:rsidRDefault="00D74A14" w:rsidP="00D74A14">
          <w:pPr>
            <w:rPr>
              <w:rFonts w:ascii="Arial" w:hAnsi="Arial" w:cs="Arial"/>
              <w:b/>
              <w:sz w:val="18"/>
              <w:szCs w:val="18"/>
            </w:rPr>
          </w:pPr>
          <w:r w:rsidRPr="00C373CB">
            <w:rPr>
              <w:rFonts w:ascii="Arial" w:hAnsi="Arial" w:cs="Arial"/>
              <w:bCs/>
              <w:sz w:val="16"/>
              <w:szCs w:val="16"/>
            </w:rPr>
            <w:t>N</w:t>
          </w:r>
          <w:r w:rsidRPr="00C373CB">
            <w:rPr>
              <w:rFonts w:ascii="Arial" w:hAnsi="Arial" w:cs="Arial"/>
              <w:bCs/>
              <w:sz w:val="16"/>
              <w:szCs w:val="16"/>
              <w:vertAlign w:val="superscript"/>
            </w:rPr>
            <w:t>o</w:t>
          </w:r>
          <w:r w:rsidRPr="00C373CB">
            <w:rPr>
              <w:rFonts w:ascii="Arial" w:hAnsi="Arial" w:cs="Arial"/>
              <w:bCs/>
              <w:sz w:val="16"/>
              <w:szCs w:val="16"/>
            </w:rPr>
            <w:t>SRSS/C2019/046</w:t>
          </w:r>
        </w:p>
      </w:tc>
      <w:tc>
        <w:tcPr>
          <w:tcW w:w="1984" w:type="dxa"/>
        </w:tcPr>
        <w:p w14:paraId="26543078" w14:textId="77777777" w:rsidR="00D74A14" w:rsidRPr="00486D34" w:rsidRDefault="00D74A14" w:rsidP="00D74A14">
          <w:pPr>
            <w:rPr>
              <w:rFonts w:ascii="Arial" w:hAnsi="Arial" w:cs="Arial"/>
              <w:b/>
            </w:rPr>
          </w:pPr>
          <w:r w:rsidRPr="00486D34">
            <w:rPr>
              <w:rFonts w:ascii="Arial" w:hAnsi="Arial" w:cs="Arial"/>
              <w:b/>
              <w:noProof/>
              <w:lang w:val="nl-NL" w:eastAsia="nl-NL"/>
            </w:rPr>
            <w:drawing>
              <wp:anchor distT="0" distB="0" distL="114300" distR="114300" simplePos="0" relativeHeight="251660288" behindDoc="0" locked="0" layoutInCell="1" allowOverlap="1" wp14:anchorId="492A586D" wp14:editId="788F306D">
                <wp:simplePos x="0" y="0"/>
                <wp:positionH relativeFrom="column">
                  <wp:posOffset>209550</wp:posOffset>
                </wp:positionH>
                <wp:positionV relativeFrom="paragraph">
                  <wp:posOffset>107950</wp:posOffset>
                </wp:positionV>
                <wp:extent cx="717550" cy="457200"/>
                <wp:effectExtent l="0" t="0" r="0" b="0"/>
                <wp:wrapSquare wrapText="bothSides"/>
                <wp:docPr id="18" name="Picture 1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extLst>
                            <a:ext uri="{28A0092B-C50C-407E-A947-70E740481C1C}">
                              <a14:useLocalDpi xmlns:a14="http://schemas.microsoft.com/office/drawing/2010/main" val="0"/>
                            </a:ext>
                          </a:extLst>
                        </a:blip>
                        <a:stretch>
                          <a:fillRect/>
                        </a:stretch>
                      </pic:blipFill>
                      <pic:spPr>
                        <a:xfrm>
                          <a:off x="0" y="0"/>
                          <a:ext cx="71755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2188" w:type="dxa"/>
        </w:tcPr>
        <w:p w14:paraId="06D4315B" w14:textId="77777777" w:rsidR="00D74A14" w:rsidRPr="00486D34" w:rsidRDefault="00D74A14" w:rsidP="00D74A14">
          <w:pPr>
            <w:rPr>
              <w:rFonts w:ascii="Arial" w:hAnsi="Arial" w:cs="Arial"/>
              <w:b/>
            </w:rPr>
          </w:pPr>
          <w:r w:rsidRPr="00486D34">
            <w:rPr>
              <w:rFonts w:ascii="Arial" w:hAnsi="Arial" w:cs="Arial"/>
              <w:b/>
              <w:noProof/>
              <w:lang w:val="nl-NL" w:eastAsia="nl-NL"/>
            </w:rPr>
            <w:drawing>
              <wp:anchor distT="0" distB="0" distL="114300" distR="114300" simplePos="0" relativeHeight="251659264" behindDoc="0" locked="0" layoutInCell="1" allowOverlap="1" wp14:anchorId="2841B5D8" wp14:editId="7BE9D6D6">
                <wp:simplePos x="0" y="0"/>
                <wp:positionH relativeFrom="column">
                  <wp:posOffset>167640</wp:posOffset>
                </wp:positionH>
                <wp:positionV relativeFrom="paragraph">
                  <wp:posOffset>107950</wp:posOffset>
                </wp:positionV>
                <wp:extent cx="839470" cy="4572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logo.jpg"/>
                        <pic:cNvPicPr/>
                      </pic:nvPicPr>
                      <pic:blipFill rotWithShape="1">
                        <a:blip r:embed="rId2">
                          <a:extLst>
                            <a:ext uri="{28A0092B-C50C-407E-A947-70E740481C1C}">
                              <a14:useLocalDpi xmlns:a14="http://schemas.microsoft.com/office/drawing/2010/main" val="0"/>
                            </a:ext>
                          </a:extLst>
                        </a:blip>
                        <a:srcRect l="25766" t="24816" r="25653" b="22240"/>
                        <a:stretch/>
                      </pic:blipFill>
                      <pic:spPr bwMode="auto">
                        <a:xfrm>
                          <a:off x="0" y="0"/>
                          <a:ext cx="839470" cy="457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41BE4346" w14:textId="08F9E558" w:rsidR="00BD19A5" w:rsidRDefault="00BD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6E26"/>
    <w:multiLevelType w:val="hybridMultilevel"/>
    <w:tmpl w:val="CA780CC2"/>
    <w:lvl w:ilvl="0" w:tplc="78A4BAA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A582B"/>
    <w:multiLevelType w:val="hybridMultilevel"/>
    <w:tmpl w:val="BF944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F911A1"/>
    <w:multiLevelType w:val="hybridMultilevel"/>
    <w:tmpl w:val="5BB6B750"/>
    <w:lvl w:ilvl="0" w:tplc="1D6AF56C">
      <w:start w:val="1"/>
      <w:numFmt w:val="decimal"/>
      <w:pStyle w:val="Heading2"/>
      <w:lvlText w:val="%1."/>
      <w:lvlJc w:val="left"/>
      <w:pPr>
        <w:ind w:left="720" w:hanging="360"/>
      </w:pPr>
    </w:lvl>
    <w:lvl w:ilvl="1" w:tplc="D682B438">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64295A"/>
    <w:multiLevelType w:val="hybridMultilevel"/>
    <w:tmpl w:val="31DE76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40728"/>
    <w:multiLevelType w:val="hybridMultilevel"/>
    <w:tmpl w:val="0A78072E"/>
    <w:lvl w:ilvl="0" w:tplc="0413000F">
      <w:start w:val="1"/>
      <w:numFmt w:val="decimal"/>
      <w:lvlText w:val="%1."/>
      <w:lvlJc w:val="left"/>
      <w:pPr>
        <w:ind w:left="720" w:hanging="360"/>
      </w:pPr>
    </w:lvl>
    <w:lvl w:ilvl="1" w:tplc="BA1C74CA">
      <w:start w:val="1"/>
      <w:numFmt w:val="decimal"/>
      <w:lvlText w:val="%2."/>
      <w:lvlJc w:val="left"/>
      <w:pPr>
        <w:ind w:left="1440" w:hanging="360"/>
      </w:pPr>
      <w:rPr>
        <w:rFonts w:asciiTheme="minorHAnsi" w:eastAsiaTheme="minorHAnsi" w:hAnsiTheme="minorHAnsi" w:cstheme="minorBidi"/>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27615E"/>
    <w:multiLevelType w:val="hybridMultilevel"/>
    <w:tmpl w:val="343072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37443E"/>
    <w:multiLevelType w:val="hybridMultilevel"/>
    <w:tmpl w:val="5D202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9107BC"/>
    <w:multiLevelType w:val="hybridMultilevel"/>
    <w:tmpl w:val="DCD21366"/>
    <w:lvl w:ilvl="0" w:tplc="04130019">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8" w15:restartNumberingAfterBreak="0">
    <w:nsid w:val="5BD82F3A"/>
    <w:multiLevelType w:val="hybridMultilevel"/>
    <w:tmpl w:val="E59AE006"/>
    <w:lvl w:ilvl="0" w:tplc="F870900C">
      <w:start w:val="1"/>
      <w:numFmt w:val="bullet"/>
      <w:pStyle w:val="ListParagraph"/>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A21292"/>
    <w:multiLevelType w:val="hybridMultilevel"/>
    <w:tmpl w:val="464AF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9"/>
  </w:num>
  <w:num w:numId="7">
    <w:abstractNumId w:val="8"/>
  </w:num>
  <w:num w:numId="8">
    <w:abstractNumId w:val="8"/>
  </w:num>
  <w:num w:numId="9">
    <w:abstractNumId w:val="8"/>
  </w:num>
  <w:num w:numId="10">
    <w:abstractNumId w:val="8"/>
  </w:num>
  <w:num w:numId="11">
    <w:abstractNumId w:val="8"/>
  </w:num>
  <w:num w:numId="12">
    <w:abstractNumId w:val="3"/>
  </w:num>
  <w:num w:numId="13">
    <w:abstractNumId w:val="4"/>
  </w:num>
  <w:num w:numId="14">
    <w:abstractNumId w:val="5"/>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C9"/>
    <w:rsid w:val="0000049A"/>
    <w:rsid w:val="00001478"/>
    <w:rsid w:val="0000555C"/>
    <w:rsid w:val="000061FB"/>
    <w:rsid w:val="00006804"/>
    <w:rsid w:val="000070F5"/>
    <w:rsid w:val="000105C8"/>
    <w:rsid w:val="0001101A"/>
    <w:rsid w:val="00015405"/>
    <w:rsid w:val="0001672D"/>
    <w:rsid w:val="00016F3C"/>
    <w:rsid w:val="000174E3"/>
    <w:rsid w:val="000179B1"/>
    <w:rsid w:val="000241E1"/>
    <w:rsid w:val="00024A03"/>
    <w:rsid w:val="000258FE"/>
    <w:rsid w:val="00025F94"/>
    <w:rsid w:val="000279C1"/>
    <w:rsid w:val="000318DF"/>
    <w:rsid w:val="00032AA8"/>
    <w:rsid w:val="00033E65"/>
    <w:rsid w:val="0003480B"/>
    <w:rsid w:val="0003561F"/>
    <w:rsid w:val="00036A59"/>
    <w:rsid w:val="0004096D"/>
    <w:rsid w:val="00041196"/>
    <w:rsid w:val="0004184D"/>
    <w:rsid w:val="000444AB"/>
    <w:rsid w:val="000453F4"/>
    <w:rsid w:val="00046192"/>
    <w:rsid w:val="00047D16"/>
    <w:rsid w:val="00047E8E"/>
    <w:rsid w:val="00051385"/>
    <w:rsid w:val="00051DE8"/>
    <w:rsid w:val="00056FB7"/>
    <w:rsid w:val="000611FC"/>
    <w:rsid w:val="00061D8A"/>
    <w:rsid w:val="00062D8B"/>
    <w:rsid w:val="00070A46"/>
    <w:rsid w:val="00071879"/>
    <w:rsid w:val="0007226C"/>
    <w:rsid w:val="00072508"/>
    <w:rsid w:val="00072791"/>
    <w:rsid w:val="00073C25"/>
    <w:rsid w:val="00074A46"/>
    <w:rsid w:val="0007746C"/>
    <w:rsid w:val="00080D18"/>
    <w:rsid w:val="00081842"/>
    <w:rsid w:val="0008404D"/>
    <w:rsid w:val="0008463A"/>
    <w:rsid w:val="00084A5C"/>
    <w:rsid w:val="00085FFF"/>
    <w:rsid w:val="00087DB8"/>
    <w:rsid w:val="00091327"/>
    <w:rsid w:val="000938D4"/>
    <w:rsid w:val="000957FE"/>
    <w:rsid w:val="0009636F"/>
    <w:rsid w:val="000A016C"/>
    <w:rsid w:val="000A2130"/>
    <w:rsid w:val="000A3064"/>
    <w:rsid w:val="000A42CC"/>
    <w:rsid w:val="000A5190"/>
    <w:rsid w:val="000A5F4F"/>
    <w:rsid w:val="000A6423"/>
    <w:rsid w:val="000A6617"/>
    <w:rsid w:val="000A6E83"/>
    <w:rsid w:val="000A721A"/>
    <w:rsid w:val="000B1301"/>
    <w:rsid w:val="000B17A7"/>
    <w:rsid w:val="000B25A1"/>
    <w:rsid w:val="000B2801"/>
    <w:rsid w:val="000B4B07"/>
    <w:rsid w:val="000B4ED8"/>
    <w:rsid w:val="000B733E"/>
    <w:rsid w:val="000C00D1"/>
    <w:rsid w:val="000C2B4C"/>
    <w:rsid w:val="000C4648"/>
    <w:rsid w:val="000C4D9E"/>
    <w:rsid w:val="000C5848"/>
    <w:rsid w:val="000C66AF"/>
    <w:rsid w:val="000C7890"/>
    <w:rsid w:val="000D099B"/>
    <w:rsid w:val="000D3B98"/>
    <w:rsid w:val="000D72AD"/>
    <w:rsid w:val="000E11B8"/>
    <w:rsid w:val="000E13B7"/>
    <w:rsid w:val="000E2343"/>
    <w:rsid w:val="000E2DEB"/>
    <w:rsid w:val="000E3F4C"/>
    <w:rsid w:val="000F10AC"/>
    <w:rsid w:val="000F159C"/>
    <w:rsid w:val="000F405C"/>
    <w:rsid w:val="000F7EBA"/>
    <w:rsid w:val="001002CD"/>
    <w:rsid w:val="0010273A"/>
    <w:rsid w:val="00102AC9"/>
    <w:rsid w:val="00104BE6"/>
    <w:rsid w:val="00105480"/>
    <w:rsid w:val="00105713"/>
    <w:rsid w:val="00105D12"/>
    <w:rsid w:val="00106BFB"/>
    <w:rsid w:val="00106C1C"/>
    <w:rsid w:val="00106FBA"/>
    <w:rsid w:val="0011182F"/>
    <w:rsid w:val="001119CD"/>
    <w:rsid w:val="00112762"/>
    <w:rsid w:val="00113036"/>
    <w:rsid w:val="00113170"/>
    <w:rsid w:val="00114080"/>
    <w:rsid w:val="001160E7"/>
    <w:rsid w:val="001204D8"/>
    <w:rsid w:val="001211D6"/>
    <w:rsid w:val="001265DD"/>
    <w:rsid w:val="00126A92"/>
    <w:rsid w:val="00127A0F"/>
    <w:rsid w:val="00130329"/>
    <w:rsid w:val="00130C01"/>
    <w:rsid w:val="00130E35"/>
    <w:rsid w:val="00132B7F"/>
    <w:rsid w:val="00133416"/>
    <w:rsid w:val="00136AFB"/>
    <w:rsid w:val="00145F69"/>
    <w:rsid w:val="001466A5"/>
    <w:rsid w:val="00146E8C"/>
    <w:rsid w:val="00151937"/>
    <w:rsid w:val="0015338B"/>
    <w:rsid w:val="00153760"/>
    <w:rsid w:val="001556B6"/>
    <w:rsid w:val="00157D30"/>
    <w:rsid w:val="00157FE8"/>
    <w:rsid w:val="00160B34"/>
    <w:rsid w:val="00161263"/>
    <w:rsid w:val="0016233D"/>
    <w:rsid w:val="001632D5"/>
    <w:rsid w:val="00163FE4"/>
    <w:rsid w:val="00165B2A"/>
    <w:rsid w:val="00165F85"/>
    <w:rsid w:val="00166FE0"/>
    <w:rsid w:val="0017772D"/>
    <w:rsid w:val="0018051B"/>
    <w:rsid w:val="00182786"/>
    <w:rsid w:val="00182AE7"/>
    <w:rsid w:val="0018391A"/>
    <w:rsid w:val="00183DEF"/>
    <w:rsid w:val="0018686D"/>
    <w:rsid w:val="00186C90"/>
    <w:rsid w:val="00186DA4"/>
    <w:rsid w:val="00190AFB"/>
    <w:rsid w:val="001915C6"/>
    <w:rsid w:val="00192D14"/>
    <w:rsid w:val="001932E4"/>
    <w:rsid w:val="001932E8"/>
    <w:rsid w:val="0019491F"/>
    <w:rsid w:val="00194E26"/>
    <w:rsid w:val="00195EB0"/>
    <w:rsid w:val="001A12CA"/>
    <w:rsid w:val="001A40C4"/>
    <w:rsid w:val="001A45B4"/>
    <w:rsid w:val="001A5318"/>
    <w:rsid w:val="001A6F7D"/>
    <w:rsid w:val="001A75C3"/>
    <w:rsid w:val="001A7E6D"/>
    <w:rsid w:val="001A7FB8"/>
    <w:rsid w:val="001B1D59"/>
    <w:rsid w:val="001B1EC0"/>
    <w:rsid w:val="001B26AB"/>
    <w:rsid w:val="001B45E3"/>
    <w:rsid w:val="001B6400"/>
    <w:rsid w:val="001C174D"/>
    <w:rsid w:val="001C1944"/>
    <w:rsid w:val="001C19A1"/>
    <w:rsid w:val="001C1B80"/>
    <w:rsid w:val="001C2819"/>
    <w:rsid w:val="001C5153"/>
    <w:rsid w:val="001C7DC3"/>
    <w:rsid w:val="001D0BE3"/>
    <w:rsid w:val="001D10FE"/>
    <w:rsid w:val="001D26F2"/>
    <w:rsid w:val="001D4151"/>
    <w:rsid w:val="001D54CA"/>
    <w:rsid w:val="001D71C8"/>
    <w:rsid w:val="001D72B4"/>
    <w:rsid w:val="001E0B92"/>
    <w:rsid w:val="001E1505"/>
    <w:rsid w:val="001E19BE"/>
    <w:rsid w:val="001E25A5"/>
    <w:rsid w:val="001E2C10"/>
    <w:rsid w:val="001E35B9"/>
    <w:rsid w:val="001E4DB5"/>
    <w:rsid w:val="001E66FE"/>
    <w:rsid w:val="001F242F"/>
    <w:rsid w:val="001F2E91"/>
    <w:rsid w:val="001F3B13"/>
    <w:rsid w:val="001F3FA5"/>
    <w:rsid w:val="001F41F8"/>
    <w:rsid w:val="001F4F34"/>
    <w:rsid w:val="001F605C"/>
    <w:rsid w:val="001F7DF5"/>
    <w:rsid w:val="001F7FB7"/>
    <w:rsid w:val="002011F1"/>
    <w:rsid w:val="0020551E"/>
    <w:rsid w:val="00206511"/>
    <w:rsid w:val="002118C8"/>
    <w:rsid w:val="00211E12"/>
    <w:rsid w:val="00216B3B"/>
    <w:rsid w:val="00222B24"/>
    <w:rsid w:val="00224AF0"/>
    <w:rsid w:val="00226F68"/>
    <w:rsid w:val="00230359"/>
    <w:rsid w:val="002303DE"/>
    <w:rsid w:val="002304AC"/>
    <w:rsid w:val="0023140A"/>
    <w:rsid w:val="00231A12"/>
    <w:rsid w:val="002323FA"/>
    <w:rsid w:val="00232A36"/>
    <w:rsid w:val="00232B7A"/>
    <w:rsid w:val="00232E60"/>
    <w:rsid w:val="00233FE4"/>
    <w:rsid w:val="00234467"/>
    <w:rsid w:val="00234F98"/>
    <w:rsid w:val="00235A65"/>
    <w:rsid w:val="00235C42"/>
    <w:rsid w:val="00235ED5"/>
    <w:rsid w:val="00236C3F"/>
    <w:rsid w:val="00240BA7"/>
    <w:rsid w:val="00242262"/>
    <w:rsid w:val="00244487"/>
    <w:rsid w:val="002453AC"/>
    <w:rsid w:val="002460C5"/>
    <w:rsid w:val="0024620A"/>
    <w:rsid w:val="0024774A"/>
    <w:rsid w:val="002477A9"/>
    <w:rsid w:val="00250E85"/>
    <w:rsid w:val="00251188"/>
    <w:rsid w:val="0025189B"/>
    <w:rsid w:val="00252484"/>
    <w:rsid w:val="00252782"/>
    <w:rsid w:val="002535EF"/>
    <w:rsid w:val="00254F5A"/>
    <w:rsid w:val="00257769"/>
    <w:rsid w:val="00260004"/>
    <w:rsid w:val="00260A68"/>
    <w:rsid w:val="00265801"/>
    <w:rsid w:val="00270C8E"/>
    <w:rsid w:val="002713F2"/>
    <w:rsid w:val="00271613"/>
    <w:rsid w:val="00271C5E"/>
    <w:rsid w:val="0027237F"/>
    <w:rsid w:val="00275E2E"/>
    <w:rsid w:val="00280724"/>
    <w:rsid w:val="00284052"/>
    <w:rsid w:val="00285592"/>
    <w:rsid w:val="0028660D"/>
    <w:rsid w:val="00286AB9"/>
    <w:rsid w:val="00292084"/>
    <w:rsid w:val="002928C5"/>
    <w:rsid w:val="00292FD0"/>
    <w:rsid w:val="002936EB"/>
    <w:rsid w:val="00296ECF"/>
    <w:rsid w:val="002A0D8A"/>
    <w:rsid w:val="002A78ED"/>
    <w:rsid w:val="002B0DF9"/>
    <w:rsid w:val="002B1071"/>
    <w:rsid w:val="002B2080"/>
    <w:rsid w:val="002B2D1A"/>
    <w:rsid w:val="002B5B95"/>
    <w:rsid w:val="002C1172"/>
    <w:rsid w:val="002C1A57"/>
    <w:rsid w:val="002C6CEF"/>
    <w:rsid w:val="002C7FB2"/>
    <w:rsid w:val="002D0890"/>
    <w:rsid w:val="002D24C7"/>
    <w:rsid w:val="002D3875"/>
    <w:rsid w:val="002D3E35"/>
    <w:rsid w:val="002D4D81"/>
    <w:rsid w:val="002D5B7B"/>
    <w:rsid w:val="002E020E"/>
    <w:rsid w:val="002E0B28"/>
    <w:rsid w:val="002E0C99"/>
    <w:rsid w:val="002E13BE"/>
    <w:rsid w:val="002E1F6A"/>
    <w:rsid w:val="002E46EE"/>
    <w:rsid w:val="002E4B37"/>
    <w:rsid w:val="002E4C14"/>
    <w:rsid w:val="002E6509"/>
    <w:rsid w:val="002E657F"/>
    <w:rsid w:val="002F1052"/>
    <w:rsid w:val="002F1333"/>
    <w:rsid w:val="002F2557"/>
    <w:rsid w:val="002F3202"/>
    <w:rsid w:val="002F4E69"/>
    <w:rsid w:val="002F5EFA"/>
    <w:rsid w:val="002F7B16"/>
    <w:rsid w:val="00302F16"/>
    <w:rsid w:val="003041AF"/>
    <w:rsid w:val="003050BA"/>
    <w:rsid w:val="0030535F"/>
    <w:rsid w:val="00307C9C"/>
    <w:rsid w:val="00311730"/>
    <w:rsid w:val="0031251E"/>
    <w:rsid w:val="003145C1"/>
    <w:rsid w:val="00314CF1"/>
    <w:rsid w:val="003167C3"/>
    <w:rsid w:val="00320A7C"/>
    <w:rsid w:val="00322116"/>
    <w:rsid w:val="00322714"/>
    <w:rsid w:val="00322DAC"/>
    <w:rsid w:val="00324A4F"/>
    <w:rsid w:val="00325921"/>
    <w:rsid w:val="00326A0A"/>
    <w:rsid w:val="00326E23"/>
    <w:rsid w:val="003315F8"/>
    <w:rsid w:val="003331BC"/>
    <w:rsid w:val="00333C41"/>
    <w:rsid w:val="00333F69"/>
    <w:rsid w:val="003351DB"/>
    <w:rsid w:val="0034153F"/>
    <w:rsid w:val="00344F35"/>
    <w:rsid w:val="003511FA"/>
    <w:rsid w:val="0035248D"/>
    <w:rsid w:val="00353295"/>
    <w:rsid w:val="003551E5"/>
    <w:rsid w:val="0035674D"/>
    <w:rsid w:val="00357FDE"/>
    <w:rsid w:val="00360063"/>
    <w:rsid w:val="003618F7"/>
    <w:rsid w:val="00362733"/>
    <w:rsid w:val="00363093"/>
    <w:rsid w:val="00363548"/>
    <w:rsid w:val="00364BBC"/>
    <w:rsid w:val="00364CAB"/>
    <w:rsid w:val="0036591C"/>
    <w:rsid w:val="00370901"/>
    <w:rsid w:val="00371CE3"/>
    <w:rsid w:val="00372897"/>
    <w:rsid w:val="00372A0F"/>
    <w:rsid w:val="00372EA7"/>
    <w:rsid w:val="00374DB5"/>
    <w:rsid w:val="0038015F"/>
    <w:rsid w:val="00384FA9"/>
    <w:rsid w:val="00386172"/>
    <w:rsid w:val="00386E43"/>
    <w:rsid w:val="00390B98"/>
    <w:rsid w:val="00391638"/>
    <w:rsid w:val="003916B9"/>
    <w:rsid w:val="003922DF"/>
    <w:rsid w:val="00392409"/>
    <w:rsid w:val="00393457"/>
    <w:rsid w:val="003937C1"/>
    <w:rsid w:val="00395EF3"/>
    <w:rsid w:val="0039615B"/>
    <w:rsid w:val="0039628A"/>
    <w:rsid w:val="00396813"/>
    <w:rsid w:val="00396F01"/>
    <w:rsid w:val="003A2C9A"/>
    <w:rsid w:val="003A340E"/>
    <w:rsid w:val="003A3742"/>
    <w:rsid w:val="003A50BE"/>
    <w:rsid w:val="003A74B6"/>
    <w:rsid w:val="003A7813"/>
    <w:rsid w:val="003B0717"/>
    <w:rsid w:val="003B268B"/>
    <w:rsid w:val="003B26F4"/>
    <w:rsid w:val="003B2844"/>
    <w:rsid w:val="003B2A59"/>
    <w:rsid w:val="003B2AC4"/>
    <w:rsid w:val="003B31DE"/>
    <w:rsid w:val="003B3706"/>
    <w:rsid w:val="003B38F2"/>
    <w:rsid w:val="003B39CF"/>
    <w:rsid w:val="003B3A30"/>
    <w:rsid w:val="003B4726"/>
    <w:rsid w:val="003B5382"/>
    <w:rsid w:val="003B77FE"/>
    <w:rsid w:val="003C0373"/>
    <w:rsid w:val="003C0F6D"/>
    <w:rsid w:val="003C1ED7"/>
    <w:rsid w:val="003C39D9"/>
    <w:rsid w:val="003C3F26"/>
    <w:rsid w:val="003C730F"/>
    <w:rsid w:val="003D14F9"/>
    <w:rsid w:val="003D281E"/>
    <w:rsid w:val="003D2C3A"/>
    <w:rsid w:val="003D3C35"/>
    <w:rsid w:val="003D3F3E"/>
    <w:rsid w:val="003D5388"/>
    <w:rsid w:val="003D756C"/>
    <w:rsid w:val="003E127D"/>
    <w:rsid w:val="003E260C"/>
    <w:rsid w:val="003E32DE"/>
    <w:rsid w:val="003E6090"/>
    <w:rsid w:val="003E6853"/>
    <w:rsid w:val="003E6DC9"/>
    <w:rsid w:val="003E745A"/>
    <w:rsid w:val="003F02CD"/>
    <w:rsid w:val="003F150D"/>
    <w:rsid w:val="003F240C"/>
    <w:rsid w:val="003F31CD"/>
    <w:rsid w:val="003F359E"/>
    <w:rsid w:val="003F4A47"/>
    <w:rsid w:val="00401959"/>
    <w:rsid w:val="00407D6B"/>
    <w:rsid w:val="0041166B"/>
    <w:rsid w:val="00411A98"/>
    <w:rsid w:val="00414ABC"/>
    <w:rsid w:val="00414CE6"/>
    <w:rsid w:val="00415246"/>
    <w:rsid w:val="0041765A"/>
    <w:rsid w:val="00422EBC"/>
    <w:rsid w:val="0042339A"/>
    <w:rsid w:val="00424457"/>
    <w:rsid w:val="00424759"/>
    <w:rsid w:val="00424827"/>
    <w:rsid w:val="00424AEC"/>
    <w:rsid w:val="00424DC8"/>
    <w:rsid w:val="00425555"/>
    <w:rsid w:val="00425979"/>
    <w:rsid w:val="004308F5"/>
    <w:rsid w:val="0043134C"/>
    <w:rsid w:val="00434BF9"/>
    <w:rsid w:val="004363F5"/>
    <w:rsid w:val="00437A18"/>
    <w:rsid w:val="00437B4B"/>
    <w:rsid w:val="004400FF"/>
    <w:rsid w:val="0044031B"/>
    <w:rsid w:val="004409EE"/>
    <w:rsid w:val="00443D59"/>
    <w:rsid w:val="00446490"/>
    <w:rsid w:val="00446D1A"/>
    <w:rsid w:val="004506AE"/>
    <w:rsid w:val="0045081F"/>
    <w:rsid w:val="0045213C"/>
    <w:rsid w:val="00453DC8"/>
    <w:rsid w:val="00454BEE"/>
    <w:rsid w:val="00454D41"/>
    <w:rsid w:val="00455A23"/>
    <w:rsid w:val="00457B5E"/>
    <w:rsid w:val="004604B4"/>
    <w:rsid w:val="00460982"/>
    <w:rsid w:val="004620A0"/>
    <w:rsid w:val="0046421F"/>
    <w:rsid w:val="00464A1C"/>
    <w:rsid w:val="00466D09"/>
    <w:rsid w:val="0046730C"/>
    <w:rsid w:val="004675B1"/>
    <w:rsid w:val="0046775A"/>
    <w:rsid w:val="004678D6"/>
    <w:rsid w:val="00470712"/>
    <w:rsid w:val="004720A7"/>
    <w:rsid w:val="004734DB"/>
    <w:rsid w:val="00473B80"/>
    <w:rsid w:val="004776D7"/>
    <w:rsid w:val="00477B42"/>
    <w:rsid w:val="0048256E"/>
    <w:rsid w:val="00483968"/>
    <w:rsid w:val="00484A7D"/>
    <w:rsid w:val="00487710"/>
    <w:rsid w:val="004922D2"/>
    <w:rsid w:val="004927C2"/>
    <w:rsid w:val="00492F5F"/>
    <w:rsid w:val="00493E21"/>
    <w:rsid w:val="0049502D"/>
    <w:rsid w:val="00496A42"/>
    <w:rsid w:val="00496FFD"/>
    <w:rsid w:val="0049705F"/>
    <w:rsid w:val="00497A5D"/>
    <w:rsid w:val="004A25FC"/>
    <w:rsid w:val="004A37A9"/>
    <w:rsid w:val="004A43E4"/>
    <w:rsid w:val="004A5D36"/>
    <w:rsid w:val="004B1BDB"/>
    <w:rsid w:val="004B1C26"/>
    <w:rsid w:val="004B4858"/>
    <w:rsid w:val="004B58C6"/>
    <w:rsid w:val="004B5C64"/>
    <w:rsid w:val="004B60E9"/>
    <w:rsid w:val="004B62A4"/>
    <w:rsid w:val="004B696B"/>
    <w:rsid w:val="004C024D"/>
    <w:rsid w:val="004C2C9B"/>
    <w:rsid w:val="004C354C"/>
    <w:rsid w:val="004C3CB2"/>
    <w:rsid w:val="004C7609"/>
    <w:rsid w:val="004D1B8A"/>
    <w:rsid w:val="004D23A2"/>
    <w:rsid w:val="004D44F2"/>
    <w:rsid w:val="004D4869"/>
    <w:rsid w:val="004D5837"/>
    <w:rsid w:val="004D6FC4"/>
    <w:rsid w:val="004D7638"/>
    <w:rsid w:val="004D7EA2"/>
    <w:rsid w:val="004E0D8A"/>
    <w:rsid w:val="004E1BFB"/>
    <w:rsid w:val="004E2FDF"/>
    <w:rsid w:val="004E5570"/>
    <w:rsid w:val="004E62E4"/>
    <w:rsid w:val="004F0047"/>
    <w:rsid w:val="004F3A02"/>
    <w:rsid w:val="004F4228"/>
    <w:rsid w:val="00500505"/>
    <w:rsid w:val="0050263B"/>
    <w:rsid w:val="00503354"/>
    <w:rsid w:val="00503D66"/>
    <w:rsid w:val="0050438E"/>
    <w:rsid w:val="0050465B"/>
    <w:rsid w:val="00505B5D"/>
    <w:rsid w:val="005062F0"/>
    <w:rsid w:val="005065D6"/>
    <w:rsid w:val="00506E3F"/>
    <w:rsid w:val="00511CCA"/>
    <w:rsid w:val="00512176"/>
    <w:rsid w:val="005129D9"/>
    <w:rsid w:val="00513C3D"/>
    <w:rsid w:val="005140E7"/>
    <w:rsid w:val="005142C9"/>
    <w:rsid w:val="005147F6"/>
    <w:rsid w:val="0051481A"/>
    <w:rsid w:val="00516D79"/>
    <w:rsid w:val="00521767"/>
    <w:rsid w:val="00522EF1"/>
    <w:rsid w:val="005231C5"/>
    <w:rsid w:val="0052348B"/>
    <w:rsid w:val="0052358E"/>
    <w:rsid w:val="00526596"/>
    <w:rsid w:val="00531F39"/>
    <w:rsid w:val="00532BA2"/>
    <w:rsid w:val="0053335B"/>
    <w:rsid w:val="00535CDC"/>
    <w:rsid w:val="00535DE6"/>
    <w:rsid w:val="00536BE0"/>
    <w:rsid w:val="00540B57"/>
    <w:rsid w:val="00540BE1"/>
    <w:rsid w:val="00541BE4"/>
    <w:rsid w:val="00542192"/>
    <w:rsid w:val="00542A86"/>
    <w:rsid w:val="00543B05"/>
    <w:rsid w:val="00544BFA"/>
    <w:rsid w:val="00545EC1"/>
    <w:rsid w:val="00547404"/>
    <w:rsid w:val="00552C99"/>
    <w:rsid w:val="00553F39"/>
    <w:rsid w:val="005540B9"/>
    <w:rsid w:val="00562A2E"/>
    <w:rsid w:val="00563799"/>
    <w:rsid w:val="00563CA7"/>
    <w:rsid w:val="00564E5A"/>
    <w:rsid w:val="0056669E"/>
    <w:rsid w:val="00567FAA"/>
    <w:rsid w:val="005707A5"/>
    <w:rsid w:val="00572D1C"/>
    <w:rsid w:val="00575842"/>
    <w:rsid w:val="00575A56"/>
    <w:rsid w:val="005773CB"/>
    <w:rsid w:val="00577C8F"/>
    <w:rsid w:val="0058048B"/>
    <w:rsid w:val="00580BFE"/>
    <w:rsid w:val="00581CCC"/>
    <w:rsid w:val="00584244"/>
    <w:rsid w:val="00585B94"/>
    <w:rsid w:val="00586032"/>
    <w:rsid w:val="0058793B"/>
    <w:rsid w:val="00590801"/>
    <w:rsid w:val="00592E7A"/>
    <w:rsid w:val="00593637"/>
    <w:rsid w:val="00593C98"/>
    <w:rsid w:val="00593E45"/>
    <w:rsid w:val="00596D6A"/>
    <w:rsid w:val="00596E12"/>
    <w:rsid w:val="00597462"/>
    <w:rsid w:val="005A15D0"/>
    <w:rsid w:val="005A368A"/>
    <w:rsid w:val="005A441A"/>
    <w:rsid w:val="005B0701"/>
    <w:rsid w:val="005B0BEA"/>
    <w:rsid w:val="005B2B2C"/>
    <w:rsid w:val="005B4E6C"/>
    <w:rsid w:val="005B75B5"/>
    <w:rsid w:val="005C0D98"/>
    <w:rsid w:val="005C16B3"/>
    <w:rsid w:val="005C3734"/>
    <w:rsid w:val="005C3AD7"/>
    <w:rsid w:val="005C54D3"/>
    <w:rsid w:val="005C585E"/>
    <w:rsid w:val="005C66E9"/>
    <w:rsid w:val="005D2180"/>
    <w:rsid w:val="005D7596"/>
    <w:rsid w:val="005E1950"/>
    <w:rsid w:val="005E1F25"/>
    <w:rsid w:val="005E2692"/>
    <w:rsid w:val="005E30F2"/>
    <w:rsid w:val="005E40AA"/>
    <w:rsid w:val="005E54FA"/>
    <w:rsid w:val="005F164A"/>
    <w:rsid w:val="005F1CE0"/>
    <w:rsid w:val="005F2B11"/>
    <w:rsid w:val="005F3298"/>
    <w:rsid w:val="005F6DAB"/>
    <w:rsid w:val="005F6E94"/>
    <w:rsid w:val="006006B4"/>
    <w:rsid w:val="0060083C"/>
    <w:rsid w:val="00600D45"/>
    <w:rsid w:val="0060159E"/>
    <w:rsid w:val="00601B06"/>
    <w:rsid w:val="00602F3B"/>
    <w:rsid w:val="00603EEF"/>
    <w:rsid w:val="00605368"/>
    <w:rsid w:val="0060652E"/>
    <w:rsid w:val="00606F47"/>
    <w:rsid w:val="00610015"/>
    <w:rsid w:val="00610CD5"/>
    <w:rsid w:val="0061136F"/>
    <w:rsid w:val="006115EE"/>
    <w:rsid w:val="0061171E"/>
    <w:rsid w:val="0061192A"/>
    <w:rsid w:val="00611CE9"/>
    <w:rsid w:val="00611EFC"/>
    <w:rsid w:val="00612E9F"/>
    <w:rsid w:val="00613C12"/>
    <w:rsid w:val="00614973"/>
    <w:rsid w:val="00616903"/>
    <w:rsid w:val="006174F9"/>
    <w:rsid w:val="00617989"/>
    <w:rsid w:val="00621146"/>
    <w:rsid w:val="00621309"/>
    <w:rsid w:val="006219EF"/>
    <w:rsid w:val="006227F5"/>
    <w:rsid w:val="00625260"/>
    <w:rsid w:val="00626A19"/>
    <w:rsid w:val="006273C9"/>
    <w:rsid w:val="00633254"/>
    <w:rsid w:val="00634379"/>
    <w:rsid w:val="006344FE"/>
    <w:rsid w:val="0063528B"/>
    <w:rsid w:val="00635BEF"/>
    <w:rsid w:val="00636890"/>
    <w:rsid w:val="006368BC"/>
    <w:rsid w:val="0063750E"/>
    <w:rsid w:val="00643CD8"/>
    <w:rsid w:val="0064465E"/>
    <w:rsid w:val="00645BB3"/>
    <w:rsid w:val="006467EE"/>
    <w:rsid w:val="006518D8"/>
    <w:rsid w:val="00651B26"/>
    <w:rsid w:val="0065264E"/>
    <w:rsid w:val="00652896"/>
    <w:rsid w:val="00652CD7"/>
    <w:rsid w:val="00654F42"/>
    <w:rsid w:val="00656501"/>
    <w:rsid w:val="006576EC"/>
    <w:rsid w:val="00657B3E"/>
    <w:rsid w:val="00657CCB"/>
    <w:rsid w:val="00657D75"/>
    <w:rsid w:val="00660A0F"/>
    <w:rsid w:val="00660EA1"/>
    <w:rsid w:val="006613DF"/>
    <w:rsid w:val="00662955"/>
    <w:rsid w:val="0066398F"/>
    <w:rsid w:val="006648A4"/>
    <w:rsid w:val="00664CDC"/>
    <w:rsid w:val="00667017"/>
    <w:rsid w:val="006676FF"/>
    <w:rsid w:val="00667829"/>
    <w:rsid w:val="006725F8"/>
    <w:rsid w:val="00677BAB"/>
    <w:rsid w:val="00677D6D"/>
    <w:rsid w:val="00677DA1"/>
    <w:rsid w:val="00681391"/>
    <w:rsid w:val="0068196F"/>
    <w:rsid w:val="00681BF1"/>
    <w:rsid w:val="00681E7F"/>
    <w:rsid w:val="00682F6E"/>
    <w:rsid w:val="00683A0D"/>
    <w:rsid w:val="00683E05"/>
    <w:rsid w:val="00684E58"/>
    <w:rsid w:val="0068509A"/>
    <w:rsid w:val="00691AA4"/>
    <w:rsid w:val="00695196"/>
    <w:rsid w:val="0069660D"/>
    <w:rsid w:val="006A0165"/>
    <w:rsid w:val="006A06E4"/>
    <w:rsid w:val="006A1BE2"/>
    <w:rsid w:val="006A25B4"/>
    <w:rsid w:val="006A4857"/>
    <w:rsid w:val="006A64F6"/>
    <w:rsid w:val="006A77AC"/>
    <w:rsid w:val="006B00FF"/>
    <w:rsid w:val="006B0D36"/>
    <w:rsid w:val="006B1BCA"/>
    <w:rsid w:val="006B3F0C"/>
    <w:rsid w:val="006B4015"/>
    <w:rsid w:val="006B5408"/>
    <w:rsid w:val="006B5DE2"/>
    <w:rsid w:val="006B6A4B"/>
    <w:rsid w:val="006C1AA5"/>
    <w:rsid w:val="006C223B"/>
    <w:rsid w:val="006C2501"/>
    <w:rsid w:val="006C3F67"/>
    <w:rsid w:val="006C437A"/>
    <w:rsid w:val="006C6C1E"/>
    <w:rsid w:val="006C6F95"/>
    <w:rsid w:val="006D125C"/>
    <w:rsid w:val="006D2F8F"/>
    <w:rsid w:val="006D76B7"/>
    <w:rsid w:val="006E05F7"/>
    <w:rsid w:val="006E11D6"/>
    <w:rsid w:val="006E3A60"/>
    <w:rsid w:val="006E5D27"/>
    <w:rsid w:val="006E6FFE"/>
    <w:rsid w:val="006F08FE"/>
    <w:rsid w:val="006F09EA"/>
    <w:rsid w:val="006F18E1"/>
    <w:rsid w:val="006F1E50"/>
    <w:rsid w:val="006F2235"/>
    <w:rsid w:val="006F4F90"/>
    <w:rsid w:val="006F641B"/>
    <w:rsid w:val="006F6ED9"/>
    <w:rsid w:val="006F7FD7"/>
    <w:rsid w:val="00702C4C"/>
    <w:rsid w:val="00704035"/>
    <w:rsid w:val="00706AA8"/>
    <w:rsid w:val="00707C49"/>
    <w:rsid w:val="0071373E"/>
    <w:rsid w:val="007152C1"/>
    <w:rsid w:val="00722C81"/>
    <w:rsid w:val="00723433"/>
    <w:rsid w:val="00723EB4"/>
    <w:rsid w:val="007241BB"/>
    <w:rsid w:val="0072573C"/>
    <w:rsid w:val="00725A5D"/>
    <w:rsid w:val="00732670"/>
    <w:rsid w:val="00732680"/>
    <w:rsid w:val="007337A9"/>
    <w:rsid w:val="007378F0"/>
    <w:rsid w:val="007414C8"/>
    <w:rsid w:val="00742F2A"/>
    <w:rsid w:val="00742F82"/>
    <w:rsid w:val="00743C6F"/>
    <w:rsid w:val="00743CC3"/>
    <w:rsid w:val="00743DE1"/>
    <w:rsid w:val="00744902"/>
    <w:rsid w:val="0074685D"/>
    <w:rsid w:val="00747E5A"/>
    <w:rsid w:val="00750C48"/>
    <w:rsid w:val="00751937"/>
    <w:rsid w:val="0075197F"/>
    <w:rsid w:val="007523E8"/>
    <w:rsid w:val="007524CC"/>
    <w:rsid w:val="00752F85"/>
    <w:rsid w:val="00756E2D"/>
    <w:rsid w:val="00757A0D"/>
    <w:rsid w:val="00762A89"/>
    <w:rsid w:val="00764B09"/>
    <w:rsid w:val="00766C46"/>
    <w:rsid w:val="00766CCE"/>
    <w:rsid w:val="00773D1A"/>
    <w:rsid w:val="0077598A"/>
    <w:rsid w:val="00775D2F"/>
    <w:rsid w:val="0077630B"/>
    <w:rsid w:val="00780FE1"/>
    <w:rsid w:val="00781ABA"/>
    <w:rsid w:val="00781EC5"/>
    <w:rsid w:val="00782F4A"/>
    <w:rsid w:val="007830F5"/>
    <w:rsid w:val="007850C4"/>
    <w:rsid w:val="007855EB"/>
    <w:rsid w:val="007875C7"/>
    <w:rsid w:val="00790524"/>
    <w:rsid w:val="00790D7A"/>
    <w:rsid w:val="00793420"/>
    <w:rsid w:val="0079412C"/>
    <w:rsid w:val="00795C32"/>
    <w:rsid w:val="007963AF"/>
    <w:rsid w:val="00797A0E"/>
    <w:rsid w:val="007A12A7"/>
    <w:rsid w:val="007A1422"/>
    <w:rsid w:val="007A3011"/>
    <w:rsid w:val="007A4E9A"/>
    <w:rsid w:val="007A655D"/>
    <w:rsid w:val="007A698E"/>
    <w:rsid w:val="007B01C7"/>
    <w:rsid w:val="007B170E"/>
    <w:rsid w:val="007B230F"/>
    <w:rsid w:val="007B2DB4"/>
    <w:rsid w:val="007B4227"/>
    <w:rsid w:val="007B5615"/>
    <w:rsid w:val="007B6E2E"/>
    <w:rsid w:val="007C0ED8"/>
    <w:rsid w:val="007C1AF6"/>
    <w:rsid w:val="007C42C6"/>
    <w:rsid w:val="007C448A"/>
    <w:rsid w:val="007C47FD"/>
    <w:rsid w:val="007C5582"/>
    <w:rsid w:val="007C5BE6"/>
    <w:rsid w:val="007C7659"/>
    <w:rsid w:val="007C7923"/>
    <w:rsid w:val="007D1933"/>
    <w:rsid w:val="007D1D82"/>
    <w:rsid w:val="007D309C"/>
    <w:rsid w:val="007D6350"/>
    <w:rsid w:val="007D6A3F"/>
    <w:rsid w:val="007E0DB3"/>
    <w:rsid w:val="007E1DC1"/>
    <w:rsid w:val="007E2311"/>
    <w:rsid w:val="007E40B7"/>
    <w:rsid w:val="007E4B3F"/>
    <w:rsid w:val="007E4C19"/>
    <w:rsid w:val="007E6412"/>
    <w:rsid w:val="007E673A"/>
    <w:rsid w:val="007E6E8D"/>
    <w:rsid w:val="007F3377"/>
    <w:rsid w:val="007F6D95"/>
    <w:rsid w:val="00800390"/>
    <w:rsid w:val="00801F30"/>
    <w:rsid w:val="00805915"/>
    <w:rsid w:val="00805EA0"/>
    <w:rsid w:val="00807F09"/>
    <w:rsid w:val="008105B7"/>
    <w:rsid w:val="008107DA"/>
    <w:rsid w:val="008121F5"/>
    <w:rsid w:val="008130DA"/>
    <w:rsid w:val="00813215"/>
    <w:rsid w:val="00813D37"/>
    <w:rsid w:val="00816582"/>
    <w:rsid w:val="0081695A"/>
    <w:rsid w:val="0081709A"/>
    <w:rsid w:val="008175E0"/>
    <w:rsid w:val="00820E64"/>
    <w:rsid w:val="008221E7"/>
    <w:rsid w:val="008224E0"/>
    <w:rsid w:val="00822C3F"/>
    <w:rsid w:val="00823221"/>
    <w:rsid w:val="008234AB"/>
    <w:rsid w:val="00823C0B"/>
    <w:rsid w:val="00823D6F"/>
    <w:rsid w:val="008248A9"/>
    <w:rsid w:val="00826538"/>
    <w:rsid w:val="008316DE"/>
    <w:rsid w:val="00832087"/>
    <w:rsid w:val="0083231E"/>
    <w:rsid w:val="00832A98"/>
    <w:rsid w:val="00837260"/>
    <w:rsid w:val="008377ED"/>
    <w:rsid w:val="00840F68"/>
    <w:rsid w:val="00841AD8"/>
    <w:rsid w:val="00844F3B"/>
    <w:rsid w:val="00846577"/>
    <w:rsid w:val="00846BFE"/>
    <w:rsid w:val="00847901"/>
    <w:rsid w:val="008507D3"/>
    <w:rsid w:val="00850861"/>
    <w:rsid w:val="00850B55"/>
    <w:rsid w:val="00850EEC"/>
    <w:rsid w:val="008515DD"/>
    <w:rsid w:val="0085464C"/>
    <w:rsid w:val="00855DB1"/>
    <w:rsid w:val="00855FED"/>
    <w:rsid w:val="008602B7"/>
    <w:rsid w:val="008643D4"/>
    <w:rsid w:val="008644EF"/>
    <w:rsid w:val="0086495E"/>
    <w:rsid w:val="00864F2B"/>
    <w:rsid w:val="008670DF"/>
    <w:rsid w:val="0087175D"/>
    <w:rsid w:val="008725A2"/>
    <w:rsid w:val="00873055"/>
    <w:rsid w:val="00873FF4"/>
    <w:rsid w:val="008749FA"/>
    <w:rsid w:val="00875D20"/>
    <w:rsid w:val="00876CDB"/>
    <w:rsid w:val="008775E2"/>
    <w:rsid w:val="0088023B"/>
    <w:rsid w:val="00885EBF"/>
    <w:rsid w:val="00887255"/>
    <w:rsid w:val="008879F1"/>
    <w:rsid w:val="00887A46"/>
    <w:rsid w:val="00887A5E"/>
    <w:rsid w:val="00890586"/>
    <w:rsid w:val="00892916"/>
    <w:rsid w:val="00893271"/>
    <w:rsid w:val="008933E4"/>
    <w:rsid w:val="00896E0B"/>
    <w:rsid w:val="00897CF2"/>
    <w:rsid w:val="00897FED"/>
    <w:rsid w:val="008A00C1"/>
    <w:rsid w:val="008A108A"/>
    <w:rsid w:val="008A1499"/>
    <w:rsid w:val="008A33D1"/>
    <w:rsid w:val="008A3A3C"/>
    <w:rsid w:val="008A509B"/>
    <w:rsid w:val="008A56AC"/>
    <w:rsid w:val="008A58AF"/>
    <w:rsid w:val="008A64D7"/>
    <w:rsid w:val="008B26E5"/>
    <w:rsid w:val="008B340A"/>
    <w:rsid w:val="008B6BF2"/>
    <w:rsid w:val="008C01B6"/>
    <w:rsid w:val="008C1167"/>
    <w:rsid w:val="008C181B"/>
    <w:rsid w:val="008C20A9"/>
    <w:rsid w:val="008C223A"/>
    <w:rsid w:val="008C3C6F"/>
    <w:rsid w:val="008C4E4B"/>
    <w:rsid w:val="008C4EA0"/>
    <w:rsid w:val="008C4FAB"/>
    <w:rsid w:val="008C5EA2"/>
    <w:rsid w:val="008C6456"/>
    <w:rsid w:val="008C64E0"/>
    <w:rsid w:val="008D075D"/>
    <w:rsid w:val="008D13D1"/>
    <w:rsid w:val="008D18F1"/>
    <w:rsid w:val="008D2770"/>
    <w:rsid w:val="008D33D8"/>
    <w:rsid w:val="008D4C34"/>
    <w:rsid w:val="008D57DA"/>
    <w:rsid w:val="008D65F0"/>
    <w:rsid w:val="008E20C3"/>
    <w:rsid w:val="008E24F3"/>
    <w:rsid w:val="008F0BCD"/>
    <w:rsid w:val="008F2059"/>
    <w:rsid w:val="008F4922"/>
    <w:rsid w:val="00900AA0"/>
    <w:rsid w:val="00902173"/>
    <w:rsid w:val="00904051"/>
    <w:rsid w:val="00904B8C"/>
    <w:rsid w:val="00905A5D"/>
    <w:rsid w:val="0090636C"/>
    <w:rsid w:val="00906469"/>
    <w:rsid w:val="0090690C"/>
    <w:rsid w:val="00906E34"/>
    <w:rsid w:val="00912F99"/>
    <w:rsid w:val="00914332"/>
    <w:rsid w:val="00914D00"/>
    <w:rsid w:val="009166F4"/>
    <w:rsid w:val="00920855"/>
    <w:rsid w:val="009217C5"/>
    <w:rsid w:val="009238B8"/>
    <w:rsid w:val="00923A70"/>
    <w:rsid w:val="00924842"/>
    <w:rsid w:val="00925E45"/>
    <w:rsid w:val="009264D1"/>
    <w:rsid w:val="00927A86"/>
    <w:rsid w:val="00927FEC"/>
    <w:rsid w:val="00931DD5"/>
    <w:rsid w:val="00933E74"/>
    <w:rsid w:val="00934A5F"/>
    <w:rsid w:val="00935237"/>
    <w:rsid w:val="00936B93"/>
    <w:rsid w:val="00937868"/>
    <w:rsid w:val="00940A8C"/>
    <w:rsid w:val="00943325"/>
    <w:rsid w:val="00943392"/>
    <w:rsid w:val="00944B2D"/>
    <w:rsid w:val="0094540A"/>
    <w:rsid w:val="0094631F"/>
    <w:rsid w:val="009470AD"/>
    <w:rsid w:val="00947137"/>
    <w:rsid w:val="00951349"/>
    <w:rsid w:val="00951A96"/>
    <w:rsid w:val="00953371"/>
    <w:rsid w:val="00954191"/>
    <w:rsid w:val="00954FB7"/>
    <w:rsid w:val="00955208"/>
    <w:rsid w:val="00956302"/>
    <w:rsid w:val="00956895"/>
    <w:rsid w:val="00956F57"/>
    <w:rsid w:val="00957BD9"/>
    <w:rsid w:val="009659B6"/>
    <w:rsid w:val="0096658D"/>
    <w:rsid w:val="00966B93"/>
    <w:rsid w:val="00966C66"/>
    <w:rsid w:val="00966E6A"/>
    <w:rsid w:val="00967B1A"/>
    <w:rsid w:val="00967F0F"/>
    <w:rsid w:val="009709A8"/>
    <w:rsid w:val="00971F50"/>
    <w:rsid w:val="00975773"/>
    <w:rsid w:val="00975D7C"/>
    <w:rsid w:val="0097675B"/>
    <w:rsid w:val="009802FF"/>
    <w:rsid w:val="00980FB7"/>
    <w:rsid w:val="009819B3"/>
    <w:rsid w:val="00981D57"/>
    <w:rsid w:val="009822B0"/>
    <w:rsid w:val="0098461E"/>
    <w:rsid w:val="00984F08"/>
    <w:rsid w:val="009870E3"/>
    <w:rsid w:val="00990029"/>
    <w:rsid w:val="00992F0B"/>
    <w:rsid w:val="009939E0"/>
    <w:rsid w:val="0099483B"/>
    <w:rsid w:val="00994981"/>
    <w:rsid w:val="00995C45"/>
    <w:rsid w:val="00995DED"/>
    <w:rsid w:val="00996928"/>
    <w:rsid w:val="00997982"/>
    <w:rsid w:val="00997BD0"/>
    <w:rsid w:val="009A0563"/>
    <w:rsid w:val="009A1B71"/>
    <w:rsid w:val="009A1D0F"/>
    <w:rsid w:val="009A1E71"/>
    <w:rsid w:val="009A20FF"/>
    <w:rsid w:val="009A329A"/>
    <w:rsid w:val="009A401A"/>
    <w:rsid w:val="009A4EE3"/>
    <w:rsid w:val="009A5DFB"/>
    <w:rsid w:val="009A7515"/>
    <w:rsid w:val="009B1182"/>
    <w:rsid w:val="009B3D72"/>
    <w:rsid w:val="009B5EC1"/>
    <w:rsid w:val="009B73EB"/>
    <w:rsid w:val="009B7A4D"/>
    <w:rsid w:val="009C1AC5"/>
    <w:rsid w:val="009C1F79"/>
    <w:rsid w:val="009C4307"/>
    <w:rsid w:val="009C6196"/>
    <w:rsid w:val="009C62D4"/>
    <w:rsid w:val="009C72A8"/>
    <w:rsid w:val="009D148F"/>
    <w:rsid w:val="009D1960"/>
    <w:rsid w:val="009D3082"/>
    <w:rsid w:val="009D3B30"/>
    <w:rsid w:val="009D4218"/>
    <w:rsid w:val="009D650F"/>
    <w:rsid w:val="009D74DA"/>
    <w:rsid w:val="009E058A"/>
    <w:rsid w:val="009E0B98"/>
    <w:rsid w:val="009E0D32"/>
    <w:rsid w:val="009E58F5"/>
    <w:rsid w:val="009E6F48"/>
    <w:rsid w:val="009E79DE"/>
    <w:rsid w:val="009F02AF"/>
    <w:rsid w:val="009F0D45"/>
    <w:rsid w:val="009F1E7F"/>
    <w:rsid w:val="009F3C8D"/>
    <w:rsid w:val="009F3F38"/>
    <w:rsid w:val="009F6ABA"/>
    <w:rsid w:val="009F706E"/>
    <w:rsid w:val="00A00E87"/>
    <w:rsid w:val="00A01535"/>
    <w:rsid w:val="00A01806"/>
    <w:rsid w:val="00A04385"/>
    <w:rsid w:val="00A05680"/>
    <w:rsid w:val="00A071B7"/>
    <w:rsid w:val="00A114D6"/>
    <w:rsid w:val="00A11800"/>
    <w:rsid w:val="00A1341C"/>
    <w:rsid w:val="00A13AE2"/>
    <w:rsid w:val="00A141F3"/>
    <w:rsid w:val="00A1422E"/>
    <w:rsid w:val="00A1486D"/>
    <w:rsid w:val="00A14C9D"/>
    <w:rsid w:val="00A15224"/>
    <w:rsid w:val="00A15F87"/>
    <w:rsid w:val="00A20A42"/>
    <w:rsid w:val="00A20F26"/>
    <w:rsid w:val="00A21064"/>
    <w:rsid w:val="00A220F3"/>
    <w:rsid w:val="00A264F7"/>
    <w:rsid w:val="00A275B7"/>
    <w:rsid w:val="00A27AED"/>
    <w:rsid w:val="00A36171"/>
    <w:rsid w:val="00A36A5B"/>
    <w:rsid w:val="00A36F82"/>
    <w:rsid w:val="00A37233"/>
    <w:rsid w:val="00A4087C"/>
    <w:rsid w:val="00A427BC"/>
    <w:rsid w:val="00A47AC2"/>
    <w:rsid w:val="00A51EBE"/>
    <w:rsid w:val="00A56294"/>
    <w:rsid w:val="00A56736"/>
    <w:rsid w:val="00A60892"/>
    <w:rsid w:val="00A63E3A"/>
    <w:rsid w:val="00A66A3D"/>
    <w:rsid w:val="00A66C82"/>
    <w:rsid w:val="00A71513"/>
    <w:rsid w:val="00A73CFD"/>
    <w:rsid w:val="00A74DD0"/>
    <w:rsid w:val="00A75A2A"/>
    <w:rsid w:val="00A7752B"/>
    <w:rsid w:val="00A775A1"/>
    <w:rsid w:val="00A777E1"/>
    <w:rsid w:val="00A82903"/>
    <w:rsid w:val="00A82BA9"/>
    <w:rsid w:val="00A83237"/>
    <w:rsid w:val="00A83609"/>
    <w:rsid w:val="00A83E14"/>
    <w:rsid w:val="00A85FF5"/>
    <w:rsid w:val="00A87680"/>
    <w:rsid w:val="00A91487"/>
    <w:rsid w:val="00A91CDB"/>
    <w:rsid w:val="00A922CE"/>
    <w:rsid w:val="00A92CB1"/>
    <w:rsid w:val="00A94340"/>
    <w:rsid w:val="00A9483A"/>
    <w:rsid w:val="00A94B0F"/>
    <w:rsid w:val="00A9728C"/>
    <w:rsid w:val="00AA0A20"/>
    <w:rsid w:val="00AA3BF2"/>
    <w:rsid w:val="00AA5D71"/>
    <w:rsid w:val="00AB1331"/>
    <w:rsid w:val="00AB1B20"/>
    <w:rsid w:val="00AB470F"/>
    <w:rsid w:val="00AB543E"/>
    <w:rsid w:val="00AB6AA4"/>
    <w:rsid w:val="00AC19E3"/>
    <w:rsid w:val="00AC1A16"/>
    <w:rsid w:val="00AC3179"/>
    <w:rsid w:val="00AC390B"/>
    <w:rsid w:val="00AC70F6"/>
    <w:rsid w:val="00AC750D"/>
    <w:rsid w:val="00AD1381"/>
    <w:rsid w:val="00AD2CDA"/>
    <w:rsid w:val="00AD32E4"/>
    <w:rsid w:val="00AD4E8A"/>
    <w:rsid w:val="00AD5F1A"/>
    <w:rsid w:val="00AD62F8"/>
    <w:rsid w:val="00AD6414"/>
    <w:rsid w:val="00AD7660"/>
    <w:rsid w:val="00AE10E1"/>
    <w:rsid w:val="00AE111F"/>
    <w:rsid w:val="00AE1520"/>
    <w:rsid w:val="00AE2783"/>
    <w:rsid w:val="00AE281A"/>
    <w:rsid w:val="00AE37D7"/>
    <w:rsid w:val="00AE403E"/>
    <w:rsid w:val="00AE63AB"/>
    <w:rsid w:val="00AF0DE3"/>
    <w:rsid w:val="00AF577F"/>
    <w:rsid w:val="00AF5944"/>
    <w:rsid w:val="00AF633E"/>
    <w:rsid w:val="00AF6BE6"/>
    <w:rsid w:val="00AF6E36"/>
    <w:rsid w:val="00B02DC2"/>
    <w:rsid w:val="00B03190"/>
    <w:rsid w:val="00B044FB"/>
    <w:rsid w:val="00B0489D"/>
    <w:rsid w:val="00B049AA"/>
    <w:rsid w:val="00B07C78"/>
    <w:rsid w:val="00B119A8"/>
    <w:rsid w:val="00B1286B"/>
    <w:rsid w:val="00B14E59"/>
    <w:rsid w:val="00B14F51"/>
    <w:rsid w:val="00B16A40"/>
    <w:rsid w:val="00B17022"/>
    <w:rsid w:val="00B2212C"/>
    <w:rsid w:val="00B22AEB"/>
    <w:rsid w:val="00B22E3A"/>
    <w:rsid w:val="00B237AD"/>
    <w:rsid w:val="00B23ED7"/>
    <w:rsid w:val="00B241DA"/>
    <w:rsid w:val="00B243A9"/>
    <w:rsid w:val="00B249D2"/>
    <w:rsid w:val="00B24AA6"/>
    <w:rsid w:val="00B262F4"/>
    <w:rsid w:val="00B2739B"/>
    <w:rsid w:val="00B27DA1"/>
    <w:rsid w:val="00B30239"/>
    <w:rsid w:val="00B30689"/>
    <w:rsid w:val="00B3266C"/>
    <w:rsid w:val="00B32850"/>
    <w:rsid w:val="00B35164"/>
    <w:rsid w:val="00B353E7"/>
    <w:rsid w:val="00B4111B"/>
    <w:rsid w:val="00B43045"/>
    <w:rsid w:val="00B47C26"/>
    <w:rsid w:val="00B509FE"/>
    <w:rsid w:val="00B54E00"/>
    <w:rsid w:val="00B557B8"/>
    <w:rsid w:val="00B571C3"/>
    <w:rsid w:val="00B5747A"/>
    <w:rsid w:val="00B6416D"/>
    <w:rsid w:val="00B667F9"/>
    <w:rsid w:val="00B66AD0"/>
    <w:rsid w:val="00B705F1"/>
    <w:rsid w:val="00B73E41"/>
    <w:rsid w:val="00B75F0F"/>
    <w:rsid w:val="00B7603D"/>
    <w:rsid w:val="00B762F4"/>
    <w:rsid w:val="00B77E97"/>
    <w:rsid w:val="00B80FCC"/>
    <w:rsid w:val="00B822A7"/>
    <w:rsid w:val="00B8231C"/>
    <w:rsid w:val="00B82CC3"/>
    <w:rsid w:val="00B83386"/>
    <w:rsid w:val="00B837BC"/>
    <w:rsid w:val="00B84C11"/>
    <w:rsid w:val="00B854C9"/>
    <w:rsid w:val="00B874DA"/>
    <w:rsid w:val="00B91808"/>
    <w:rsid w:val="00B9211F"/>
    <w:rsid w:val="00B932CD"/>
    <w:rsid w:val="00B94323"/>
    <w:rsid w:val="00B95082"/>
    <w:rsid w:val="00B955B4"/>
    <w:rsid w:val="00BA2692"/>
    <w:rsid w:val="00BA2E9F"/>
    <w:rsid w:val="00BA3410"/>
    <w:rsid w:val="00BA4143"/>
    <w:rsid w:val="00BA510E"/>
    <w:rsid w:val="00BA6154"/>
    <w:rsid w:val="00BA6222"/>
    <w:rsid w:val="00BA7D42"/>
    <w:rsid w:val="00BB6A59"/>
    <w:rsid w:val="00BB6D2E"/>
    <w:rsid w:val="00BB7428"/>
    <w:rsid w:val="00BC0608"/>
    <w:rsid w:val="00BC3AF3"/>
    <w:rsid w:val="00BC3C4D"/>
    <w:rsid w:val="00BC4366"/>
    <w:rsid w:val="00BC47C5"/>
    <w:rsid w:val="00BC4A2A"/>
    <w:rsid w:val="00BD19A5"/>
    <w:rsid w:val="00BD1D20"/>
    <w:rsid w:val="00BD29C1"/>
    <w:rsid w:val="00BD2E00"/>
    <w:rsid w:val="00BD41DC"/>
    <w:rsid w:val="00BD54DC"/>
    <w:rsid w:val="00BD759E"/>
    <w:rsid w:val="00BE0B4E"/>
    <w:rsid w:val="00BE2097"/>
    <w:rsid w:val="00BE2316"/>
    <w:rsid w:val="00BE4236"/>
    <w:rsid w:val="00BE6B65"/>
    <w:rsid w:val="00BF363E"/>
    <w:rsid w:val="00BF52AE"/>
    <w:rsid w:val="00BF5AC5"/>
    <w:rsid w:val="00BF6249"/>
    <w:rsid w:val="00BF7AD9"/>
    <w:rsid w:val="00C0161A"/>
    <w:rsid w:val="00C02362"/>
    <w:rsid w:val="00C02818"/>
    <w:rsid w:val="00C1004A"/>
    <w:rsid w:val="00C10659"/>
    <w:rsid w:val="00C120EC"/>
    <w:rsid w:val="00C149D9"/>
    <w:rsid w:val="00C149EA"/>
    <w:rsid w:val="00C201A7"/>
    <w:rsid w:val="00C2443C"/>
    <w:rsid w:val="00C25258"/>
    <w:rsid w:val="00C2635B"/>
    <w:rsid w:val="00C26DCE"/>
    <w:rsid w:val="00C30977"/>
    <w:rsid w:val="00C32C4F"/>
    <w:rsid w:val="00C335EC"/>
    <w:rsid w:val="00C340EF"/>
    <w:rsid w:val="00C3480E"/>
    <w:rsid w:val="00C34D1E"/>
    <w:rsid w:val="00C34E60"/>
    <w:rsid w:val="00C354EF"/>
    <w:rsid w:val="00C378B2"/>
    <w:rsid w:val="00C41B10"/>
    <w:rsid w:val="00C47EF8"/>
    <w:rsid w:val="00C50F75"/>
    <w:rsid w:val="00C52084"/>
    <w:rsid w:val="00C53CC6"/>
    <w:rsid w:val="00C54433"/>
    <w:rsid w:val="00C54F9A"/>
    <w:rsid w:val="00C554A4"/>
    <w:rsid w:val="00C57BBA"/>
    <w:rsid w:val="00C617E5"/>
    <w:rsid w:val="00C678F7"/>
    <w:rsid w:val="00C679DB"/>
    <w:rsid w:val="00C7024A"/>
    <w:rsid w:val="00C7085B"/>
    <w:rsid w:val="00C74B28"/>
    <w:rsid w:val="00C80094"/>
    <w:rsid w:val="00C843D8"/>
    <w:rsid w:val="00C84731"/>
    <w:rsid w:val="00C86444"/>
    <w:rsid w:val="00C86869"/>
    <w:rsid w:val="00C871C7"/>
    <w:rsid w:val="00C91741"/>
    <w:rsid w:val="00C91DE8"/>
    <w:rsid w:val="00C91E84"/>
    <w:rsid w:val="00C92FE3"/>
    <w:rsid w:val="00CA1B4E"/>
    <w:rsid w:val="00CA2032"/>
    <w:rsid w:val="00CA26A2"/>
    <w:rsid w:val="00CA28BD"/>
    <w:rsid w:val="00CA2985"/>
    <w:rsid w:val="00CA3932"/>
    <w:rsid w:val="00CA4623"/>
    <w:rsid w:val="00CA470F"/>
    <w:rsid w:val="00CA4F06"/>
    <w:rsid w:val="00CA6BBE"/>
    <w:rsid w:val="00CB2367"/>
    <w:rsid w:val="00CB2402"/>
    <w:rsid w:val="00CB2985"/>
    <w:rsid w:val="00CB3E0C"/>
    <w:rsid w:val="00CB4231"/>
    <w:rsid w:val="00CB4763"/>
    <w:rsid w:val="00CB54D2"/>
    <w:rsid w:val="00CB5B6F"/>
    <w:rsid w:val="00CB6E35"/>
    <w:rsid w:val="00CC08A6"/>
    <w:rsid w:val="00CC1CB7"/>
    <w:rsid w:val="00CC3052"/>
    <w:rsid w:val="00CC334D"/>
    <w:rsid w:val="00CC47AA"/>
    <w:rsid w:val="00CC50D4"/>
    <w:rsid w:val="00CC57CF"/>
    <w:rsid w:val="00CC6FE1"/>
    <w:rsid w:val="00CD00D8"/>
    <w:rsid w:val="00CD01FC"/>
    <w:rsid w:val="00CD04D7"/>
    <w:rsid w:val="00CD48CD"/>
    <w:rsid w:val="00CD572C"/>
    <w:rsid w:val="00CD7394"/>
    <w:rsid w:val="00CD7550"/>
    <w:rsid w:val="00CE0DDB"/>
    <w:rsid w:val="00CE1A61"/>
    <w:rsid w:val="00CE1B67"/>
    <w:rsid w:val="00CE2C75"/>
    <w:rsid w:val="00CE3E44"/>
    <w:rsid w:val="00CE4CA8"/>
    <w:rsid w:val="00CE5BEF"/>
    <w:rsid w:val="00CE67FF"/>
    <w:rsid w:val="00CE6A55"/>
    <w:rsid w:val="00CE77E5"/>
    <w:rsid w:val="00CF119D"/>
    <w:rsid w:val="00CF4252"/>
    <w:rsid w:val="00CF442E"/>
    <w:rsid w:val="00CF4A9A"/>
    <w:rsid w:val="00D00499"/>
    <w:rsid w:val="00D01024"/>
    <w:rsid w:val="00D01A81"/>
    <w:rsid w:val="00D020A3"/>
    <w:rsid w:val="00D021FA"/>
    <w:rsid w:val="00D02EEC"/>
    <w:rsid w:val="00D03D43"/>
    <w:rsid w:val="00D03DF9"/>
    <w:rsid w:val="00D047FB"/>
    <w:rsid w:val="00D04951"/>
    <w:rsid w:val="00D129A7"/>
    <w:rsid w:val="00D136D2"/>
    <w:rsid w:val="00D13C4B"/>
    <w:rsid w:val="00D15C7C"/>
    <w:rsid w:val="00D167E8"/>
    <w:rsid w:val="00D17016"/>
    <w:rsid w:val="00D17A46"/>
    <w:rsid w:val="00D20875"/>
    <w:rsid w:val="00D213AD"/>
    <w:rsid w:val="00D2149F"/>
    <w:rsid w:val="00D21617"/>
    <w:rsid w:val="00D225B2"/>
    <w:rsid w:val="00D2294D"/>
    <w:rsid w:val="00D231AC"/>
    <w:rsid w:val="00D2337F"/>
    <w:rsid w:val="00D24310"/>
    <w:rsid w:val="00D255F1"/>
    <w:rsid w:val="00D25754"/>
    <w:rsid w:val="00D30411"/>
    <w:rsid w:val="00D30839"/>
    <w:rsid w:val="00D32713"/>
    <w:rsid w:val="00D33225"/>
    <w:rsid w:val="00D33B88"/>
    <w:rsid w:val="00D35983"/>
    <w:rsid w:val="00D35A20"/>
    <w:rsid w:val="00D366BE"/>
    <w:rsid w:val="00D373A1"/>
    <w:rsid w:val="00D37B55"/>
    <w:rsid w:val="00D41F18"/>
    <w:rsid w:val="00D4405B"/>
    <w:rsid w:val="00D46A1F"/>
    <w:rsid w:val="00D4733C"/>
    <w:rsid w:val="00D50AFD"/>
    <w:rsid w:val="00D50D2C"/>
    <w:rsid w:val="00D52FA3"/>
    <w:rsid w:val="00D5377F"/>
    <w:rsid w:val="00D53AA4"/>
    <w:rsid w:val="00D53E85"/>
    <w:rsid w:val="00D5540E"/>
    <w:rsid w:val="00D56356"/>
    <w:rsid w:val="00D56D7C"/>
    <w:rsid w:val="00D60CA2"/>
    <w:rsid w:val="00D60D0E"/>
    <w:rsid w:val="00D60D1D"/>
    <w:rsid w:val="00D62749"/>
    <w:rsid w:val="00D649ED"/>
    <w:rsid w:val="00D709AB"/>
    <w:rsid w:val="00D72171"/>
    <w:rsid w:val="00D74A14"/>
    <w:rsid w:val="00D75267"/>
    <w:rsid w:val="00D757E0"/>
    <w:rsid w:val="00D76FCB"/>
    <w:rsid w:val="00D77BB8"/>
    <w:rsid w:val="00D809A6"/>
    <w:rsid w:val="00D80DB3"/>
    <w:rsid w:val="00D810C9"/>
    <w:rsid w:val="00D8295E"/>
    <w:rsid w:val="00D86B40"/>
    <w:rsid w:val="00D86DF8"/>
    <w:rsid w:val="00D87AC4"/>
    <w:rsid w:val="00D912DA"/>
    <w:rsid w:val="00D957E0"/>
    <w:rsid w:val="00DA0699"/>
    <w:rsid w:val="00DA1FE3"/>
    <w:rsid w:val="00DA2057"/>
    <w:rsid w:val="00DA3311"/>
    <w:rsid w:val="00DA5A83"/>
    <w:rsid w:val="00DA6314"/>
    <w:rsid w:val="00DA6648"/>
    <w:rsid w:val="00DA6D92"/>
    <w:rsid w:val="00DB0FD5"/>
    <w:rsid w:val="00DB3C9D"/>
    <w:rsid w:val="00DB5E63"/>
    <w:rsid w:val="00DB67BE"/>
    <w:rsid w:val="00DC1204"/>
    <w:rsid w:val="00DC15E2"/>
    <w:rsid w:val="00DC17B0"/>
    <w:rsid w:val="00DC1A19"/>
    <w:rsid w:val="00DC39C9"/>
    <w:rsid w:val="00DC5C4A"/>
    <w:rsid w:val="00DC62B9"/>
    <w:rsid w:val="00DD0F63"/>
    <w:rsid w:val="00DD27C5"/>
    <w:rsid w:val="00DD4DB0"/>
    <w:rsid w:val="00DD578B"/>
    <w:rsid w:val="00DD5E58"/>
    <w:rsid w:val="00DD7C09"/>
    <w:rsid w:val="00DD7D00"/>
    <w:rsid w:val="00DE252E"/>
    <w:rsid w:val="00DE6EA1"/>
    <w:rsid w:val="00DE7B38"/>
    <w:rsid w:val="00DF0358"/>
    <w:rsid w:val="00DF26C2"/>
    <w:rsid w:val="00DF763C"/>
    <w:rsid w:val="00E00BB6"/>
    <w:rsid w:val="00E01115"/>
    <w:rsid w:val="00E01FC2"/>
    <w:rsid w:val="00E028D2"/>
    <w:rsid w:val="00E03672"/>
    <w:rsid w:val="00E03EB8"/>
    <w:rsid w:val="00E05766"/>
    <w:rsid w:val="00E07D49"/>
    <w:rsid w:val="00E100C6"/>
    <w:rsid w:val="00E1170D"/>
    <w:rsid w:val="00E14DDA"/>
    <w:rsid w:val="00E1502C"/>
    <w:rsid w:val="00E15467"/>
    <w:rsid w:val="00E15C2E"/>
    <w:rsid w:val="00E1755B"/>
    <w:rsid w:val="00E17C91"/>
    <w:rsid w:val="00E204F9"/>
    <w:rsid w:val="00E23B8A"/>
    <w:rsid w:val="00E24490"/>
    <w:rsid w:val="00E2604B"/>
    <w:rsid w:val="00E300C7"/>
    <w:rsid w:val="00E30B1E"/>
    <w:rsid w:val="00E30EDE"/>
    <w:rsid w:val="00E310D1"/>
    <w:rsid w:val="00E32222"/>
    <w:rsid w:val="00E323AC"/>
    <w:rsid w:val="00E32F59"/>
    <w:rsid w:val="00E34392"/>
    <w:rsid w:val="00E347C7"/>
    <w:rsid w:val="00E34D85"/>
    <w:rsid w:val="00E37115"/>
    <w:rsid w:val="00E372D7"/>
    <w:rsid w:val="00E37F92"/>
    <w:rsid w:val="00E408D2"/>
    <w:rsid w:val="00E436A5"/>
    <w:rsid w:val="00E47548"/>
    <w:rsid w:val="00E54F0A"/>
    <w:rsid w:val="00E553FF"/>
    <w:rsid w:val="00E56070"/>
    <w:rsid w:val="00E57F13"/>
    <w:rsid w:val="00E60707"/>
    <w:rsid w:val="00E61112"/>
    <w:rsid w:val="00E6173D"/>
    <w:rsid w:val="00E636CC"/>
    <w:rsid w:val="00E6668F"/>
    <w:rsid w:val="00E66E9D"/>
    <w:rsid w:val="00E7090E"/>
    <w:rsid w:val="00E73AE1"/>
    <w:rsid w:val="00E74DAD"/>
    <w:rsid w:val="00E75125"/>
    <w:rsid w:val="00E82792"/>
    <w:rsid w:val="00E82A4B"/>
    <w:rsid w:val="00E83998"/>
    <w:rsid w:val="00E877B8"/>
    <w:rsid w:val="00E879E1"/>
    <w:rsid w:val="00E87CB1"/>
    <w:rsid w:val="00E9210E"/>
    <w:rsid w:val="00E931D2"/>
    <w:rsid w:val="00E9329D"/>
    <w:rsid w:val="00E93B4E"/>
    <w:rsid w:val="00E94088"/>
    <w:rsid w:val="00E95C2A"/>
    <w:rsid w:val="00E978D2"/>
    <w:rsid w:val="00EA0B07"/>
    <w:rsid w:val="00EA276C"/>
    <w:rsid w:val="00EA30D0"/>
    <w:rsid w:val="00EA4829"/>
    <w:rsid w:val="00EA5516"/>
    <w:rsid w:val="00EA57DF"/>
    <w:rsid w:val="00EA5D59"/>
    <w:rsid w:val="00EA6189"/>
    <w:rsid w:val="00EB0647"/>
    <w:rsid w:val="00EB0714"/>
    <w:rsid w:val="00EB0AB3"/>
    <w:rsid w:val="00EB1287"/>
    <w:rsid w:val="00EB18A2"/>
    <w:rsid w:val="00EB1DDD"/>
    <w:rsid w:val="00EB25EB"/>
    <w:rsid w:val="00EB2F67"/>
    <w:rsid w:val="00EB6129"/>
    <w:rsid w:val="00EB6B46"/>
    <w:rsid w:val="00EB6B79"/>
    <w:rsid w:val="00EB73A0"/>
    <w:rsid w:val="00EC25B3"/>
    <w:rsid w:val="00EC2D0F"/>
    <w:rsid w:val="00EC39E5"/>
    <w:rsid w:val="00EC57F2"/>
    <w:rsid w:val="00ED111B"/>
    <w:rsid w:val="00ED2E13"/>
    <w:rsid w:val="00ED355A"/>
    <w:rsid w:val="00ED6BF5"/>
    <w:rsid w:val="00EE0F76"/>
    <w:rsid w:val="00EE1F6D"/>
    <w:rsid w:val="00EE2C78"/>
    <w:rsid w:val="00EE421C"/>
    <w:rsid w:val="00EE5E86"/>
    <w:rsid w:val="00EE647E"/>
    <w:rsid w:val="00EF3488"/>
    <w:rsid w:val="00EF468F"/>
    <w:rsid w:val="00EF5953"/>
    <w:rsid w:val="00EF6285"/>
    <w:rsid w:val="00EF65D7"/>
    <w:rsid w:val="00F00129"/>
    <w:rsid w:val="00F00BC6"/>
    <w:rsid w:val="00F00CF0"/>
    <w:rsid w:val="00F01582"/>
    <w:rsid w:val="00F01746"/>
    <w:rsid w:val="00F0188F"/>
    <w:rsid w:val="00F03512"/>
    <w:rsid w:val="00F03BB9"/>
    <w:rsid w:val="00F042A4"/>
    <w:rsid w:val="00F06C0A"/>
    <w:rsid w:val="00F07CFA"/>
    <w:rsid w:val="00F1190D"/>
    <w:rsid w:val="00F13719"/>
    <w:rsid w:val="00F1478E"/>
    <w:rsid w:val="00F20EF6"/>
    <w:rsid w:val="00F21860"/>
    <w:rsid w:val="00F2243F"/>
    <w:rsid w:val="00F23528"/>
    <w:rsid w:val="00F23A76"/>
    <w:rsid w:val="00F23B78"/>
    <w:rsid w:val="00F244F2"/>
    <w:rsid w:val="00F2691A"/>
    <w:rsid w:val="00F26B92"/>
    <w:rsid w:val="00F27915"/>
    <w:rsid w:val="00F30C97"/>
    <w:rsid w:val="00F31A70"/>
    <w:rsid w:val="00F32AD6"/>
    <w:rsid w:val="00F356A7"/>
    <w:rsid w:val="00F35896"/>
    <w:rsid w:val="00F35BF2"/>
    <w:rsid w:val="00F40549"/>
    <w:rsid w:val="00F40912"/>
    <w:rsid w:val="00F41C08"/>
    <w:rsid w:val="00F45B81"/>
    <w:rsid w:val="00F45CC8"/>
    <w:rsid w:val="00F4756F"/>
    <w:rsid w:val="00F503C9"/>
    <w:rsid w:val="00F50A35"/>
    <w:rsid w:val="00F53D75"/>
    <w:rsid w:val="00F5408F"/>
    <w:rsid w:val="00F540E9"/>
    <w:rsid w:val="00F54F94"/>
    <w:rsid w:val="00F555B7"/>
    <w:rsid w:val="00F559A3"/>
    <w:rsid w:val="00F5606A"/>
    <w:rsid w:val="00F5637E"/>
    <w:rsid w:val="00F60A9D"/>
    <w:rsid w:val="00F60F8F"/>
    <w:rsid w:val="00F61518"/>
    <w:rsid w:val="00F627BA"/>
    <w:rsid w:val="00F66B0E"/>
    <w:rsid w:val="00F66F83"/>
    <w:rsid w:val="00F67D83"/>
    <w:rsid w:val="00F719BC"/>
    <w:rsid w:val="00F73453"/>
    <w:rsid w:val="00F73FC1"/>
    <w:rsid w:val="00F76A6A"/>
    <w:rsid w:val="00F771A4"/>
    <w:rsid w:val="00F80ACB"/>
    <w:rsid w:val="00F8326D"/>
    <w:rsid w:val="00F85E31"/>
    <w:rsid w:val="00F86906"/>
    <w:rsid w:val="00F86AB7"/>
    <w:rsid w:val="00F86B1A"/>
    <w:rsid w:val="00F87ECC"/>
    <w:rsid w:val="00F9212E"/>
    <w:rsid w:val="00F9262B"/>
    <w:rsid w:val="00F935AA"/>
    <w:rsid w:val="00F950D2"/>
    <w:rsid w:val="00F955D7"/>
    <w:rsid w:val="00F963DD"/>
    <w:rsid w:val="00F97071"/>
    <w:rsid w:val="00FA134C"/>
    <w:rsid w:val="00FA24A6"/>
    <w:rsid w:val="00FA28C0"/>
    <w:rsid w:val="00FA2D01"/>
    <w:rsid w:val="00FA2EC1"/>
    <w:rsid w:val="00FA303D"/>
    <w:rsid w:val="00FA402D"/>
    <w:rsid w:val="00FA4DFF"/>
    <w:rsid w:val="00FA6AA3"/>
    <w:rsid w:val="00FB04E0"/>
    <w:rsid w:val="00FB2394"/>
    <w:rsid w:val="00FB34CB"/>
    <w:rsid w:val="00FB3784"/>
    <w:rsid w:val="00FB3863"/>
    <w:rsid w:val="00FB4016"/>
    <w:rsid w:val="00FB453D"/>
    <w:rsid w:val="00FB4B1C"/>
    <w:rsid w:val="00FB5910"/>
    <w:rsid w:val="00FC2B3E"/>
    <w:rsid w:val="00FC2EE6"/>
    <w:rsid w:val="00FC3962"/>
    <w:rsid w:val="00FC4372"/>
    <w:rsid w:val="00FC48BD"/>
    <w:rsid w:val="00FC6918"/>
    <w:rsid w:val="00FC6BB6"/>
    <w:rsid w:val="00FD09AD"/>
    <w:rsid w:val="00FD0DC2"/>
    <w:rsid w:val="00FD1BC1"/>
    <w:rsid w:val="00FD3340"/>
    <w:rsid w:val="00FD3B8D"/>
    <w:rsid w:val="00FD4775"/>
    <w:rsid w:val="00FD5FF1"/>
    <w:rsid w:val="00FD6E37"/>
    <w:rsid w:val="00FE07DF"/>
    <w:rsid w:val="00FE1384"/>
    <w:rsid w:val="00FE1581"/>
    <w:rsid w:val="00FE254E"/>
    <w:rsid w:val="00FE2609"/>
    <w:rsid w:val="00FE2BFB"/>
    <w:rsid w:val="00FE337A"/>
    <w:rsid w:val="00FE4049"/>
    <w:rsid w:val="00FE65B1"/>
    <w:rsid w:val="00FE74C1"/>
    <w:rsid w:val="00FE7ABC"/>
    <w:rsid w:val="00FF000C"/>
    <w:rsid w:val="00FF007E"/>
    <w:rsid w:val="00FF0EA5"/>
    <w:rsid w:val="00FF1546"/>
    <w:rsid w:val="00FF2718"/>
    <w:rsid w:val="00FF315C"/>
    <w:rsid w:val="00FF361C"/>
    <w:rsid w:val="00FF3847"/>
    <w:rsid w:val="00FF4067"/>
    <w:rsid w:val="00FF6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895A7"/>
  <w15:chartTrackingRefBased/>
  <w15:docId w15:val="{171E381C-A5D1-42A4-BEE8-CC4B3FD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07"/>
    <w:pPr>
      <w:spacing w:after="0" w:line="276" w:lineRule="auto"/>
    </w:pPr>
    <w:rPr>
      <w:lang w:val="en-IE"/>
    </w:rPr>
  </w:style>
  <w:style w:type="paragraph" w:styleId="Heading1">
    <w:name w:val="heading 1"/>
    <w:basedOn w:val="Normal"/>
    <w:next w:val="Normal"/>
    <w:link w:val="Heading1Char"/>
    <w:autoRedefine/>
    <w:uiPriority w:val="9"/>
    <w:qFormat/>
    <w:rsid w:val="00E03672"/>
    <w:pPr>
      <w:keepNext/>
      <w:keepLines/>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0C00D1"/>
    <w:pPr>
      <w:keepNext/>
      <w:keepLines/>
      <w:numPr>
        <w:numId w:val="1"/>
      </w:numPr>
      <w:spacing w:before="240" w:after="120"/>
      <w:ind w:left="340" w:hanging="3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autoRedefine/>
    <w:uiPriority w:val="9"/>
    <w:unhideWhenUsed/>
    <w:qFormat/>
    <w:rsid w:val="00B02DC2"/>
    <w:pPr>
      <w:keepNext/>
      <w:keepLines/>
      <w:spacing w:before="240" w:after="12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72"/>
    <w:rPr>
      <w:rFonts w:asciiTheme="majorHAnsi" w:eastAsiaTheme="majorEastAsia" w:hAnsiTheme="majorHAnsi" w:cstheme="majorBidi"/>
      <w:b/>
      <w:sz w:val="28"/>
      <w:szCs w:val="32"/>
      <w:lang w:val="en-IE"/>
    </w:rPr>
  </w:style>
  <w:style w:type="character" w:customStyle="1" w:styleId="Heading2Char">
    <w:name w:val="Heading 2 Char"/>
    <w:basedOn w:val="DefaultParagraphFont"/>
    <w:link w:val="Heading2"/>
    <w:uiPriority w:val="9"/>
    <w:rsid w:val="000C00D1"/>
    <w:rPr>
      <w:rFonts w:asciiTheme="majorHAnsi" w:eastAsiaTheme="majorEastAsia" w:hAnsiTheme="majorHAnsi" w:cstheme="majorBidi"/>
      <w:b/>
      <w:sz w:val="24"/>
      <w:szCs w:val="26"/>
      <w:lang w:val="en-IE"/>
    </w:rPr>
  </w:style>
  <w:style w:type="paragraph" w:styleId="ListParagraph">
    <w:name w:val="List Paragraph"/>
    <w:basedOn w:val="Normal"/>
    <w:uiPriority w:val="34"/>
    <w:qFormat/>
    <w:rsid w:val="004D4869"/>
    <w:pPr>
      <w:numPr>
        <w:numId w:val="4"/>
      </w:numPr>
      <w:spacing w:line="240" w:lineRule="auto"/>
      <w:contextualSpacing/>
    </w:pPr>
    <w:rPr>
      <w:rFonts w:eastAsiaTheme="minorEastAsia"/>
      <w:sz w:val="19"/>
      <w:szCs w:val="19"/>
      <w:lang w:val="nl-NL"/>
    </w:rPr>
  </w:style>
  <w:style w:type="table" w:styleId="TableGrid">
    <w:name w:val="Table Grid"/>
    <w:basedOn w:val="TableNormal"/>
    <w:uiPriority w:val="39"/>
    <w:rsid w:val="00182AE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2AE7"/>
    <w:pPr>
      <w:spacing w:after="200" w:line="240" w:lineRule="auto"/>
    </w:pPr>
    <w:rPr>
      <w:b/>
      <w:iCs/>
      <w:sz w:val="20"/>
      <w:szCs w:val="18"/>
      <w:lang w:val="nl-NL"/>
    </w:rPr>
  </w:style>
  <w:style w:type="character" w:customStyle="1" w:styleId="Heading3Char">
    <w:name w:val="Heading 3 Char"/>
    <w:basedOn w:val="DefaultParagraphFont"/>
    <w:link w:val="Heading3"/>
    <w:uiPriority w:val="9"/>
    <w:rsid w:val="00B02DC2"/>
    <w:rPr>
      <w:rFonts w:asciiTheme="majorHAnsi" w:eastAsiaTheme="majorEastAsia" w:hAnsiTheme="majorHAnsi" w:cstheme="majorBidi"/>
      <w:i/>
      <w:szCs w:val="24"/>
      <w:lang w:val="en-IE"/>
    </w:rPr>
  </w:style>
  <w:style w:type="paragraph" w:customStyle="1" w:styleId="Default">
    <w:name w:val="Default"/>
    <w:rsid w:val="0056379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73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EB"/>
    <w:rPr>
      <w:rFonts w:ascii="Segoe UI" w:hAnsi="Segoe UI" w:cs="Segoe UI"/>
      <w:sz w:val="18"/>
      <w:szCs w:val="18"/>
      <w:lang w:val="en-IE"/>
    </w:rPr>
  </w:style>
  <w:style w:type="character" w:styleId="Hyperlink">
    <w:name w:val="Hyperlink"/>
    <w:basedOn w:val="DefaultParagraphFont"/>
    <w:uiPriority w:val="99"/>
    <w:semiHidden/>
    <w:unhideWhenUsed/>
    <w:rsid w:val="009A20FF"/>
    <w:rPr>
      <w:color w:val="0000FF"/>
      <w:u w:val="single"/>
    </w:rPr>
  </w:style>
  <w:style w:type="paragraph" w:styleId="Header">
    <w:name w:val="header"/>
    <w:basedOn w:val="Normal"/>
    <w:link w:val="HeaderChar"/>
    <w:uiPriority w:val="99"/>
    <w:unhideWhenUsed/>
    <w:rsid w:val="00914D00"/>
    <w:pPr>
      <w:tabs>
        <w:tab w:val="center" w:pos="4536"/>
        <w:tab w:val="right" w:pos="9072"/>
      </w:tabs>
      <w:spacing w:line="240" w:lineRule="auto"/>
    </w:pPr>
  </w:style>
  <w:style w:type="character" w:customStyle="1" w:styleId="HeaderChar">
    <w:name w:val="Header Char"/>
    <w:basedOn w:val="DefaultParagraphFont"/>
    <w:link w:val="Header"/>
    <w:uiPriority w:val="99"/>
    <w:rsid w:val="00914D00"/>
    <w:rPr>
      <w:lang w:val="en-IE"/>
    </w:rPr>
  </w:style>
  <w:style w:type="paragraph" w:styleId="Footer">
    <w:name w:val="footer"/>
    <w:basedOn w:val="Normal"/>
    <w:link w:val="FooterChar"/>
    <w:uiPriority w:val="99"/>
    <w:unhideWhenUsed/>
    <w:rsid w:val="00914D00"/>
    <w:pPr>
      <w:tabs>
        <w:tab w:val="center" w:pos="4536"/>
        <w:tab w:val="right" w:pos="9072"/>
      </w:tabs>
      <w:spacing w:line="240" w:lineRule="auto"/>
    </w:pPr>
  </w:style>
  <w:style w:type="character" w:customStyle="1" w:styleId="FooterChar">
    <w:name w:val="Footer Char"/>
    <w:basedOn w:val="DefaultParagraphFont"/>
    <w:link w:val="Footer"/>
    <w:uiPriority w:val="99"/>
    <w:rsid w:val="00914D00"/>
    <w:rPr>
      <w:lang w:val="en-IE"/>
    </w:rPr>
  </w:style>
  <w:style w:type="character" w:styleId="CommentReference">
    <w:name w:val="annotation reference"/>
    <w:basedOn w:val="DefaultParagraphFont"/>
    <w:uiPriority w:val="99"/>
    <w:semiHidden/>
    <w:unhideWhenUsed/>
    <w:rsid w:val="00492F5F"/>
    <w:rPr>
      <w:sz w:val="16"/>
      <w:szCs w:val="16"/>
    </w:rPr>
  </w:style>
  <w:style w:type="paragraph" w:styleId="CommentText">
    <w:name w:val="annotation text"/>
    <w:basedOn w:val="Normal"/>
    <w:link w:val="CommentTextChar"/>
    <w:uiPriority w:val="99"/>
    <w:unhideWhenUsed/>
    <w:rsid w:val="00492F5F"/>
    <w:pPr>
      <w:spacing w:line="240" w:lineRule="auto"/>
    </w:pPr>
    <w:rPr>
      <w:sz w:val="20"/>
      <w:szCs w:val="20"/>
    </w:rPr>
  </w:style>
  <w:style w:type="character" w:customStyle="1" w:styleId="CommentTextChar">
    <w:name w:val="Comment Text Char"/>
    <w:basedOn w:val="DefaultParagraphFont"/>
    <w:link w:val="CommentText"/>
    <w:uiPriority w:val="99"/>
    <w:rsid w:val="00492F5F"/>
    <w:rPr>
      <w:sz w:val="20"/>
      <w:szCs w:val="20"/>
      <w:lang w:val="en-IE"/>
    </w:rPr>
  </w:style>
  <w:style w:type="paragraph" w:styleId="CommentSubject">
    <w:name w:val="annotation subject"/>
    <w:basedOn w:val="CommentText"/>
    <w:next w:val="CommentText"/>
    <w:link w:val="CommentSubjectChar"/>
    <w:uiPriority w:val="99"/>
    <w:semiHidden/>
    <w:unhideWhenUsed/>
    <w:rsid w:val="00492F5F"/>
    <w:rPr>
      <w:b/>
      <w:bCs/>
    </w:rPr>
  </w:style>
  <w:style w:type="character" w:customStyle="1" w:styleId="CommentSubjectChar">
    <w:name w:val="Comment Subject Char"/>
    <w:basedOn w:val="CommentTextChar"/>
    <w:link w:val="CommentSubject"/>
    <w:uiPriority w:val="99"/>
    <w:semiHidden/>
    <w:rsid w:val="00492F5F"/>
    <w:rPr>
      <w:b/>
      <w:bCs/>
      <w:sz w:val="20"/>
      <w:szCs w:val="20"/>
      <w:lang w:val="en-IE"/>
    </w:rPr>
  </w:style>
  <w:style w:type="paragraph" w:styleId="NormalWeb">
    <w:name w:val="Normal (Web)"/>
    <w:basedOn w:val="Normal"/>
    <w:uiPriority w:val="99"/>
    <w:semiHidden/>
    <w:unhideWhenUsed/>
    <w:rsid w:val="00437B4B"/>
    <w:pPr>
      <w:spacing w:before="100" w:beforeAutospacing="1" w:after="100" w:afterAutospacing="1" w:line="240" w:lineRule="auto"/>
    </w:pPr>
    <w:rPr>
      <w:rFonts w:ascii="Times New Roman" w:hAnsi="Times New Roman" w:cs="Times New Roman"/>
      <w:sz w:val="24"/>
      <w:szCs w:val="24"/>
      <w:lang w:val="nl-NL" w:eastAsia="nl-NL"/>
    </w:rPr>
  </w:style>
  <w:style w:type="paragraph" w:styleId="NoSpacing">
    <w:name w:val="No Spacing"/>
    <w:uiPriority w:val="1"/>
    <w:qFormat/>
    <w:rsid w:val="004B4858"/>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3035">
      <w:bodyDiv w:val="1"/>
      <w:marLeft w:val="0"/>
      <w:marRight w:val="0"/>
      <w:marTop w:val="0"/>
      <w:marBottom w:val="0"/>
      <w:divBdr>
        <w:top w:val="none" w:sz="0" w:space="0" w:color="auto"/>
        <w:left w:val="none" w:sz="0" w:space="0" w:color="auto"/>
        <w:bottom w:val="none" w:sz="0" w:space="0" w:color="auto"/>
        <w:right w:val="none" w:sz="0" w:space="0" w:color="auto"/>
      </w:divBdr>
    </w:div>
    <w:div w:id="136387346">
      <w:bodyDiv w:val="1"/>
      <w:marLeft w:val="0"/>
      <w:marRight w:val="0"/>
      <w:marTop w:val="0"/>
      <w:marBottom w:val="0"/>
      <w:divBdr>
        <w:top w:val="none" w:sz="0" w:space="0" w:color="auto"/>
        <w:left w:val="none" w:sz="0" w:space="0" w:color="auto"/>
        <w:bottom w:val="none" w:sz="0" w:space="0" w:color="auto"/>
        <w:right w:val="none" w:sz="0" w:space="0" w:color="auto"/>
      </w:divBdr>
    </w:div>
    <w:div w:id="273682780">
      <w:bodyDiv w:val="1"/>
      <w:marLeft w:val="0"/>
      <w:marRight w:val="0"/>
      <w:marTop w:val="0"/>
      <w:marBottom w:val="0"/>
      <w:divBdr>
        <w:top w:val="none" w:sz="0" w:space="0" w:color="auto"/>
        <w:left w:val="none" w:sz="0" w:space="0" w:color="auto"/>
        <w:bottom w:val="none" w:sz="0" w:space="0" w:color="auto"/>
        <w:right w:val="none" w:sz="0" w:space="0" w:color="auto"/>
      </w:divBdr>
      <w:divsChild>
        <w:div w:id="597565907">
          <w:marLeft w:val="1166"/>
          <w:marRight w:val="0"/>
          <w:marTop w:val="0"/>
          <w:marBottom w:val="0"/>
          <w:divBdr>
            <w:top w:val="none" w:sz="0" w:space="0" w:color="auto"/>
            <w:left w:val="none" w:sz="0" w:space="0" w:color="auto"/>
            <w:bottom w:val="none" w:sz="0" w:space="0" w:color="auto"/>
            <w:right w:val="none" w:sz="0" w:space="0" w:color="auto"/>
          </w:divBdr>
        </w:div>
        <w:div w:id="1757676026">
          <w:marLeft w:val="1166"/>
          <w:marRight w:val="0"/>
          <w:marTop w:val="0"/>
          <w:marBottom w:val="0"/>
          <w:divBdr>
            <w:top w:val="none" w:sz="0" w:space="0" w:color="auto"/>
            <w:left w:val="none" w:sz="0" w:space="0" w:color="auto"/>
            <w:bottom w:val="none" w:sz="0" w:space="0" w:color="auto"/>
            <w:right w:val="none" w:sz="0" w:space="0" w:color="auto"/>
          </w:divBdr>
        </w:div>
        <w:div w:id="703555625">
          <w:marLeft w:val="1166"/>
          <w:marRight w:val="0"/>
          <w:marTop w:val="0"/>
          <w:marBottom w:val="0"/>
          <w:divBdr>
            <w:top w:val="none" w:sz="0" w:space="0" w:color="auto"/>
            <w:left w:val="none" w:sz="0" w:space="0" w:color="auto"/>
            <w:bottom w:val="none" w:sz="0" w:space="0" w:color="auto"/>
            <w:right w:val="none" w:sz="0" w:space="0" w:color="auto"/>
          </w:divBdr>
        </w:div>
        <w:div w:id="527062097">
          <w:marLeft w:val="1166"/>
          <w:marRight w:val="0"/>
          <w:marTop w:val="0"/>
          <w:marBottom w:val="0"/>
          <w:divBdr>
            <w:top w:val="none" w:sz="0" w:space="0" w:color="auto"/>
            <w:left w:val="none" w:sz="0" w:space="0" w:color="auto"/>
            <w:bottom w:val="none" w:sz="0" w:space="0" w:color="auto"/>
            <w:right w:val="none" w:sz="0" w:space="0" w:color="auto"/>
          </w:divBdr>
        </w:div>
        <w:div w:id="906838885">
          <w:marLeft w:val="1166"/>
          <w:marRight w:val="0"/>
          <w:marTop w:val="0"/>
          <w:marBottom w:val="0"/>
          <w:divBdr>
            <w:top w:val="none" w:sz="0" w:space="0" w:color="auto"/>
            <w:left w:val="none" w:sz="0" w:space="0" w:color="auto"/>
            <w:bottom w:val="none" w:sz="0" w:space="0" w:color="auto"/>
            <w:right w:val="none" w:sz="0" w:space="0" w:color="auto"/>
          </w:divBdr>
        </w:div>
        <w:div w:id="1485202603">
          <w:marLeft w:val="1166"/>
          <w:marRight w:val="0"/>
          <w:marTop w:val="0"/>
          <w:marBottom w:val="0"/>
          <w:divBdr>
            <w:top w:val="none" w:sz="0" w:space="0" w:color="auto"/>
            <w:left w:val="none" w:sz="0" w:space="0" w:color="auto"/>
            <w:bottom w:val="none" w:sz="0" w:space="0" w:color="auto"/>
            <w:right w:val="none" w:sz="0" w:space="0" w:color="auto"/>
          </w:divBdr>
        </w:div>
        <w:div w:id="248972978">
          <w:marLeft w:val="1166"/>
          <w:marRight w:val="0"/>
          <w:marTop w:val="0"/>
          <w:marBottom w:val="0"/>
          <w:divBdr>
            <w:top w:val="none" w:sz="0" w:space="0" w:color="auto"/>
            <w:left w:val="none" w:sz="0" w:space="0" w:color="auto"/>
            <w:bottom w:val="none" w:sz="0" w:space="0" w:color="auto"/>
            <w:right w:val="none" w:sz="0" w:space="0" w:color="auto"/>
          </w:divBdr>
        </w:div>
        <w:div w:id="1901018999">
          <w:marLeft w:val="1166"/>
          <w:marRight w:val="0"/>
          <w:marTop w:val="0"/>
          <w:marBottom w:val="0"/>
          <w:divBdr>
            <w:top w:val="none" w:sz="0" w:space="0" w:color="auto"/>
            <w:left w:val="none" w:sz="0" w:space="0" w:color="auto"/>
            <w:bottom w:val="none" w:sz="0" w:space="0" w:color="auto"/>
            <w:right w:val="none" w:sz="0" w:space="0" w:color="auto"/>
          </w:divBdr>
        </w:div>
        <w:div w:id="354039206">
          <w:marLeft w:val="1166"/>
          <w:marRight w:val="0"/>
          <w:marTop w:val="0"/>
          <w:marBottom w:val="0"/>
          <w:divBdr>
            <w:top w:val="none" w:sz="0" w:space="0" w:color="auto"/>
            <w:left w:val="none" w:sz="0" w:space="0" w:color="auto"/>
            <w:bottom w:val="none" w:sz="0" w:space="0" w:color="auto"/>
            <w:right w:val="none" w:sz="0" w:space="0" w:color="auto"/>
          </w:divBdr>
        </w:div>
        <w:div w:id="1665818851">
          <w:marLeft w:val="1166"/>
          <w:marRight w:val="0"/>
          <w:marTop w:val="0"/>
          <w:marBottom w:val="0"/>
          <w:divBdr>
            <w:top w:val="none" w:sz="0" w:space="0" w:color="auto"/>
            <w:left w:val="none" w:sz="0" w:space="0" w:color="auto"/>
            <w:bottom w:val="none" w:sz="0" w:space="0" w:color="auto"/>
            <w:right w:val="none" w:sz="0" w:space="0" w:color="auto"/>
          </w:divBdr>
        </w:div>
      </w:divsChild>
    </w:div>
    <w:div w:id="298195996">
      <w:bodyDiv w:val="1"/>
      <w:marLeft w:val="0"/>
      <w:marRight w:val="0"/>
      <w:marTop w:val="0"/>
      <w:marBottom w:val="0"/>
      <w:divBdr>
        <w:top w:val="none" w:sz="0" w:space="0" w:color="auto"/>
        <w:left w:val="none" w:sz="0" w:space="0" w:color="auto"/>
        <w:bottom w:val="none" w:sz="0" w:space="0" w:color="auto"/>
        <w:right w:val="none" w:sz="0" w:space="0" w:color="auto"/>
      </w:divBdr>
    </w:div>
    <w:div w:id="348527542">
      <w:bodyDiv w:val="1"/>
      <w:marLeft w:val="0"/>
      <w:marRight w:val="0"/>
      <w:marTop w:val="0"/>
      <w:marBottom w:val="0"/>
      <w:divBdr>
        <w:top w:val="none" w:sz="0" w:space="0" w:color="auto"/>
        <w:left w:val="none" w:sz="0" w:space="0" w:color="auto"/>
        <w:bottom w:val="none" w:sz="0" w:space="0" w:color="auto"/>
        <w:right w:val="none" w:sz="0" w:space="0" w:color="auto"/>
      </w:divBdr>
    </w:div>
    <w:div w:id="404882883">
      <w:bodyDiv w:val="1"/>
      <w:marLeft w:val="0"/>
      <w:marRight w:val="0"/>
      <w:marTop w:val="0"/>
      <w:marBottom w:val="0"/>
      <w:divBdr>
        <w:top w:val="none" w:sz="0" w:space="0" w:color="auto"/>
        <w:left w:val="none" w:sz="0" w:space="0" w:color="auto"/>
        <w:bottom w:val="none" w:sz="0" w:space="0" w:color="auto"/>
        <w:right w:val="none" w:sz="0" w:space="0" w:color="auto"/>
      </w:divBdr>
    </w:div>
    <w:div w:id="456262065">
      <w:bodyDiv w:val="1"/>
      <w:marLeft w:val="0"/>
      <w:marRight w:val="0"/>
      <w:marTop w:val="0"/>
      <w:marBottom w:val="0"/>
      <w:divBdr>
        <w:top w:val="none" w:sz="0" w:space="0" w:color="auto"/>
        <w:left w:val="none" w:sz="0" w:space="0" w:color="auto"/>
        <w:bottom w:val="none" w:sz="0" w:space="0" w:color="auto"/>
        <w:right w:val="none" w:sz="0" w:space="0" w:color="auto"/>
      </w:divBdr>
    </w:div>
    <w:div w:id="485365680">
      <w:bodyDiv w:val="1"/>
      <w:marLeft w:val="0"/>
      <w:marRight w:val="0"/>
      <w:marTop w:val="0"/>
      <w:marBottom w:val="0"/>
      <w:divBdr>
        <w:top w:val="none" w:sz="0" w:space="0" w:color="auto"/>
        <w:left w:val="none" w:sz="0" w:space="0" w:color="auto"/>
        <w:bottom w:val="none" w:sz="0" w:space="0" w:color="auto"/>
        <w:right w:val="none" w:sz="0" w:space="0" w:color="auto"/>
      </w:divBdr>
    </w:div>
    <w:div w:id="689373876">
      <w:bodyDiv w:val="1"/>
      <w:marLeft w:val="0"/>
      <w:marRight w:val="0"/>
      <w:marTop w:val="0"/>
      <w:marBottom w:val="0"/>
      <w:divBdr>
        <w:top w:val="none" w:sz="0" w:space="0" w:color="auto"/>
        <w:left w:val="none" w:sz="0" w:space="0" w:color="auto"/>
        <w:bottom w:val="none" w:sz="0" w:space="0" w:color="auto"/>
        <w:right w:val="none" w:sz="0" w:space="0" w:color="auto"/>
      </w:divBdr>
    </w:div>
    <w:div w:id="769934689">
      <w:bodyDiv w:val="1"/>
      <w:marLeft w:val="0"/>
      <w:marRight w:val="0"/>
      <w:marTop w:val="0"/>
      <w:marBottom w:val="0"/>
      <w:divBdr>
        <w:top w:val="none" w:sz="0" w:space="0" w:color="auto"/>
        <w:left w:val="none" w:sz="0" w:space="0" w:color="auto"/>
        <w:bottom w:val="none" w:sz="0" w:space="0" w:color="auto"/>
        <w:right w:val="none" w:sz="0" w:space="0" w:color="auto"/>
      </w:divBdr>
    </w:div>
    <w:div w:id="789516491">
      <w:bodyDiv w:val="1"/>
      <w:marLeft w:val="0"/>
      <w:marRight w:val="0"/>
      <w:marTop w:val="0"/>
      <w:marBottom w:val="0"/>
      <w:divBdr>
        <w:top w:val="none" w:sz="0" w:space="0" w:color="auto"/>
        <w:left w:val="none" w:sz="0" w:space="0" w:color="auto"/>
        <w:bottom w:val="none" w:sz="0" w:space="0" w:color="auto"/>
        <w:right w:val="none" w:sz="0" w:space="0" w:color="auto"/>
      </w:divBdr>
    </w:div>
    <w:div w:id="1158960497">
      <w:bodyDiv w:val="1"/>
      <w:marLeft w:val="0"/>
      <w:marRight w:val="0"/>
      <w:marTop w:val="0"/>
      <w:marBottom w:val="0"/>
      <w:divBdr>
        <w:top w:val="none" w:sz="0" w:space="0" w:color="auto"/>
        <w:left w:val="none" w:sz="0" w:space="0" w:color="auto"/>
        <w:bottom w:val="none" w:sz="0" w:space="0" w:color="auto"/>
        <w:right w:val="none" w:sz="0" w:space="0" w:color="auto"/>
      </w:divBdr>
    </w:div>
    <w:div w:id="1382444320">
      <w:bodyDiv w:val="1"/>
      <w:marLeft w:val="0"/>
      <w:marRight w:val="0"/>
      <w:marTop w:val="0"/>
      <w:marBottom w:val="0"/>
      <w:divBdr>
        <w:top w:val="none" w:sz="0" w:space="0" w:color="auto"/>
        <w:left w:val="none" w:sz="0" w:space="0" w:color="auto"/>
        <w:bottom w:val="none" w:sz="0" w:space="0" w:color="auto"/>
        <w:right w:val="none" w:sz="0" w:space="0" w:color="auto"/>
      </w:divBdr>
    </w:div>
    <w:div w:id="1461800040">
      <w:bodyDiv w:val="1"/>
      <w:marLeft w:val="0"/>
      <w:marRight w:val="0"/>
      <w:marTop w:val="0"/>
      <w:marBottom w:val="0"/>
      <w:divBdr>
        <w:top w:val="none" w:sz="0" w:space="0" w:color="auto"/>
        <w:left w:val="none" w:sz="0" w:space="0" w:color="auto"/>
        <w:bottom w:val="none" w:sz="0" w:space="0" w:color="auto"/>
        <w:right w:val="none" w:sz="0" w:space="0" w:color="auto"/>
      </w:divBdr>
    </w:div>
    <w:div w:id="1496411361">
      <w:bodyDiv w:val="1"/>
      <w:marLeft w:val="0"/>
      <w:marRight w:val="0"/>
      <w:marTop w:val="0"/>
      <w:marBottom w:val="0"/>
      <w:divBdr>
        <w:top w:val="none" w:sz="0" w:space="0" w:color="auto"/>
        <w:left w:val="none" w:sz="0" w:space="0" w:color="auto"/>
        <w:bottom w:val="none" w:sz="0" w:space="0" w:color="auto"/>
        <w:right w:val="none" w:sz="0" w:space="0" w:color="auto"/>
      </w:divBdr>
    </w:div>
    <w:div w:id="1628003249">
      <w:bodyDiv w:val="1"/>
      <w:marLeft w:val="0"/>
      <w:marRight w:val="0"/>
      <w:marTop w:val="0"/>
      <w:marBottom w:val="0"/>
      <w:divBdr>
        <w:top w:val="none" w:sz="0" w:space="0" w:color="auto"/>
        <w:left w:val="none" w:sz="0" w:space="0" w:color="auto"/>
        <w:bottom w:val="none" w:sz="0" w:space="0" w:color="auto"/>
        <w:right w:val="none" w:sz="0" w:space="0" w:color="auto"/>
      </w:divBdr>
    </w:div>
    <w:div w:id="1775710296">
      <w:bodyDiv w:val="1"/>
      <w:marLeft w:val="0"/>
      <w:marRight w:val="0"/>
      <w:marTop w:val="0"/>
      <w:marBottom w:val="0"/>
      <w:divBdr>
        <w:top w:val="none" w:sz="0" w:space="0" w:color="auto"/>
        <w:left w:val="none" w:sz="0" w:space="0" w:color="auto"/>
        <w:bottom w:val="none" w:sz="0" w:space="0" w:color="auto"/>
        <w:right w:val="none" w:sz="0" w:space="0" w:color="auto"/>
      </w:divBdr>
    </w:div>
    <w:div w:id="1783568390">
      <w:bodyDiv w:val="1"/>
      <w:marLeft w:val="0"/>
      <w:marRight w:val="0"/>
      <w:marTop w:val="0"/>
      <w:marBottom w:val="0"/>
      <w:divBdr>
        <w:top w:val="none" w:sz="0" w:space="0" w:color="auto"/>
        <w:left w:val="none" w:sz="0" w:space="0" w:color="auto"/>
        <w:bottom w:val="none" w:sz="0" w:space="0" w:color="auto"/>
        <w:right w:val="none" w:sz="0" w:space="0" w:color="auto"/>
      </w:divBdr>
    </w:div>
    <w:div w:id="213837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FE0C-C68B-493F-BC64-EF9E1A9F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1559</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T. (Tessa)</dc:creator>
  <cp:keywords/>
  <dc:description/>
  <cp:lastModifiedBy>Damir Ivankovic</cp:lastModifiedBy>
  <cp:revision>30</cp:revision>
  <dcterms:created xsi:type="dcterms:W3CDTF">2020-07-06T07:18:00Z</dcterms:created>
  <dcterms:modified xsi:type="dcterms:W3CDTF">2020-08-12T10:46:00Z</dcterms:modified>
</cp:coreProperties>
</file>