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19885" w14:textId="77777777" w:rsidR="00AC7A13" w:rsidRDefault="00AC7A13" w:rsidP="00AC7A13">
      <w:pPr>
        <w:spacing w:after="0" w:line="480" w:lineRule="exact"/>
      </w:pPr>
    </w:p>
    <w:p w14:paraId="33E4FBD0" w14:textId="6F933BF0" w:rsidR="00AC7A13" w:rsidRDefault="00AC7A13" w:rsidP="00AC7A13">
      <w:pPr>
        <w:spacing w:after="0" w:line="480" w:lineRule="exact"/>
        <w:rPr>
          <w:b/>
          <w:bCs/>
        </w:rPr>
      </w:pPr>
      <w:r w:rsidRPr="13809051">
        <w:rPr>
          <w:b/>
          <w:bCs/>
        </w:rPr>
        <w:t>Figure Supplement. Monocyte Distribution Width (MDW) Sensitivity Versus Specificity by Abnormal Cutoff</w:t>
      </w:r>
      <w:r>
        <w:rPr>
          <w:b/>
          <w:bCs/>
        </w:rPr>
        <w:t xml:space="preserve"> for SARS-CoV-2 and Influenza</w:t>
      </w:r>
      <w:bookmarkStart w:id="0" w:name="_GoBack"/>
      <w:bookmarkEnd w:id="0"/>
    </w:p>
    <w:p w14:paraId="729D17B4" w14:textId="77777777" w:rsidR="00AC7A13" w:rsidRDefault="00AC7A13" w:rsidP="00AC7A13">
      <w:pPr>
        <w:spacing w:after="0" w:line="480" w:lineRule="exact"/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9264" behindDoc="0" locked="0" layoutInCell="1" allowOverlap="1" wp14:anchorId="47DC1263" wp14:editId="60BA3A1A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8229600" cy="335661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_supp_sens_vs_spe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336A0" w14:textId="77777777" w:rsidR="00AC7A13" w:rsidRDefault="00AC7A13" w:rsidP="00AC7A13">
      <w:pPr>
        <w:spacing w:after="0" w:line="480" w:lineRule="exact"/>
        <w:rPr>
          <w:b/>
          <w:bCs/>
        </w:rPr>
      </w:pPr>
      <w:r>
        <w:t>Abbreviations: SARS-CoV-2, severe acute respiratory syndrome coronavirus 2; MDW, monocyte distribution width.</w:t>
      </w:r>
    </w:p>
    <w:p w14:paraId="037350B3" w14:textId="77777777" w:rsidR="00AC7A13" w:rsidRDefault="00AC7A13" w:rsidP="00AC7A13">
      <w:pPr>
        <w:spacing w:after="0" w:line="480" w:lineRule="exact"/>
      </w:pPr>
    </w:p>
    <w:p w14:paraId="79EB9BD2" w14:textId="77777777" w:rsidR="00AC7A13" w:rsidRDefault="00AC7A13" w:rsidP="00AC7A13">
      <w:pPr>
        <w:spacing w:after="0" w:line="480" w:lineRule="exact"/>
      </w:pPr>
    </w:p>
    <w:p w14:paraId="5EC5BB5A" w14:textId="77777777" w:rsidR="00AC7A13" w:rsidRDefault="00AC7A13" w:rsidP="00AC7A13">
      <w:pPr>
        <w:spacing w:after="0" w:line="480" w:lineRule="exact"/>
      </w:pPr>
    </w:p>
    <w:p w14:paraId="05FF70C6" w14:textId="77777777" w:rsidR="003765A6" w:rsidRDefault="00AC7A13"/>
    <w:sectPr w:rsidR="003765A6" w:rsidSect="003127C4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13"/>
    <w:rsid w:val="00616B64"/>
    <w:rsid w:val="0062714B"/>
    <w:rsid w:val="0099045B"/>
    <w:rsid w:val="00A47EA7"/>
    <w:rsid w:val="00AC7A13"/>
    <w:rsid w:val="00D310B3"/>
    <w:rsid w:val="00F0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DCE5D6"/>
  <w15:chartTrackingRefBased/>
  <w15:docId w15:val="{052B0807-4629-D445-ABD9-EA8149B0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A1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>Johns Hopkins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 Badaki-Makun</dc:creator>
  <cp:keywords/>
  <dc:description/>
  <cp:lastModifiedBy>Kemi Badaki-Makun</cp:lastModifiedBy>
  <cp:revision>1</cp:revision>
  <dcterms:created xsi:type="dcterms:W3CDTF">2022-03-16T08:32:00Z</dcterms:created>
  <dcterms:modified xsi:type="dcterms:W3CDTF">2022-03-16T08:34:00Z</dcterms:modified>
</cp:coreProperties>
</file>